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5C6652"/>
          <w:spacing w:val="200"/>
          <w:sz w:val="20"/>
          <w:szCs w:val="20"/>
        </w:rPr>
        <w:t xml:space="preserve">BRAND IDENTITY GUIDE</w:t>
      </w:r>
    </w:p>
    <w:p>
      <w:pPr>
        <w:spacing w:after="80" w:before="0"/>
      </w:pPr>
      <w:r>
        <w:rPr>
          <w:rFonts w:ascii="Georgia" w:cs="Georgia" w:eastAsia="Georgia" w:hAnsi="Georgia"/>
          <w:b w:val="false"/>
          <w:bCs w:val="false"/>
          <w:color w:val="2C2C1E"/>
          <w:sz w:val="64"/>
          <w:szCs w:val="64"/>
        </w:rPr>
        <w:t xml:space="preserve">Poshini Agasthya</w:t>
      </w:r>
    </w:p>
    <w:p>
      <w:pPr>
        <w:spacing w:after="200" w:before="0"/>
      </w:pPr>
      <w:r>
        <w:rPr>
          <w:rFonts w:ascii="Georgia" w:cs="Georgia" w:eastAsia="Georgia" w:hAnsi="Georgia"/>
          <w:i/>
          <w:iCs/>
          <w:color w:val="5C6652"/>
          <w:sz w:val="28"/>
          <w:szCs w:val="28"/>
        </w:rPr>
        <w:t xml:space="preserve">Nutritional Mental Health Practitioner</w:t>
      </w:r>
    </w:p>
    <w:p>
      <w:pPr>
        <w:spacing w:after="320" w:before="0"/>
      </w:pPr>
      <w:r>
        <w:rPr>
          <w:rFonts w:ascii="Arial" w:cs="Arial" w:eastAsia="Arial" w:hAnsi="Arial"/>
          <w:color w:val="D8D4CC"/>
          <w:sz w:val="20"/>
          <w:szCs w:val="20"/>
        </w:rPr>
        <w:t xml:space="preserve">Colour + Typography   —   Version 2.0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7F4EE" w:val="clear"/>
            <w:tcMar>
              <w:top w:type="dxa" w:w="300"/>
              <w:left w:type="dxa" w:w="160"/>
              <w:bottom w:type="dxa" w:w="300"/>
              <w:right w:type="dxa" w:w="160"/>
            </w:tcMar>
            <w:vAlign w:val="center"/>
          </w:tcPr>
          <w:p>
            <w:pPr>
              <w:spacing w:after="40" w:before="0"/>
              <w:jc w:val="center"/>
            </w:pPr>
            <w:r>
              <w:rPr>
                <w:rFonts w:ascii="Arial" w:cs="Arial" w:eastAsia="Arial" w:hAnsi="Arial"/>
                <w:b/>
                <w:bCs/>
                <w:color w:val="5C6652"/>
                <w:sz w:val="20"/>
                <w:szCs w:val="20"/>
              </w:rPr>
              <w:t xml:space="preserve">Parchment</w:t>
            </w:r>
          </w:p>
          <w:p>
            <w:pPr>
              <w:spacing w:after="0" w:before="0"/>
              <w:jc w:val="center"/>
            </w:pPr>
            <w:r>
              <w:rPr>
                <w:rFonts w:ascii="Courier New" w:cs="Courier New" w:eastAsia="Courier New" w:hAnsi="Courier New"/>
                <w:color w:val="5C6652"/>
                <w:sz w:val="16"/>
                <w:szCs w:val="16"/>
              </w:rPr>
              <w:t xml:space="preserve">#F7F4EE</w:t>
            </w:r>
          </w:p>
        </w:tc>
        <w:tc>
          <w:tcPr>
            <w:tcW w:type="dxa" w:w="2340"/>
            <w:tcBorders>
              <w:top w:val="none" w:color="FFFFFF" w:sz="0"/>
              <w:left w:val="none" w:color="FFFFFF" w:sz="0"/>
              <w:bottom w:val="none" w:color="FFFFFF" w:sz="0"/>
              <w:right w:val="none" w:color="FFFFFF" w:sz="0"/>
            </w:tcBorders>
            <w:shd w:fill="5C6652" w:val="clear"/>
            <w:tcMar>
              <w:top w:type="dxa" w:w="300"/>
              <w:left w:type="dxa" w:w="160"/>
              <w:bottom w:type="dxa" w:w="300"/>
              <w:right w:type="dxa" w:w="160"/>
            </w:tcMar>
            <w:vAlign w:val="center"/>
          </w:tcPr>
          <w:p>
            <w:pPr>
              <w:spacing w:after="40" w:before="0"/>
              <w:jc w:val="center"/>
            </w:pPr>
            <w:r>
              <w:rPr>
                <w:rFonts w:ascii="Arial" w:cs="Arial" w:eastAsia="Arial" w:hAnsi="Arial"/>
                <w:b/>
                <w:bCs/>
                <w:color w:val="F7F4EE"/>
                <w:sz w:val="20"/>
                <w:szCs w:val="20"/>
              </w:rPr>
              <w:t xml:space="preserve">Moss Shadow</w:t>
            </w:r>
          </w:p>
          <w:p>
            <w:pPr>
              <w:spacing w:after="0" w:before="0"/>
              <w:jc w:val="center"/>
            </w:pPr>
            <w:r>
              <w:rPr>
                <w:rFonts w:ascii="Courier New" w:cs="Courier New" w:eastAsia="Courier New" w:hAnsi="Courier New"/>
                <w:color w:val="F7F4EE"/>
                <w:sz w:val="16"/>
                <w:szCs w:val="16"/>
              </w:rPr>
              <w:t xml:space="preserve">#5C6652</w:t>
            </w:r>
          </w:p>
        </w:tc>
        <w:tc>
          <w:tcPr>
            <w:tcW w:type="dxa" w:w="2340"/>
            <w:tcBorders>
              <w:top w:val="none" w:color="FFFFFF" w:sz="0"/>
              <w:left w:val="none" w:color="FFFFFF" w:sz="0"/>
              <w:bottom w:val="none" w:color="FFFFFF" w:sz="0"/>
              <w:right w:val="none" w:color="FFFFFF" w:sz="0"/>
            </w:tcBorders>
            <w:shd w:fill="2C2C1E" w:val="clear"/>
            <w:tcMar>
              <w:top w:type="dxa" w:w="300"/>
              <w:left w:type="dxa" w:w="160"/>
              <w:bottom w:type="dxa" w:w="300"/>
              <w:right w:type="dxa" w:w="160"/>
            </w:tcMar>
            <w:vAlign w:val="center"/>
          </w:tcPr>
          <w:p>
            <w:pPr>
              <w:spacing w:after="40" w:before="0"/>
              <w:jc w:val="center"/>
            </w:pPr>
            <w:r>
              <w:rPr>
                <w:rFonts w:ascii="Arial" w:cs="Arial" w:eastAsia="Arial" w:hAnsi="Arial"/>
                <w:b/>
                <w:bCs/>
                <w:color w:val="F7F4EE"/>
                <w:sz w:val="20"/>
                <w:szCs w:val="20"/>
              </w:rPr>
              <w:t xml:space="preserve">Dark Ink</w:t>
            </w:r>
          </w:p>
          <w:p>
            <w:pPr>
              <w:spacing w:after="0" w:before="0"/>
              <w:jc w:val="center"/>
            </w:pPr>
            <w:r>
              <w:rPr>
                <w:rFonts w:ascii="Courier New" w:cs="Courier New" w:eastAsia="Courier New" w:hAnsi="Courier New"/>
                <w:color w:val="F7F4EE"/>
                <w:sz w:val="16"/>
                <w:szCs w:val="16"/>
              </w:rPr>
              <w:t xml:space="preserve">#2C2C1E</w:t>
            </w:r>
          </w:p>
        </w:tc>
        <w:tc>
          <w:tcPr>
            <w:tcW w:type="dxa" w:w="2340"/>
            <w:tcBorders>
              <w:top w:val="none" w:color="FFFFFF" w:sz="0"/>
              <w:left w:val="none" w:color="FFFFFF" w:sz="0"/>
              <w:bottom w:val="none" w:color="FFFFFF" w:sz="0"/>
              <w:right w:val="none" w:color="FFFFFF" w:sz="0"/>
            </w:tcBorders>
            <w:shd w:fill="E8C547" w:val="clear"/>
            <w:tcMar>
              <w:top w:type="dxa" w:w="300"/>
              <w:left w:type="dxa" w:w="160"/>
              <w:bottom w:type="dxa" w:w="300"/>
              <w:right w:type="dxa" w:w="160"/>
            </w:tcMar>
            <w:vAlign w:val="center"/>
          </w:tcPr>
          <w:p>
            <w:pPr>
              <w:spacing w:after="40" w:before="0"/>
              <w:jc w:val="center"/>
            </w:pPr>
            <w:r>
              <w:rPr>
                <w:rFonts w:ascii="Arial" w:cs="Arial" w:eastAsia="Arial" w:hAnsi="Arial"/>
                <w:b/>
                <w:bCs/>
                <w:color w:val="2C2C1E"/>
                <w:sz w:val="20"/>
                <w:szCs w:val="20"/>
              </w:rPr>
              <w:t xml:space="preserve">Marigold</w:t>
            </w:r>
          </w:p>
          <w:p>
            <w:pPr>
              <w:spacing w:after="0" w:before="0"/>
              <w:jc w:val="center"/>
            </w:pPr>
            <w:r>
              <w:rPr>
                <w:rFonts w:ascii="Courier New" w:cs="Courier New" w:eastAsia="Courier New" w:hAnsi="Courier New"/>
                <w:color w:val="2C2C1E"/>
                <w:sz w:val="16"/>
                <w:szCs w:val="16"/>
              </w:rPr>
              <w:t xml:space="preserve">#E8C547</w:t>
            </w:r>
          </w:p>
        </w:tc>
      </w:tr>
      <w:tr>
        <w:tc>
          <w:tcPr>
            <w:tcW w:type="dxa" w:w="2340"/>
            <w:tcBorders>
              <w:top w:val="none" w:color="FFFFFF" w:sz="0"/>
              <w:left w:val="none" w:color="FFFFFF" w:sz="0"/>
              <w:bottom w:val="single" w:color="D8D4CC" w:sz="1"/>
              <w:right w:val="none" w:color="FFFFFF" w:sz="0"/>
            </w:tcBorders>
            <w:shd w:fill="F7F4EE" w:val="clear"/>
            <w:tcMar>
              <w:top w:type="dxa" w:w="120"/>
              <w:left w:type="dxa" w:w="160"/>
              <w:bottom w:type="dxa" w:w="120"/>
              <w:right w:type="dxa" w:w="160"/>
            </w:tcMar>
          </w:tcPr>
          <w:p>
            <w:pPr>
              <w:spacing w:after="0" w:before="0"/>
              <w:jc w:val="center"/>
            </w:pPr>
            <w:r>
              <w:rPr>
                <w:rFonts w:ascii="Arial" w:cs="Arial" w:eastAsia="Arial" w:hAnsi="Arial"/>
                <w:i/>
                <w:iCs/>
                <w:color w:val="2C2C1E"/>
                <w:sz w:val="18"/>
                <w:szCs w:val="18"/>
              </w:rPr>
              <w:t xml:space="preserve">Base</w:t>
            </w:r>
          </w:p>
        </w:tc>
        <w:tc>
          <w:tcPr>
            <w:tcW w:type="dxa" w:w="2340"/>
            <w:tcBorders>
              <w:top w:val="none" w:color="FFFFFF" w:sz="0"/>
              <w:left w:val="none" w:color="FFFFFF" w:sz="0"/>
              <w:bottom w:val="single" w:color="D8D4CC" w:sz="1"/>
              <w:right w:val="none" w:color="FFFFFF" w:sz="0"/>
            </w:tcBorders>
            <w:shd w:fill="F7F4EE" w:val="clear"/>
            <w:tcMar>
              <w:top w:type="dxa" w:w="120"/>
              <w:left w:type="dxa" w:w="160"/>
              <w:bottom w:type="dxa" w:w="120"/>
              <w:right w:type="dxa" w:w="160"/>
            </w:tcMar>
          </w:tcPr>
          <w:p>
            <w:pPr>
              <w:spacing w:after="0" w:before="0"/>
              <w:jc w:val="center"/>
            </w:pPr>
            <w:r>
              <w:rPr>
                <w:rFonts w:ascii="Arial" w:cs="Arial" w:eastAsia="Arial" w:hAnsi="Arial"/>
                <w:i/>
                <w:iCs/>
                <w:color w:val="2C2C1E"/>
                <w:sz w:val="18"/>
                <w:szCs w:val="18"/>
              </w:rPr>
              <w:t xml:space="preserve">Brand voice</w:t>
            </w:r>
          </w:p>
        </w:tc>
        <w:tc>
          <w:tcPr>
            <w:tcW w:type="dxa" w:w="2340"/>
            <w:tcBorders>
              <w:top w:val="none" w:color="FFFFFF" w:sz="0"/>
              <w:left w:val="none" w:color="FFFFFF" w:sz="0"/>
              <w:bottom w:val="single" w:color="D8D4CC" w:sz="1"/>
              <w:right w:val="none" w:color="FFFFFF" w:sz="0"/>
            </w:tcBorders>
            <w:shd w:fill="F7F4EE" w:val="clear"/>
            <w:tcMar>
              <w:top w:type="dxa" w:w="120"/>
              <w:left w:type="dxa" w:w="160"/>
              <w:bottom w:type="dxa" w:w="120"/>
              <w:right w:type="dxa" w:w="160"/>
            </w:tcMar>
          </w:tcPr>
          <w:p>
            <w:pPr>
              <w:spacing w:after="0" w:before="0"/>
              <w:jc w:val="center"/>
            </w:pPr>
            <w:r>
              <w:rPr>
                <w:rFonts w:ascii="Arial" w:cs="Arial" w:eastAsia="Arial" w:hAnsi="Arial"/>
                <w:i/>
                <w:iCs/>
                <w:color w:val="2C2C1E"/>
                <w:sz w:val="18"/>
                <w:szCs w:val="18"/>
              </w:rPr>
              <w:t xml:space="preserve">The fierce</w:t>
            </w:r>
          </w:p>
        </w:tc>
        <w:tc>
          <w:tcPr>
            <w:tcW w:type="dxa" w:w="2340"/>
            <w:tcBorders>
              <w:top w:val="none" w:color="FFFFFF" w:sz="0"/>
              <w:left w:val="none" w:color="FFFFFF" w:sz="0"/>
              <w:bottom w:val="single" w:color="D8D4CC" w:sz="1"/>
              <w:right w:val="none" w:color="FFFFFF" w:sz="0"/>
            </w:tcBorders>
            <w:shd w:fill="F7F4EE" w:val="clear"/>
            <w:tcMar>
              <w:top w:type="dxa" w:w="120"/>
              <w:left w:type="dxa" w:w="160"/>
              <w:bottom w:type="dxa" w:w="120"/>
              <w:right w:type="dxa" w:w="160"/>
            </w:tcMar>
          </w:tcPr>
          <w:p>
            <w:pPr>
              <w:spacing w:after="0" w:before="0"/>
              <w:jc w:val="center"/>
            </w:pPr>
            <w:r>
              <w:rPr>
                <w:rFonts w:ascii="Arial" w:cs="Arial" w:eastAsia="Arial" w:hAnsi="Arial"/>
                <w:i/>
                <w:iCs/>
                <w:color w:val="2C2C1E"/>
                <w:sz w:val="18"/>
                <w:szCs w:val="18"/>
              </w:rPr>
              <w:t xml:space="preserve">The spark</w:t>
            </w:r>
          </w:p>
        </w:tc>
      </w:tr>
    </w:tbl>
    <w:p>
      <w:pPr>
        <w:spacing w:after="0" w:before="0"/>
      </w:pPr>
      <w:r>
        <w:rPr>
          <w:sz w:val="200"/>
          <w:szCs w:val="200"/>
        </w:rPr>
        <w:t xml:space="preserve"/>
      </w:r>
    </w:p>
    <w:p>
      <w:pPr>
        <w:spacing w:after="0" w:before="200"/>
      </w:pPr>
      <w:r>
        <w:rPr>
          <w:rFonts w:ascii="Georgia" w:cs="Georgia" w:eastAsia="Georgia" w:hAnsi="Georgia"/>
          <w:i w:val="false"/>
          <w:iCs w:val="false"/>
          <w:color w:val="2C2C1E"/>
          <w:sz w:val="22"/>
          <w:szCs w:val="22"/>
        </w:rPr>
        <w:t xml:space="preserve">This document defines the complete brand identity system for Poshini Agasthya — colour palette, typography, usage rules, and threat prevention protocols. It covers every application of these four tones and two typefaces. Anyone creating content under this brand must read and follow this guide before opening a design tool.</w:t>
      </w:r>
    </w:p>
    <w:p>
      <w:pPr>
        <w:spacing w:after="0" w:before="0"/>
      </w:pPr>
      <w:r>
        <w:rPr>
          <w:sz w:val="300"/>
          <w:szCs w:val="300"/>
        </w:rPr>
        <w:t xml:space="preserve"/>
      </w:r>
    </w:p>
    <w:p>
      <w:r>
        <w:br w:type="page"/>
      </w:r>
    </w:p>
    <w:p>
      <w:pPr>
        <w:pBdr>
          <w:bottom w:val="single" w:color="5C6652" w:sz="8" w:space="6"/>
        </w:pBdr>
        <w:spacing w:after="160" w:before="400"/>
      </w:pPr>
      <w:r>
        <w:rPr>
          <w:rFonts w:ascii="Arial" w:cs="Arial" w:eastAsia="Arial" w:hAnsi="Arial"/>
          <w:b/>
          <w:bCs/>
          <w:color w:val="2C2C1E"/>
          <w:sz w:val="36"/>
          <w:szCs w:val="36"/>
        </w:rPr>
        <w:t xml:space="preserve">01   The Palette</w:t>
      </w:r>
    </w:p>
    <w:p>
      <w:pPr>
        <w:spacing w:after="0" w:before="0"/>
      </w:pPr>
      <w:r>
        <w:rPr>
          <w:sz w:val="100"/>
          <w:szCs w:val="100"/>
        </w:rPr>
        <w:t xml:space="preserve"/>
      </w:r>
    </w:p>
    <w:p>
      <w:pPr>
        <w:spacing w:after="60" w:before="60"/>
      </w:pPr>
      <w:r>
        <w:rPr>
          <w:rFonts w:ascii="Georgia" w:cs="Georgia" w:eastAsia="Georgia" w:hAnsi="Georgia"/>
          <w:b w:val="false"/>
          <w:bCs w:val="false"/>
          <w:i/>
          <w:iCs/>
          <w:color w:val="5C6652"/>
          <w:sz w:val="26"/>
          <w:szCs w:val="26"/>
        </w:rPr>
        <w:t xml:space="preserve">Four tones. One family. Nothing fights, everything belongs.</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none" w:color="FFFFFF" w:sz="0"/>
              <w:left w:val="none" w:color="FFFFFF" w:sz="0"/>
              <w:bottom w:val="none" w:color="FFFFFF" w:sz="0"/>
              <w:right w:val="none" w:color="FFFFFF" w:sz="0"/>
            </w:tcBorders>
            <w:shd w:fill="2C2C1E" w:val="clear"/>
            <w:tcMar>
              <w:top w:type="dxa" w:w="80"/>
              <w:left w:type="dxa" w:w="120"/>
              <w:bottom w:type="dxa" w:w="80"/>
              <w:right w:type="dxa" w:w="120"/>
            </w:tcMar>
          </w:tcPr>
          <w:p>
            <w:pPr>
              <w:jc w:val="center"/>
            </w:pPr>
            <w:r>
              <w:rPr>
                <w:rFonts w:ascii="Arial" w:cs="Arial" w:eastAsia="Arial" w:hAnsi="Arial"/>
                <w:b/>
                <w:bCs/>
                <w:color w:val="F7F4EE"/>
                <w:sz w:val="20"/>
                <w:szCs w:val="20"/>
              </w:rPr>
              <w:t xml:space="preserve">Colour</w:t>
            </w:r>
          </w:p>
        </w:tc>
        <w:tc>
          <w:tcPr>
            <w:tcW w:type="dxa" w:w="1800"/>
            <w:tcBorders>
              <w:top w:val="none" w:color="FFFFFF" w:sz="0"/>
              <w:left w:val="none" w:color="FFFFFF" w:sz="0"/>
              <w:bottom w:val="none" w:color="FFFFFF" w:sz="0"/>
              <w:right w:val="none" w:color="FFFFFF" w:sz="0"/>
            </w:tcBorders>
            <w:shd w:fill="2C2C1E" w:val="clear"/>
            <w:tcMar>
              <w:top w:type="dxa" w:w="80"/>
              <w:left w:type="dxa" w:w="120"/>
              <w:bottom w:type="dxa" w:w="80"/>
              <w:right w:type="dxa" w:w="120"/>
            </w:tcMar>
          </w:tcPr>
          <w:p>
            <w:pPr>
              <w:jc w:val="center"/>
            </w:pPr>
            <w:r>
              <w:rPr>
                <w:rFonts w:ascii="Arial" w:cs="Arial" w:eastAsia="Arial" w:hAnsi="Arial"/>
                <w:b/>
                <w:bCs/>
                <w:color w:val="F7F4EE"/>
                <w:sz w:val="20"/>
                <w:szCs w:val="20"/>
              </w:rPr>
              <w:t xml:space="preserve">Hex</w:t>
            </w:r>
          </w:p>
        </w:tc>
        <w:tc>
          <w:tcPr>
            <w:tcW w:type="dxa" w:w="5760"/>
            <w:tcBorders>
              <w:top w:val="none" w:color="FFFFFF" w:sz="0"/>
              <w:left w:val="none" w:color="FFFFFF" w:sz="0"/>
              <w:bottom w:val="none" w:color="FFFFFF" w:sz="0"/>
              <w:right w:val="none" w:color="FFFFFF" w:sz="0"/>
            </w:tcBorders>
            <w:shd w:fill="2C2C1E" w:val="clear"/>
            <w:tcMar>
              <w:top w:type="dxa" w:w="80"/>
              <w:left w:type="dxa" w:w="120"/>
              <w:bottom w:type="dxa" w:w="80"/>
              <w:right w:type="dxa" w:w="120"/>
            </w:tcMar>
          </w:tcPr>
          <w:p>
            <w:pPr>
              <w:jc w:val="center"/>
            </w:pPr>
            <w:r>
              <w:rPr>
                <w:rFonts w:ascii="Arial" w:cs="Arial" w:eastAsia="Arial" w:hAnsi="Arial"/>
                <w:b/>
                <w:bCs/>
                <w:color w:val="F7F4EE"/>
                <w:sz w:val="20"/>
                <w:szCs w:val="20"/>
              </w:rPr>
              <w:t xml:space="preserve">Usage rules</w:t>
            </w:r>
          </w:p>
        </w:tc>
      </w:tr>
      <w:tr>
        <w:tc>
          <w:tcPr>
            <w:tcW w:type="dxa" w:w="1800"/>
            <w:tcBorders>
              <w:top w:val="none" w:color="FFFFFF" w:sz="0"/>
              <w:left w:val="none" w:color="FFFFFF" w:sz="0"/>
              <w:bottom w:val="none" w:color="FFFFFF" w:sz="0"/>
              <w:right w:val="none" w:color="FFFFFF" w:sz="0"/>
            </w:tcBorders>
            <w:shd w:fill="F7F4EE" w:val="clear"/>
            <w:tcMar>
              <w:top w:type="dxa" w:w="120"/>
              <w:left w:type="dxa" w:w="120"/>
              <w:bottom w:type="dxa" w:w="120"/>
              <w:right w:type="dxa" w:w="120"/>
            </w:tcMar>
            <w:vAlign w:val="center"/>
          </w:tcPr>
          <w:p>
            <w:pPr>
              <w:jc w:val="center"/>
            </w:pPr>
            <w:r>
              <w:rPr>
                <w:rFonts w:ascii="Arial" w:cs="Arial" w:eastAsia="Arial" w:hAnsi="Arial"/>
                <w:b/>
                <w:bCs/>
                <w:color w:val="5C6652"/>
                <w:sz w:val="20"/>
                <w:szCs w:val="20"/>
              </w:rPr>
              <w:t xml:space="preserve">Parchment</w:t>
            </w:r>
          </w:p>
        </w:tc>
        <w:tc>
          <w:tcPr>
            <w:tcW w:type="dxa" w:w="1800"/>
            <w:tcBorders>
              <w:top w:val="none" w:color="FFFFFF" w:sz="0"/>
              <w:left w:val="none" w:color="FFFFFF" w:sz="0"/>
              <w:bottom w:val="none" w:color="FFFFFF" w:sz="0"/>
              <w:right w:val="none" w:color="FFFFFF" w:sz="0"/>
            </w:tcBorders>
            <w:shd w:fill="EAEAE6"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#F7F4EE</w:t>
            </w:r>
          </w:p>
        </w:tc>
        <w:tc>
          <w:tcPr>
            <w:tcW w:type="dxa" w:w="5760"/>
            <w:tcBorders>
              <w:top w:val="none" w:color="FFFFFF" w:sz="0"/>
              <w:left w:val="none" w:color="FFFFFF" w:sz="0"/>
              <w:bottom w:val="single" w:color="D8D4CC" w:sz="1"/>
              <w:right w:val="none" w:color="FFFFFF" w:sz="0"/>
            </w:tcBorders>
            <w:shd w:fill="EAEAE6"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All slide and document backgrounds</w:t>
            </w:r>
          </w:p>
          <w:p>
            <w:pPr>
              <w:pStyle w:val="ListParagraph"/>
              <w:numPr>
                <w:ilvl w:val="0"/>
                <w:numId w:val="2"/>
              </w:numPr>
              <w:spacing w:after="30" w:before="30"/>
            </w:pPr>
            <w:r>
              <w:rPr>
                <w:rFonts w:ascii="Arial" w:cs="Arial" w:eastAsia="Arial" w:hAnsi="Arial"/>
                <w:color w:val="2C2C1E"/>
                <w:sz w:val="20"/>
                <w:szCs w:val="20"/>
              </w:rPr>
              <w:t xml:space="preserve">Base surface for every design — never swap for white</w:t>
            </w:r>
          </w:p>
          <w:p>
            <w:pPr>
              <w:pStyle w:val="ListParagraph"/>
              <w:numPr>
                <w:ilvl w:val="0"/>
                <w:numId w:val="2"/>
              </w:numPr>
              <w:spacing w:after="30" w:before="30"/>
            </w:pPr>
            <w:r>
              <w:rPr>
                <w:rFonts w:ascii="Arial" w:cs="Arial" w:eastAsia="Arial" w:hAnsi="Arial"/>
                <w:color w:val="2C2C1E"/>
                <w:sz w:val="20"/>
                <w:szCs w:val="20"/>
              </w:rPr>
              <w:t xml:space="preserve">Text colour on Moss Shadow and Dark Ink surfaces</w:t>
            </w:r>
          </w:p>
          <w:p>
            <w:pPr>
              <w:pStyle w:val="ListParagraph"/>
              <w:numPr>
                <w:ilvl w:val="0"/>
                <w:numId w:val="2"/>
              </w:numPr>
              <w:spacing w:after="30" w:before="30"/>
            </w:pPr>
            <w:r>
              <w:rPr>
                <w:rFonts w:ascii="Arial" w:cs="Arial" w:eastAsia="Arial" w:hAnsi="Arial"/>
                <w:color w:val="2C2C1E"/>
                <w:sz w:val="20"/>
                <w:szCs w:val="20"/>
              </w:rPr>
              <w:t xml:space="preserve">Card and section fills</w:t>
            </w:r>
          </w:p>
          <w:p>
            <w:pPr>
              <w:pStyle w:val="ListParagraph"/>
              <w:numPr>
                <w:ilvl w:val="0"/>
                <w:numId w:val="2"/>
              </w:numPr>
              <w:spacing w:after="30" w:before="30"/>
            </w:pPr>
            <w:r>
              <w:rPr>
                <w:rFonts w:ascii="Arial" w:cs="Arial" w:eastAsia="Arial" w:hAnsi="Arial"/>
                <w:color w:val="2C2C1E"/>
                <w:sz w:val="20"/>
                <w:szCs w:val="20"/>
              </w:rPr>
              <w:t xml:space="preserve">The breathing room between every other element</w:t>
            </w:r>
          </w:p>
        </w:tc>
      </w:tr>
      <w:tr>
        <w:tc>
          <w:tcPr>
            <w:tcW w:type="dxa" w:w="1800"/>
            <w:tcBorders>
              <w:top w:val="none" w:color="FFFFFF" w:sz="0"/>
              <w:left w:val="none" w:color="FFFFFF" w:sz="0"/>
              <w:bottom w:val="none" w:color="FFFFFF" w:sz="0"/>
              <w:right w:val="none" w:color="FFFFFF" w:sz="0"/>
            </w:tcBorders>
            <w:shd w:fill="5C6652" w:val="clear"/>
            <w:tcMar>
              <w:top w:type="dxa" w:w="120"/>
              <w:left w:type="dxa" w:w="120"/>
              <w:bottom w:type="dxa" w:w="120"/>
              <w:right w:type="dxa" w:w="120"/>
            </w:tcMar>
            <w:vAlign w:val="center"/>
          </w:tcPr>
          <w:p>
            <w:pPr>
              <w:jc w:val="center"/>
            </w:pPr>
            <w:r>
              <w:rPr>
                <w:rFonts w:ascii="Arial" w:cs="Arial" w:eastAsia="Arial" w:hAnsi="Arial"/>
                <w:b/>
                <w:bCs/>
                <w:color w:val="F7F4EE"/>
                <w:sz w:val="20"/>
                <w:szCs w:val="20"/>
              </w:rPr>
              <w:t xml:space="preserve">Moss Shadow</w:t>
            </w:r>
          </w:p>
        </w:tc>
        <w:tc>
          <w:tcPr>
            <w:tcW w:type="dxa" w:w="1800"/>
            <w:tcBorders>
              <w:top w:val="none" w:color="FFFFFF" w:sz="0"/>
              <w:left w:val="none" w:color="FFFFFF" w:sz="0"/>
              <w:bottom w:val="none" w:color="FFFFFF" w:sz="0"/>
              <w:right w:val="none" w:color="FFFFFF" w:sz="0"/>
            </w:tcBorders>
            <w:shd w:fill="F7F4EE"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#5C6652</w:t>
            </w:r>
          </w:p>
        </w:tc>
        <w:tc>
          <w:tcPr>
            <w:tcW w:type="dxa" w:w="5760"/>
            <w:tcBorders>
              <w:top w:val="none" w:color="FFFFFF" w:sz="0"/>
              <w:left w:val="none" w:color="FFFFFF" w:sz="0"/>
              <w:bottom w:val="single" w:color="D8D4CC" w:sz="1"/>
              <w:right w:val="none" w:color="FFFFFF" w:sz="0"/>
            </w:tcBorders>
            <w:shd w:fill="F7F4EE"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Logo and primary brand headlines</w:t>
            </w:r>
          </w:p>
          <w:p>
            <w:pPr>
              <w:pStyle w:val="ListParagraph"/>
              <w:numPr>
                <w:ilvl w:val="0"/>
                <w:numId w:val="2"/>
              </w:numPr>
              <w:spacing w:after="30" w:before="30"/>
            </w:pPr>
            <w:r>
              <w:rPr>
                <w:rFonts w:ascii="Arial" w:cs="Arial" w:eastAsia="Arial" w:hAnsi="Arial"/>
                <w:color w:val="2C2C1E"/>
                <w:sz w:val="20"/>
                <w:szCs w:val="20"/>
              </w:rPr>
              <w:t xml:space="preserve">Slide header bars and key structural blocks</w:t>
            </w:r>
          </w:p>
          <w:p>
            <w:pPr>
              <w:pStyle w:val="ListParagraph"/>
              <w:numPr>
                <w:ilvl w:val="0"/>
                <w:numId w:val="2"/>
              </w:numPr>
              <w:spacing w:after="30" w:before="30"/>
            </w:pPr>
            <w:r>
              <w:rPr>
                <w:rFonts w:ascii="Arial" w:cs="Arial" w:eastAsia="Arial" w:hAnsi="Arial"/>
                <w:color w:val="2C2C1E"/>
                <w:sz w:val="20"/>
                <w:szCs w:val="20"/>
              </w:rPr>
              <w:t xml:space="preserve">Poll cards, quote cards, and call-to-action blocks</w:t>
            </w:r>
          </w:p>
          <w:p>
            <w:pPr>
              <w:pStyle w:val="ListParagraph"/>
              <w:numPr>
                <w:ilvl w:val="0"/>
                <w:numId w:val="2"/>
              </w:numPr>
              <w:spacing w:after="30" w:before="30"/>
            </w:pPr>
            <w:r>
              <w:rPr>
                <w:rFonts w:ascii="Arial" w:cs="Arial" w:eastAsia="Arial" w:hAnsi="Arial"/>
                <w:color w:val="2C2C1E"/>
                <w:sz w:val="20"/>
                <w:szCs w:val="20"/>
              </w:rPr>
              <w:t xml:space="preserve">Accent divider lines and border accents</w:t>
            </w:r>
          </w:p>
          <w:p>
            <w:pPr>
              <w:pStyle w:val="ListParagraph"/>
              <w:numPr>
                <w:ilvl w:val="0"/>
                <w:numId w:val="2"/>
              </w:numPr>
              <w:spacing w:after="30" w:before="30"/>
            </w:pPr>
            <w:r>
              <w:rPr>
                <w:rFonts w:ascii="Arial" w:cs="Arial" w:eastAsia="Arial" w:hAnsi="Arial"/>
                <w:color w:val="2C2C1E"/>
                <w:sz w:val="20"/>
                <w:szCs w:val="20"/>
              </w:rPr>
              <w:t xml:space="preserve">Chain diagram trigger node (first step only)</w:t>
            </w:r>
          </w:p>
          <w:p>
            <w:pPr>
              <w:pStyle w:val="ListParagraph"/>
              <w:numPr>
                <w:ilvl w:val="0"/>
                <w:numId w:val="2"/>
              </w:numPr>
              <w:spacing w:after="30" w:before="30"/>
            </w:pPr>
            <w:r>
              <w:rPr>
                <w:rFonts w:ascii="Arial" w:cs="Arial" w:eastAsia="Arial" w:hAnsi="Arial"/>
                <w:color w:val="2C2C1E"/>
                <w:sz w:val="20"/>
                <w:szCs w:val="20"/>
              </w:rPr>
              <w:t xml:space="preserve">NEVER used as a full slide background</w:t>
            </w:r>
          </w:p>
        </w:tc>
      </w:tr>
      <w:tr>
        <w:tc>
          <w:tcPr>
            <w:tcW w:type="dxa" w:w="1800"/>
            <w:tcBorders>
              <w:top w:val="none" w:color="FFFFFF" w:sz="0"/>
              <w:left w:val="none" w:color="FFFFFF" w:sz="0"/>
              <w:bottom w:val="none" w:color="FFFFFF" w:sz="0"/>
              <w:right w:val="none" w:color="FFFFFF" w:sz="0"/>
            </w:tcBorders>
            <w:shd w:fill="2C2C1E" w:val="clear"/>
            <w:tcMar>
              <w:top w:type="dxa" w:w="120"/>
              <w:left w:type="dxa" w:w="120"/>
              <w:bottom w:type="dxa" w:w="120"/>
              <w:right w:type="dxa" w:w="120"/>
            </w:tcMar>
            <w:vAlign w:val="center"/>
          </w:tcPr>
          <w:p>
            <w:pPr>
              <w:jc w:val="center"/>
            </w:pPr>
            <w:r>
              <w:rPr>
                <w:rFonts w:ascii="Arial" w:cs="Arial" w:eastAsia="Arial" w:hAnsi="Arial"/>
                <w:b/>
                <w:bCs/>
                <w:color w:val="F7F4EE"/>
                <w:sz w:val="20"/>
                <w:szCs w:val="20"/>
              </w:rPr>
              <w:t xml:space="preserve">Dark Ink</w:t>
            </w:r>
          </w:p>
        </w:tc>
        <w:tc>
          <w:tcPr>
            <w:tcW w:type="dxa" w:w="1800"/>
            <w:tcBorders>
              <w:top w:val="none" w:color="FFFFFF" w:sz="0"/>
              <w:left w:val="none" w:color="FFFFFF" w:sz="0"/>
              <w:bottom w:val="none" w:color="FFFFFF" w:sz="0"/>
              <w:right w:val="none" w:color="FFFFFF" w:sz="0"/>
            </w:tcBorders>
            <w:shd w:fill="EAEAE6"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#2C2C1E</w:t>
            </w:r>
          </w:p>
        </w:tc>
        <w:tc>
          <w:tcPr>
            <w:tcW w:type="dxa" w:w="5760"/>
            <w:tcBorders>
              <w:top w:val="none" w:color="FFFFFF" w:sz="0"/>
              <w:left w:val="none" w:color="FFFFFF" w:sz="0"/>
              <w:bottom w:val="single" w:color="D8D4CC" w:sz="1"/>
              <w:right w:val="none" w:color="FFFFFF" w:sz="0"/>
            </w:tcBorders>
            <w:shd w:fill="EAEAE6"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All italic emphasis punches in headlines</w:t>
            </w:r>
          </w:p>
          <w:p>
            <w:pPr>
              <w:pStyle w:val="ListParagraph"/>
              <w:numPr>
                <w:ilvl w:val="0"/>
                <w:numId w:val="2"/>
              </w:numPr>
              <w:spacing w:after="30" w:before="30"/>
            </w:pPr>
            <w:r>
              <w:rPr>
                <w:rFonts w:ascii="Arial" w:cs="Arial" w:eastAsia="Arial" w:hAnsi="Arial"/>
                <w:color w:val="2C2C1E"/>
                <w:sz w:val="20"/>
                <w:szCs w:val="20"/>
              </w:rPr>
              <w:t xml:space="preserve">Diagram consequence nodes (steps 2 through end)</w:t>
            </w:r>
          </w:p>
          <w:p>
            <w:pPr>
              <w:pStyle w:val="ListParagraph"/>
              <w:numPr>
                <w:ilvl w:val="0"/>
                <w:numId w:val="2"/>
              </w:numPr>
              <w:spacing w:after="30" w:before="30"/>
            </w:pPr>
            <w:r>
              <w:rPr>
                <w:rFonts w:ascii="Arial" w:cs="Arial" w:eastAsia="Arial" w:hAnsi="Arial"/>
                <w:color w:val="2C2C1E"/>
                <w:sz w:val="20"/>
                <w:szCs w:val="20"/>
              </w:rPr>
              <w:t xml:space="preserve">Speaker note blocks and dark header bars</w:t>
            </w:r>
          </w:p>
          <w:p>
            <w:pPr>
              <w:pStyle w:val="ListParagraph"/>
              <w:numPr>
                <w:ilvl w:val="0"/>
                <w:numId w:val="2"/>
              </w:numPr>
              <w:spacing w:after="30" w:before="30"/>
            </w:pPr>
            <w:r>
              <w:rPr>
                <w:rFonts w:ascii="Arial" w:cs="Arial" w:eastAsia="Arial" w:hAnsi="Arial"/>
                <w:color w:val="2C2C1E"/>
                <w:sz w:val="20"/>
                <w:szCs w:val="20"/>
              </w:rPr>
              <w:t xml:space="preserve">Body text when maximum contrast is needed</w:t>
            </w:r>
          </w:p>
          <w:p>
            <w:pPr>
              <w:pStyle w:val="ListParagraph"/>
              <w:numPr>
                <w:ilvl w:val="0"/>
                <w:numId w:val="2"/>
              </w:numPr>
              <w:spacing w:after="30" w:before="30"/>
            </w:pPr>
            <w:r>
              <w:rPr>
                <w:rFonts w:ascii="Arial" w:cs="Arial" w:eastAsia="Arial" w:hAnsi="Arial"/>
                <w:color w:val="2C2C1E"/>
                <w:sz w:val="20"/>
                <w:szCs w:val="20"/>
              </w:rPr>
              <w:t xml:space="preserve">One element per slide maximum — never dominant</w:t>
            </w:r>
          </w:p>
        </w:tc>
      </w:tr>
      <w:tr>
        <w:tc>
          <w:tcPr>
            <w:tcW w:type="dxa" w:w="1800"/>
            <w:tcBorders>
              <w:top w:val="none" w:color="FFFFFF" w:sz="0"/>
              <w:left w:val="none" w:color="FFFFFF" w:sz="0"/>
              <w:bottom w:val="none" w:color="FFFFFF" w:sz="0"/>
              <w:right w:val="none" w:color="FFFFFF" w:sz="0"/>
            </w:tcBorders>
            <w:shd w:fill="E8C547" w:val="clear"/>
            <w:tcMar>
              <w:top w:type="dxa" w:w="120"/>
              <w:left w:type="dxa" w:w="120"/>
              <w:bottom w:type="dxa" w:w="120"/>
              <w:right w:type="dxa" w:w="120"/>
            </w:tcMar>
            <w:vAlign w:val="center"/>
          </w:tcPr>
          <w:p>
            <w:pPr>
              <w:jc w:val="center"/>
            </w:pPr>
            <w:r>
              <w:rPr>
                <w:rFonts w:ascii="Arial" w:cs="Arial" w:eastAsia="Arial" w:hAnsi="Arial"/>
                <w:b/>
                <w:bCs/>
                <w:color w:val="2C2C1E"/>
                <w:sz w:val="20"/>
                <w:szCs w:val="20"/>
              </w:rPr>
              <w:t xml:space="preserve">Marigold</w:t>
            </w:r>
          </w:p>
        </w:tc>
        <w:tc>
          <w:tcPr>
            <w:tcW w:type="dxa" w:w="1800"/>
            <w:tcBorders>
              <w:top w:val="none" w:color="FFFFFF" w:sz="0"/>
              <w:left w:val="none" w:color="FFFFFF" w:sz="0"/>
              <w:bottom w:val="none" w:color="FFFFFF" w:sz="0"/>
              <w:right w:val="none" w:color="FFFFFF" w:sz="0"/>
            </w:tcBorders>
            <w:shd w:fill="F7F4EE"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#E8C547</w:t>
            </w:r>
          </w:p>
        </w:tc>
        <w:tc>
          <w:tcPr>
            <w:tcW w:type="dxa" w:w="5760"/>
            <w:tcBorders>
              <w:top w:val="none" w:color="FFFFFF" w:sz="0"/>
              <w:left w:val="none" w:color="FFFFFF" w:sz="0"/>
              <w:bottom w:val="single" w:color="D8D4CC" w:sz="1"/>
              <w:right w:val="none" w:color="FFFFFF" w:sz="0"/>
            </w:tcBorders>
            <w:shd w:fill="F7F4EE"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ONE element per design only — the single focal point</w:t>
            </w:r>
          </w:p>
          <w:p>
            <w:pPr>
              <w:pStyle w:val="ListParagraph"/>
              <w:numPr>
                <w:ilvl w:val="0"/>
                <w:numId w:val="2"/>
              </w:numPr>
              <w:spacing w:after="30" w:before="30"/>
            </w:pPr>
            <w:r>
              <w:rPr>
                <w:rFonts w:ascii="Arial" w:cs="Arial" w:eastAsia="Arial" w:hAnsi="Arial"/>
                <w:color w:val="2C2C1E"/>
                <w:sz w:val="20"/>
                <w:szCs w:val="20"/>
              </w:rPr>
              <w:t xml:space="preserve">CTA buttons, divider lines, pull-quote underlines</w:t>
            </w:r>
          </w:p>
          <w:p>
            <w:pPr>
              <w:pStyle w:val="ListParagraph"/>
              <w:numPr>
                <w:ilvl w:val="0"/>
                <w:numId w:val="2"/>
              </w:numPr>
              <w:spacing w:after="30" w:before="30"/>
            </w:pPr>
            <w:r>
              <w:rPr>
                <w:rFonts w:ascii="Arial" w:cs="Arial" w:eastAsia="Arial" w:hAnsi="Arial"/>
                <w:color w:val="2C2C1E"/>
                <w:sz w:val="20"/>
                <w:szCs w:val="20"/>
              </w:rPr>
              <w:t xml:space="preserve">Poll badges and single highlight moments</w:t>
            </w:r>
          </w:p>
          <w:p>
            <w:pPr>
              <w:pStyle w:val="ListParagraph"/>
              <w:numPr>
                <w:ilvl w:val="0"/>
                <w:numId w:val="2"/>
              </w:numPr>
              <w:spacing w:after="30" w:before="30"/>
            </w:pPr>
            <w:r>
              <w:rPr>
                <w:rFonts w:ascii="Arial" w:cs="Arial" w:eastAsia="Arial" w:hAnsi="Arial"/>
                <w:color w:val="2C2C1E"/>
                <w:sz w:val="20"/>
                <w:szCs w:val="20"/>
              </w:rPr>
              <w:t xml:space="preserve">NEVER a background colour — not even on cards</w:t>
            </w:r>
          </w:p>
          <w:p>
            <w:pPr>
              <w:pStyle w:val="ListParagraph"/>
              <w:numPr>
                <w:ilvl w:val="0"/>
                <w:numId w:val="2"/>
              </w:numPr>
              <w:spacing w:after="30" w:before="30"/>
            </w:pPr>
            <w:r>
              <w:rPr>
                <w:rFonts w:ascii="Arial" w:cs="Arial" w:eastAsia="Arial" w:hAnsi="Arial"/>
                <w:color w:val="2C2C1E"/>
                <w:sz w:val="20"/>
                <w:szCs w:val="20"/>
              </w:rPr>
              <w:t xml:space="preserve">NEVER on body text or headlines</w:t>
            </w:r>
          </w:p>
          <w:p>
            <w:pPr>
              <w:pStyle w:val="ListParagraph"/>
              <w:numPr>
                <w:ilvl w:val="0"/>
                <w:numId w:val="2"/>
              </w:numPr>
              <w:spacing w:after="30" w:before="30"/>
            </w:pPr>
            <w:r>
              <w:rPr>
                <w:rFonts w:ascii="Arial" w:cs="Arial" w:eastAsia="Arial" w:hAnsi="Arial"/>
                <w:color w:val="2C2C1E"/>
                <w:sz w:val="20"/>
                <w:szCs w:val="20"/>
              </w:rPr>
              <w:t xml:space="preserve">NEVER used twice on the same slide or post</w:t>
            </w:r>
          </w:p>
        </w:tc>
      </w:tr>
    </w:tbl>
    <w:p>
      <w:pPr>
        <w:spacing w:after="0" w:before="0"/>
      </w:pPr>
      <w:r>
        <w:rPr>
          <w:sz w:val="200"/>
          <w:szCs w:val="200"/>
        </w:rPr>
        <w:t xml:space="preserve"/>
      </w:r>
    </w:p>
    <w:p>
      <w:r>
        <w:br w:type="page"/>
      </w:r>
    </w:p>
    <w:p>
      <w:pPr>
        <w:pBdr>
          <w:bottom w:val="single" w:color="5C6652" w:sz="8" w:space="6"/>
        </w:pBdr>
        <w:spacing w:after="160" w:before="400"/>
      </w:pPr>
      <w:r>
        <w:rPr>
          <w:rFonts w:ascii="Arial" w:cs="Arial" w:eastAsia="Arial" w:hAnsi="Arial"/>
          <w:b/>
          <w:bCs/>
          <w:color w:val="2C2C1E"/>
          <w:sz w:val="36"/>
          <w:szCs w:val="36"/>
        </w:rPr>
        <w:t xml:space="preserve">02   The Rules</w:t>
      </w:r>
    </w:p>
    <w:p>
      <w:pPr>
        <w:spacing w:after="0" w:before="0"/>
      </w:pPr>
      <w:r>
        <w:rPr>
          <w:sz w:val="80"/>
          <w:szCs w:val="80"/>
        </w:rPr>
        <w:t xml:space="preserve"/>
      </w:r>
    </w:p>
    <w:p>
      <w:pPr>
        <w:spacing w:after="60" w:before="60"/>
      </w:pPr>
      <w:r>
        <w:rPr>
          <w:rFonts w:ascii="Georgia" w:cs="Georgia" w:eastAsia="Georgia" w:hAnsi="Georgia"/>
          <w:b w:val="false"/>
          <w:bCs w:val="false"/>
          <w:i w:val="false"/>
          <w:iCs w:val="false"/>
          <w:color w:val="2C2C1E"/>
          <w:sz w:val="22"/>
          <w:szCs w:val="22"/>
        </w:rPr>
        <w:t xml:space="preserve">These rules exist to protect the palette from its own threats. Every rule below is derived from a real risk identified in the brand SWOT. Follow them without exception.</w:t>
      </w:r>
    </w:p>
    <w:p>
      <w:pPr>
        <w:spacing w:after="0" w:before="0"/>
      </w:pPr>
      <w:r>
        <w:rPr>
          <w:sz w:val="160"/>
          <w:szCs w:val="160"/>
        </w:rPr>
        <w:t xml:space="preserve"/>
      </w:r>
    </w:p>
    <w:p>
      <w:pPr>
        <w:spacing w:after="100" w:before="300"/>
      </w:pPr>
      <w:r>
        <w:rPr>
          <w:rFonts w:ascii="Arial" w:cs="Arial" w:eastAsia="Arial" w:hAnsi="Arial"/>
          <w:b/>
          <w:bCs/>
          <w:color w:val="2C2C1E"/>
          <w:sz w:val="26"/>
          <w:szCs w:val="26"/>
        </w:rPr>
        <w:t xml:space="preserve">Rule 1 — Parchment is always the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C547" w:sz="24"/>
              <w:bottom w:val="none" w:color="FFFFFF" w:sz="0"/>
              <w:right w:val="none" w:color="FFFFFF" w:sz="0"/>
            </w:tcBorders>
            <w:shd w:fill="FDF6DC" w:val="clear"/>
            <w:tcMar>
              <w:top w:type="dxa" w:w="160"/>
              <w:left w:type="dxa" w:w="240"/>
              <w:bottom w:type="dxa" w:w="160"/>
              <w:right w:type="dxa" w:w="240"/>
            </w:tcMar>
          </w:tcPr>
          <w:p>
            <w:pPr>
              <w:spacing w:after="0" w:before="0"/>
            </w:pPr>
            <w:r>
              <w:rPr>
                <w:rFonts w:ascii="Arial" w:cs="Arial" w:eastAsia="Arial" w:hAnsi="Arial"/>
                <w:color w:val="2C2C1E"/>
                <w:sz w:val="22"/>
                <w:szCs w:val="22"/>
              </w:rPr>
              <w:t xml:space="preserve">Never replace Parchment with plain white. Never use white as a slide background. The warmth of Parchment is what separates this brand from every generic clean wellness brand. The moment you swap it for white, the brand loses its identity.</w:t>
            </w:r>
          </w:p>
        </w:tc>
      </w:tr>
    </w:tbl>
    <w:p>
      <w:pPr>
        <w:spacing w:after="0" w:before="0"/>
      </w:pPr>
      <w:r>
        <w:rPr>
          <w:sz w:val="160"/>
          <w:szCs w:val="160"/>
        </w:rPr>
        <w:t xml:space="preserve"/>
      </w:r>
    </w:p>
    <w:p>
      <w:pPr>
        <w:spacing w:after="100" w:before="300"/>
      </w:pPr>
      <w:r>
        <w:rPr>
          <w:rFonts w:ascii="Arial" w:cs="Arial" w:eastAsia="Arial" w:hAnsi="Arial"/>
          <w:b/>
          <w:bCs/>
          <w:color w:val="2C2C1E"/>
          <w:sz w:val="26"/>
          <w:szCs w:val="26"/>
        </w:rPr>
        <w:t xml:space="preserve">Rule 2 — Moss Shadow is a voice, not a wallpaper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C547" w:sz="24"/>
              <w:bottom w:val="none" w:color="FFFFFF" w:sz="0"/>
              <w:right w:val="none" w:color="FFFFFF" w:sz="0"/>
            </w:tcBorders>
            <w:shd w:fill="FDF6DC" w:val="clear"/>
            <w:tcMar>
              <w:top w:type="dxa" w:w="160"/>
              <w:left w:type="dxa" w:w="240"/>
              <w:bottom w:type="dxa" w:w="160"/>
              <w:right w:type="dxa" w:w="240"/>
            </w:tcMar>
          </w:tcPr>
          <w:p>
            <w:pPr>
              <w:spacing w:after="0" w:before="0"/>
            </w:pPr>
            <w:r>
              <w:rPr>
                <w:rFonts w:ascii="Arial" w:cs="Arial" w:eastAsia="Arial" w:hAnsi="Arial"/>
                <w:color w:val="2C2C1E"/>
                <w:sz w:val="22"/>
                <w:szCs w:val="22"/>
              </w:rPr>
              <w:t xml:space="preserve">Moss Shadow must never cover large surfaces. It lives in header bars, cards, blocks, and accent lines. The moment it becomes a full slide or post background, it reads as an organic food brand or a garden centre. Keep it bounded.</w:t>
            </w:r>
          </w:p>
        </w:tc>
      </w:tr>
    </w:tbl>
    <w:p>
      <w:pPr>
        <w:spacing w:after="0" w:before="0"/>
      </w:pPr>
      <w:r>
        <w:rPr>
          <w:sz w:val="160"/>
          <w:szCs w:val="160"/>
        </w:rPr>
        <w:t xml:space="preserve"/>
      </w:r>
    </w:p>
    <w:p>
      <w:pPr>
        <w:spacing w:after="100" w:before="300"/>
      </w:pPr>
      <w:r>
        <w:rPr>
          <w:rFonts w:ascii="Arial" w:cs="Arial" w:eastAsia="Arial" w:hAnsi="Arial"/>
          <w:b/>
          <w:bCs/>
          <w:color w:val="2C2C1E"/>
          <w:sz w:val="26"/>
          <w:szCs w:val="26"/>
        </w:rPr>
        <w:t xml:space="preserve">Rule 3 — Dark Ink is used once per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C547" w:sz="24"/>
              <w:bottom w:val="none" w:color="FFFFFF" w:sz="0"/>
              <w:right w:val="none" w:color="FFFFFF" w:sz="0"/>
            </w:tcBorders>
            <w:shd w:fill="FDF6DC" w:val="clear"/>
            <w:tcMar>
              <w:top w:type="dxa" w:w="160"/>
              <w:left w:type="dxa" w:w="240"/>
              <w:bottom w:type="dxa" w:w="160"/>
              <w:right w:type="dxa" w:w="240"/>
            </w:tcMar>
          </w:tcPr>
          <w:p>
            <w:pPr>
              <w:spacing w:after="0" w:before="0"/>
            </w:pPr>
            <w:r>
              <w:rPr>
                <w:rFonts w:ascii="Arial" w:cs="Arial" w:eastAsia="Arial" w:hAnsi="Arial"/>
                <w:color w:val="2C2C1E"/>
                <w:sz w:val="22"/>
                <w:szCs w:val="22"/>
              </w:rPr>
              <w:t xml:space="preserve">Dark Ink creates weight and authority. One element per slide. Header bar OR body text OR diagram nodes — never all three simultaneously. When in doubt, use Moss Shadow instead. Too much Dark Ink makes the design feel heavy and closed-in.</w:t>
            </w:r>
          </w:p>
        </w:tc>
      </w:tr>
    </w:tbl>
    <w:p>
      <w:pPr>
        <w:spacing w:after="0" w:before="0"/>
      </w:pPr>
      <w:r>
        <w:rPr>
          <w:sz w:val="160"/>
          <w:szCs w:val="160"/>
        </w:rPr>
        <w:t xml:space="preserve"/>
      </w:r>
    </w:p>
    <w:p>
      <w:pPr>
        <w:spacing w:after="100" w:before="300"/>
      </w:pPr>
      <w:r>
        <w:rPr>
          <w:rFonts w:ascii="Arial" w:cs="Arial" w:eastAsia="Arial" w:hAnsi="Arial"/>
          <w:b/>
          <w:bCs/>
          <w:color w:val="2C2C1E"/>
          <w:sz w:val="26"/>
          <w:szCs w:val="26"/>
        </w:rPr>
        <w:t xml:space="preserve">Rule 4 — Marigold appears exactly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1E" w:val="clear"/>
            <w:tcMar>
              <w:top w:type="dxa" w:w="200"/>
              <w:left w:type="dxa" w:w="280"/>
              <w:bottom w:type="dxa" w:w="200"/>
              <w:right w:type="dxa" w:w="280"/>
            </w:tcMar>
          </w:tcPr>
          <w:p>
            <w:pPr>
              <w:spacing w:after="80" w:before="0"/>
            </w:pPr>
            <w:r>
              <w:rPr>
                <w:rFonts w:ascii="Arial" w:cs="Arial" w:eastAsia="Arial" w:hAnsi="Arial"/>
                <w:b/>
                <w:bCs/>
                <w:color w:val="E8C547"/>
                <w:sz w:val="22"/>
                <w:szCs w:val="22"/>
              </w:rPr>
              <w:t xml:space="preserve">The Marigold Rule</w:t>
            </w:r>
          </w:p>
          <w:p>
            <w:pPr>
              <w:spacing w:after="100" w:before="0"/>
            </w:pPr>
            <w:r>
              <w:rPr>
                <w:rFonts w:ascii="Georgia" w:cs="Georgia" w:eastAsia="Georgia" w:hAnsi="Georgia"/>
                <w:i/>
                <w:iCs/>
                <w:color w:val="F7F4EE"/>
                <w:sz w:val="24"/>
                <w:szCs w:val="24"/>
              </w:rPr>
              <w:t xml:space="preserve">One element. Per design. Maximum. Always.</w:t>
            </w:r>
          </w:p>
          <w:p>
            <w:pPr>
              <w:spacing w:after="0" w:before="0"/>
            </w:pPr>
            <w:r>
              <w:rPr>
                <w:rFonts w:ascii="Arial" w:cs="Arial" w:eastAsia="Arial" w:hAnsi="Arial"/>
                <w:color w:val="D4D0C8"/>
                <w:sz w:val="22"/>
                <w:szCs w:val="22"/>
              </w:rPr>
              <w:t xml:space="preserve">Marigold marks the single most important thing on the page. It is the eye. Use it where you want the audience to land first — a divider line beneath the headline, a CTA button, a poll badge. If you can remove the Marigold element and the design still works, it was in the right place. If removing it breaks the design, you have overused it.</w:t>
            </w:r>
          </w:p>
        </w:tc>
      </w:tr>
    </w:tbl>
    <w:p>
      <w:pPr>
        <w:spacing w:after="0" w:before="0"/>
      </w:pPr>
      <w:r>
        <w:rPr>
          <w:sz w:val="160"/>
          <w:szCs w:val="160"/>
        </w:rPr>
        <w:t xml:space="preserve"/>
      </w:r>
    </w:p>
    <w:p>
      <w:pPr>
        <w:spacing w:after="100" w:before="300"/>
      </w:pPr>
      <w:r>
        <w:rPr>
          <w:rFonts w:ascii="Arial" w:cs="Arial" w:eastAsia="Arial" w:hAnsi="Arial"/>
          <w:b/>
          <w:bCs/>
          <w:color w:val="2C2C1E"/>
          <w:sz w:val="26"/>
          <w:szCs w:val="26"/>
        </w:rPr>
        <w:t xml:space="preserve">Rule 5 — Typography carries the warmth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C547" w:sz="24"/>
              <w:bottom w:val="none" w:color="FFFFFF" w:sz="0"/>
              <w:right w:val="none" w:color="FFFFFF" w:sz="0"/>
            </w:tcBorders>
            <w:shd w:fill="FDF6DC" w:val="clear"/>
            <w:tcMar>
              <w:top w:type="dxa" w:w="160"/>
              <w:left w:type="dxa" w:w="240"/>
              <w:bottom w:type="dxa" w:w="160"/>
              <w:right w:type="dxa" w:w="240"/>
            </w:tcMar>
          </w:tcPr>
          <w:p>
            <w:pPr>
              <w:spacing w:after="0" w:before="0"/>
            </w:pPr>
            <w:r>
              <w:rPr>
                <w:rFonts w:ascii="Arial" w:cs="Arial" w:eastAsia="Arial" w:hAnsi="Arial"/>
                <w:color w:val="2C2C1E"/>
                <w:sz w:val="22"/>
                <w:szCs w:val="22"/>
              </w:rPr>
              <w:t xml:space="preserve">The palette is quiet so the words can be fierce. Use a serif typeface (Georgia or equivalent) for all headlines and pull quotes. Use a clean sans-serif (Arial or equivalent) for all body text, labels, and UI elements. The contrast between the two creates the sophistication. Never let a poor font choice carry the brand — it will not survive it.</w:t>
            </w:r>
          </w:p>
        </w:tc>
      </w:tr>
    </w:tbl>
    <w:p>
      <w:pPr>
        <w:spacing w:after="0" w:before="0"/>
      </w:pPr>
      <w:r>
        <w:rPr>
          <w:sz w:val="160"/>
          <w:szCs w:val="160"/>
        </w:rPr>
        <w:t xml:space="preserve"/>
      </w:r>
    </w:p>
    <w:p>
      <w:pPr>
        <w:spacing w:after="100" w:before="300"/>
      </w:pPr>
      <w:r>
        <w:rPr>
          <w:rFonts w:ascii="Arial" w:cs="Arial" w:eastAsia="Arial" w:hAnsi="Arial"/>
          <w:b/>
          <w:bCs/>
          <w:color w:val="2C2C1E"/>
          <w:sz w:val="26"/>
          <w:szCs w:val="26"/>
        </w:rPr>
        <w:t xml:space="preserve">Rule 6 — Functional colours are never decorative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C547" w:sz="24"/>
              <w:bottom w:val="none" w:color="FFFFFF" w:sz="0"/>
              <w:right w:val="none" w:color="FFFFFF" w:sz="0"/>
            </w:tcBorders>
            <w:shd w:fill="FDF6DC" w:val="clear"/>
            <w:tcMar>
              <w:top w:type="dxa" w:w="160"/>
              <w:left w:type="dxa" w:w="240"/>
              <w:bottom w:type="dxa" w:w="160"/>
              <w:right w:type="dxa" w:w="240"/>
            </w:tcMar>
          </w:tcPr>
          <w:p>
            <w:pPr>
              <w:spacing w:after="0" w:before="0"/>
            </w:pPr>
            <w:r>
              <w:rPr>
                <w:rFonts w:ascii="Arial" w:cs="Arial" w:eastAsia="Arial" w:hAnsi="Arial"/>
                <w:color w:val="2C2C1E"/>
                <w:sz w:val="22"/>
                <w:szCs w:val="22"/>
              </w:rPr>
              <w:t xml:space="preserve">Red is for warnings, urgency, and errors only. Green is for positive results, success signals, and health outcomes only. Neither colour appears for decoration, variety, or visual interest. They carry meaning. If the meaning is not present, neither is the colour.</w:t>
            </w:r>
          </w:p>
        </w:tc>
      </w:tr>
    </w:tbl>
    <w:p>
      <w:pPr>
        <w:spacing w:after="0" w:before="0"/>
      </w:pPr>
      <w:r>
        <w:rPr>
          <w:sz w:val="200"/>
          <w:szCs w:val="200"/>
        </w:rPr>
        <w:t xml:space="preserve"/>
      </w:r>
    </w:p>
    <w:p>
      <w:r>
        <w:br w:type="page"/>
      </w:r>
    </w:p>
    <w:p>
      <w:pPr>
        <w:pBdr>
          <w:bottom w:val="single" w:color="5C6652" w:sz="8" w:space="6"/>
        </w:pBdr>
        <w:spacing w:after="160" w:before="400"/>
      </w:pPr>
      <w:r>
        <w:rPr>
          <w:rFonts w:ascii="Arial" w:cs="Arial" w:eastAsia="Arial" w:hAnsi="Arial"/>
          <w:b/>
          <w:bCs/>
          <w:color w:val="2C2C1E"/>
          <w:sz w:val="36"/>
          <w:szCs w:val="36"/>
        </w:rPr>
        <w:t xml:space="preserve">03   Threats and How to Beat Them</w:t>
      </w:r>
    </w:p>
    <w:p>
      <w:pPr>
        <w:spacing w:after="0" w:before="0"/>
      </w:pPr>
      <w:r>
        <w:rPr>
          <w:sz w:val="80"/>
          <w:szCs w:val="80"/>
        </w:rPr>
        <w:t xml:space="preserve"/>
      </w:r>
    </w:p>
    <w:p>
      <w:pPr>
        <w:spacing w:after="60" w:before="60"/>
      </w:pPr>
      <w:r>
        <w:rPr>
          <w:rFonts w:ascii="Georgia" w:cs="Georgia" w:eastAsia="Georgia" w:hAnsi="Georgia"/>
          <w:b w:val="false"/>
          <w:bCs w:val="false"/>
          <w:i w:val="false"/>
          <w:iCs w:val="false"/>
          <w:color w:val="2C2C1E"/>
          <w:sz w:val="22"/>
          <w:szCs w:val="22"/>
        </w:rPr>
        <w:t xml:space="preserve">Every weakness and threat identified in the brand SWOT has a specific preventive rule. This section connects each risk to its solution.</w:t>
      </w:r>
    </w:p>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EDE5"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THREAT</w:t>
            </w:r>
          </w:p>
          <w:p>
            <w:pPr>
              <w:spacing w:after="80" w:before="0"/>
            </w:pPr>
            <w:r>
              <w:rPr>
                <w:rFonts w:ascii="Georgia" w:cs="Georgia" w:eastAsia="Georgia" w:hAnsi="Georgia"/>
                <w:i/>
                <w:iCs/>
                <w:color w:val="2C2C1E"/>
                <w:sz w:val="22"/>
                <w:szCs w:val="22"/>
              </w:rPr>
              <w:t xml:space="preserve">"Reads as organic food brand"</w:t>
            </w:r>
          </w:p>
          <w:p>
            <w:pPr>
              <w:spacing w:after="0" w:before="0"/>
            </w:pPr>
            <w:r>
              <w:rPr>
                <w:rFonts w:ascii="Arial" w:cs="Arial" w:eastAsia="Arial" w:hAnsi="Arial"/>
                <w:color w:val="2C2C1E"/>
                <w:sz w:val="20"/>
                <w:szCs w:val="20"/>
              </w:rPr>
              <w:t xml:space="preserve">Overuse of Moss Shadow on large background surfaces triggers food and nature brand associations.</w:t>
            </w:r>
          </w:p>
        </w:tc>
        <w:tc>
          <w:tcPr>
            <w:tcW w:type="dxa" w:w="4680"/>
            <w:tcBorders>
              <w:top w:val="none" w:color="FFFFFF" w:sz="0"/>
              <w:left w:val="none" w:color="FFFFFF" w:sz="0"/>
              <w:bottom w:val="none" w:color="FFFFFF" w:sz="0"/>
              <w:right w:val="none" w:color="FFFFFF" w:sz="0"/>
            </w:tcBorders>
            <w:shd w:fill="F7F4EE"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SOLUTION</w:t>
            </w:r>
          </w:p>
          <w:p>
            <w:pPr>
              <w:spacing w:after="80" w:before="0"/>
            </w:pPr>
            <w:r>
              <w:rPr>
                <w:rFonts w:ascii="Georgia" w:cs="Georgia" w:eastAsia="Georgia" w:hAnsi="Georgia"/>
                <w:i/>
                <w:iCs/>
                <w:color w:val="5C6652"/>
                <w:sz w:val="22"/>
                <w:szCs w:val="22"/>
              </w:rPr>
              <w:t xml:space="preserve">Moss = accent only. Parchment = always the base.</w:t>
            </w:r>
          </w:p>
          <w:p>
            <w:pPr>
              <w:spacing w:after="0" w:before="0"/>
            </w:pPr>
            <w:r>
              <w:rPr>
                <w:rFonts w:ascii="Arial" w:cs="Arial" w:eastAsia="Arial" w:hAnsi="Arial"/>
                <w:color w:val="2C2C1E"/>
                <w:sz w:val="20"/>
                <w:szCs w:val="20"/>
              </w:rPr>
              <w:t xml:space="preserve">Moss Shadow lives in bounded blocks only — headers, cards, and accent lines. Never a full-slide or full-post background.</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EDE5"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THREAT</w:t>
            </w:r>
          </w:p>
          <w:p>
            <w:pPr>
              <w:spacing w:after="80" w:before="0"/>
            </w:pPr>
            <w:r>
              <w:rPr>
                <w:rFonts w:ascii="Georgia" w:cs="Georgia" w:eastAsia="Georgia" w:hAnsi="Georgia"/>
                <w:i/>
                <w:iCs/>
                <w:color w:val="2C2C1E"/>
                <w:sz w:val="22"/>
                <w:szCs w:val="22"/>
              </w:rPr>
              <w:t xml:space="preserve">"Too much Dark Ink feels heavy"</w:t>
            </w:r>
          </w:p>
          <w:p>
            <w:pPr>
              <w:spacing w:after="0" w:before="0"/>
            </w:pPr>
            <w:r>
              <w:rPr>
                <w:rFonts w:ascii="Arial" w:cs="Arial" w:eastAsia="Arial" w:hAnsi="Arial"/>
                <w:color w:val="2C2C1E"/>
                <w:sz w:val="20"/>
                <w:szCs w:val="20"/>
              </w:rPr>
              <w:t xml:space="preserve">Dark Ink on multiple elements simultaneously creates a closed, heavy feeling that contradicts the warmth of the brand.</w:t>
            </w:r>
          </w:p>
        </w:tc>
        <w:tc>
          <w:tcPr>
            <w:tcW w:type="dxa" w:w="4680"/>
            <w:tcBorders>
              <w:top w:val="none" w:color="FFFFFF" w:sz="0"/>
              <w:left w:val="none" w:color="FFFFFF" w:sz="0"/>
              <w:bottom w:val="none" w:color="FFFFFF" w:sz="0"/>
              <w:right w:val="none" w:color="FFFFFF" w:sz="0"/>
            </w:tcBorders>
            <w:shd w:fill="F7F4EE"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SOLUTION</w:t>
            </w:r>
          </w:p>
          <w:p>
            <w:pPr>
              <w:spacing w:after="80" w:before="0"/>
            </w:pPr>
            <w:r>
              <w:rPr>
                <w:rFonts w:ascii="Georgia" w:cs="Georgia" w:eastAsia="Georgia" w:hAnsi="Georgia"/>
                <w:i/>
                <w:iCs/>
                <w:color w:val="5C6652"/>
                <w:sz w:val="22"/>
                <w:szCs w:val="22"/>
              </w:rPr>
              <w:t xml:space="preserve">One Dark Ink element per slide. Always.</w:t>
            </w:r>
          </w:p>
          <w:p>
            <w:pPr>
              <w:spacing w:after="0" w:before="0"/>
            </w:pPr>
            <w:r>
              <w:rPr>
                <w:rFonts w:ascii="Arial" w:cs="Arial" w:eastAsia="Arial" w:hAnsi="Arial"/>
                <w:color w:val="2C2C1E"/>
                <w:sz w:val="20"/>
                <w:szCs w:val="20"/>
              </w:rPr>
              <w:t xml:space="preserve">Header bar OR emphasis italic OR diagram nodes. Never all three. When in doubt, reach for Moss Shadow instead of Dark Ink.</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EDE5"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THREAT</w:t>
            </w:r>
          </w:p>
          <w:p>
            <w:pPr>
              <w:spacing w:after="80" w:before="0"/>
            </w:pPr>
            <w:r>
              <w:rPr>
                <w:rFonts w:ascii="Georgia" w:cs="Georgia" w:eastAsia="Georgia" w:hAnsi="Georgia"/>
                <w:i/>
                <w:iCs/>
                <w:color w:val="2C2C1E"/>
                <w:sz w:val="22"/>
                <w:szCs w:val="22"/>
              </w:rPr>
              <w:t xml:space="preserve">"Marigold overuse breaks everything"</w:t>
            </w:r>
          </w:p>
          <w:p>
            <w:pPr>
              <w:spacing w:after="0" w:before="0"/>
            </w:pPr>
            <w:r>
              <w:rPr>
                <w:rFonts w:ascii="Arial" w:cs="Arial" w:eastAsia="Arial" w:hAnsi="Arial"/>
                <w:color w:val="2C2C1E"/>
                <w:sz w:val="20"/>
                <w:szCs w:val="20"/>
              </w:rPr>
              <w:t xml:space="preserve">Marigold is the most powerful and most dangerous element. Once it appears more than once, the brand tips from premium to cheap instantly.</w:t>
            </w:r>
          </w:p>
        </w:tc>
        <w:tc>
          <w:tcPr>
            <w:tcW w:type="dxa" w:w="4680"/>
            <w:tcBorders>
              <w:top w:val="none" w:color="FFFFFF" w:sz="0"/>
              <w:left w:val="none" w:color="FFFFFF" w:sz="0"/>
              <w:bottom w:val="none" w:color="FFFFFF" w:sz="0"/>
              <w:right w:val="none" w:color="FFFFFF" w:sz="0"/>
            </w:tcBorders>
            <w:shd w:fill="F7F4EE"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SOLUTION</w:t>
            </w:r>
          </w:p>
          <w:p>
            <w:pPr>
              <w:spacing w:after="80" w:before="0"/>
            </w:pPr>
            <w:r>
              <w:rPr>
                <w:rFonts w:ascii="Georgia" w:cs="Georgia" w:eastAsia="Georgia" w:hAnsi="Georgia"/>
                <w:i/>
                <w:iCs/>
                <w:color w:val="5C6652"/>
                <w:sz w:val="22"/>
                <w:szCs w:val="22"/>
              </w:rPr>
              <w:t xml:space="preserve">One Marigold element per design. Non-negotiable.</w:t>
            </w:r>
          </w:p>
          <w:p>
            <w:pPr>
              <w:spacing w:after="0" w:before="0"/>
            </w:pPr>
            <w:r>
              <w:rPr>
                <w:rFonts w:ascii="Arial" w:cs="Arial" w:eastAsia="Arial" w:hAnsi="Arial"/>
                <w:color w:val="2C2C1E"/>
                <w:sz w:val="20"/>
                <w:szCs w:val="20"/>
              </w:rPr>
              <w:t xml:space="preserve">Write this rule into every brief given to a designer or social media creator. It is the first thing they need to know.</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EDE5"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THREAT</w:t>
            </w:r>
          </w:p>
          <w:p>
            <w:pPr>
              <w:spacing w:after="80" w:before="0"/>
            </w:pPr>
            <w:r>
              <w:rPr>
                <w:rFonts w:ascii="Georgia" w:cs="Georgia" w:eastAsia="Georgia" w:hAnsi="Georgia"/>
                <w:i/>
                <w:iCs/>
                <w:color w:val="2C2C1E"/>
                <w:sz w:val="22"/>
                <w:szCs w:val="22"/>
              </w:rPr>
              <w:t xml:space="preserve">"Warmth lost without photography"</w:t>
            </w:r>
          </w:p>
          <w:p>
            <w:pPr>
              <w:spacing w:after="0" w:before="0"/>
            </w:pPr>
            <w:r>
              <w:rPr>
                <w:rFonts w:ascii="Arial" w:cs="Arial" w:eastAsia="Arial" w:hAnsi="Arial"/>
                <w:color w:val="2C2C1E"/>
                <w:sz w:val="20"/>
                <w:szCs w:val="20"/>
              </w:rPr>
              <w:t xml:space="preserve">Parchment is near-white. Without design discipline, plain Parchment surfaces can feel empty and cold on social media.</w:t>
            </w:r>
          </w:p>
        </w:tc>
        <w:tc>
          <w:tcPr>
            <w:tcW w:type="dxa" w:w="4680"/>
            <w:tcBorders>
              <w:top w:val="none" w:color="FFFFFF" w:sz="0"/>
              <w:left w:val="none" w:color="FFFFFF" w:sz="0"/>
              <w:bottom w:val="none" w:color="FFFFFF" w:sz="0"/>
              <w:right w:val="none" w:color="FFFFFF" w:sz="0"/>
            </w:tcBorders>
            <w:shd w:fill="F7F4EE"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SOLUTION</w:t>
            </w:r>
          </w:p>
          <w:p>
            <w:pPr>
              <w:spacing w:after="80" w:before="0"/>
            </w:pPr>
            <w:r>
              <w:rPr>
                <w:rFonts w:ascii="Georgia" w:cs="Georgia" w:eastAsia="Georgia" w:hAnsi="Georgia"/>
                <w:i/>
                <w:iCs/>
                <w:color w:val="5C6652"/>
                <w:sz w:val="22"/>
                <w:szCs w:val="22"/>
              </w:rPr>
              <w:t xml:space="preserve">Typography-led design. Words carry the warmth.</w:t>
            </w:r>
          </w:p>
          <w:p>
            <w:pPr>
              <w:spacing w:after="0" w:before="0"/>
            </w:pPr>
            <w:r>
              <w:rPr>
                <w:rFonts w:ascii="Arial" w:cs="Arial" w:eastAsia="Arial" w:hAnsi="Arial"/>
                <w:color w:val="2C2C1E"/>
                <w:sz w:val="20"/>
                <w:szCs w:val="20"/>
              </w:rPr>
              <w:t xml:space="preserve">Bold serif headlines on Parchment need no photography to feel alive. Pull-quote cards and stat slides are fully self-contained. Photography is an enhancement, not a requirement.</w:t>
            </w:r>
          </w:p>
        </w:tc>
      </w:tr>
    </w:tbl>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EDE5"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THREAT</w:t>
            </w:r>
          </w:p>
          <w:p>
            <w:pPr>
              <w:spacing w:after="80" w:before="0"/>
            </w:pPr>
            <w:r>
              <w:rPr>
                <w:rFonts w:ascii="Georgia" w:cs="Georgia" w:eastAsia="Georgia" w:hAnsi="Georgia"/>
                <w:i/>
                <w:iCs/>
                <w:color w:val="2C2C1E"/>
                <w:sz w:val="22"/>
                <w:szCs w:val="22"/>
              </w:rPr>
              <w:t xml:space="preserve">"Others make it generic"</w:t>
            </w:r>
          </w:p>
          <w:p>
            <w:pPr>
              <w:spacing w:after="0" w:before="0"/>
            </w:pPr>
            <w:r>
              <w:rPr>
                <w:rFonts w:ascii="Arial" w:cs="Arial" w:eastAsia="Arial" w:hAnsi="Arial"/>
                <w:color w:val="2C2C1E"/>
                <w:sz w:val="20"/>
                <w:szCs w:val="20"/>
              </w:rPr>
              <w:t xml:space="preserve">Without a brand guide, collaborators, social media creators, and designers will default to their own instincts — stripping warmth and distinctiveness.</w:t>
            </w:r>
          </w:p>
        </w:tc>
        <w:tc>
          <w:tcPr>
            <w:tcW w:type="dxa" w:w="4680"/>
            <w:tcBorders>
              <w:top w:val="none" w:color="FFFFFF" w:sz="0"/>
              <w:left w:val="none" w:color="FFFFFF" w:sz="0"/>
              <w:bottom w:val="none" w:color="FFFFFF" w:sz="0"/>
              <w:right w:val="none" w:color="FFFFFF" w:sz="0"/>
            </w:tcBorders>
            <w:shd w:fill="F7F4EE"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SOLUTION</w:t>
            </w:r>
          </w:p>
          <w:p>
            <w:pPr>
              <w:spacing w:after="80" w:before="0"/>
            </w:pPr>
            <w:r>
              <w:rPr>
                <w:rFonts w:ascii="Georgia" w:cs="Georgia" w:eastAsia="Georgia" w:hAnsi="Georgia"/>
                <w:i/>
                <w:iCs/>
                <w:color w:val="5C6652"/>
                <w:sz w:val="22"/>
                <w:szCs w:val="22"/>
              </w:rPr>
              <w:t xml:space="preserve">This document. Share it before any brief.</w:t>
            </w:r>
          </w:p>
          <w:p>
            <w:pPr>
              <w:spacing w:after="0" w:before="0"/>
            </w:pPr>
            <w:r>
              <w:rPr>
                <w:rFonts w:ascii="Arial" w:cs="Arial" w:eastAsia="Arial" w:hAnsi="Arial"/>
                <w:color w:val="2C2C1E"/>
                <w:sz w:val="20"/>
                <w:szCs w:val="20"/>
              </w:rPr>
              <w:t xml:space="preserve">This brand guide is the non-negotiable first step for anyone creating content. No exceptions. It is short enough to read in ten minutes.</w:t>
            </w:r>
          </w:p>
        </w:tc>
      </w:tr>
    </w:tbl>
    <w:p>
      <w:pPr>
        <w:spacing w:after="0" w:before="0"/>
      </w:pPr>
      <w:r>
        <w:rPr>
          <w:sz w:val="200"/>
          <w:szCs w:val="200"/>
        </w:rPr>
        <w:t xml:space="preserve"/>
      </w:r>
    </w:p>
    <w:p>
      <w:r>
        <w:br w:type="page"/>
      </w:r>
    </w:p>
    <w:p>
      <w:pPr>
        <w:pBdr>
          <w:bottom w:val="single" w:color="5C6652" w:sz="8" w:space="6"/>
        </w:pBdr>
        <w:spacing w:after="160" w:before="400"/>
      </w:pPr>
      <w:r>
        <w:rPr>
          <w:rFonts w:ascii="Arial" w:cs="Arial" w:eastAsia="Arial" w:hAnsi="Arial"/>
          <w:b/>
          <w:bCs/>
          <w:color w:val="2C2C1E"/>
          <w:sz w:val="36"/>
          <w:szCs w:val="36"/>
        </w:rPr>
        <w:t xml:space="preserve">04   Opportunities to Grow Into</w:t>
      </w:r>
    </w:p>
    <w:p>
      <w:pPr>
        <w:spacing w:after="0" w:before="0"/>
      </w:pPr>
      <w:r>
        <w:rPr>
          <w:sz w:val="80"/>
          <w:szCs w:val="80"/>
        </w:rPr>
        <w:t xml:space="preserve"/>
      </w:r>
    </w:p>
    <w:p>
      <w:pPr>
        <w:spacing w:after="60" w:before="60"/>
      </w:pPr>
      <w:r>
        <w:rPr>
          <w:rFonts w:ascii="Georgia" w:cs="Georgia" w:eastAsia="Georgia" w:hAnsi="Georgia"/>
          <w:b w:val="false"/>
          <w:bCs w:val="false"/>
          <w:i/>
          <w:iCs/>
          <w:color w:val="5C6652"/>
          <w:sz w:val="22"/>
          <w:szCs w:val="22"/>
        </w:rPr>
        <w:t xml:space="preserve">These are not rules — they are directions the brand can move as it matures.</w:t>
      </w:r>
    </w:p>
    <w:p>
      <w:pPr>
        <w:spacing w:after="0" w:before="0"/>
      </w:pPr>
      <w:r>
        <w:rPr>
          <w:sz w:val="160"/>
          <w:szCs w:val="160"/>
        </w:rPr>
        <w:t xml:space="preserve"/>
      </w:r>
    </w:p>
    <w:p>
      <w:pPr>
        <w:spacing w:after="80" w:before="200"/>
      </w:pPr>
      <w:r>
        <w:rPr>
          <w:rFonts w:ascii="Arial" w:cs="Arial" w:eastAsia="Arial" w:hAnsi="Arial"/>
          <w:b/>
          <w:bCs/>
          <w:color w:val="5C6652"/>
          <w:sz w:val="22"/>
          <w:szCs w:val="22"/>
        </w:rPr>
        <w:t xml:space="preserve">Typography as the primary brand differentiator</w:t>
      </w:r>
    </w:p>
    <w:p>
      <w:pPr>
        <w:spacing w:after="60" w:before="60"/>
      </w:pPr>
      <w:r>
        <w:rPr>
          <w:rFonts w:ascii="Arial" w:cs="Arial" w:eastAsia="Arial" w:hAnsi="Arial"/>
          <w:b w:val="false"/>
          <w:bCs w:val="false"/>
          <w:color w:val="2C2C1E"/>
          <w:sz w:val="22"/>
          <w:szCs w:val="22"/>
        </w:rPr>
        <w:t xml:space="preserve">Fraunces at weight 900 is genuinely ownable — no other health or nutrition brand uses it. As the brand grows, the type system can extend to event posters, book covers, and course materials without any palette change. The colours are stable enough to hold any typographic evolution.</w:t>
      </w:r>
    </w:p>
    <w:p>
      <w:pPr>
        <w:spacing w:after="0" w:before="0"/>
      </w:pPr>
      <w:r>
        <w:rPr>
          <w:sz w:val="120"/>
          <w:szCs w:val="120"/>
        </w:rPr>
        <w:t xml:space="preserve"/>
      </w:r>
    </w:p>
    <w:p>
      <w:pPr>
        <w:spacing w:after="80" w:before="200"/>
      </w:pPr>
      <w:r>
        <w:rPr>
          <w:rFonts w:ascii="Arial" w:cs="Arial" w:eastAsia="Arial" w:hAnsi="Arial"/>
          <w:b/>
          <w:bCs/>
          <w:color w:val="5C6652"/>
          <w:sz w:val="22"/>
          <w:szCs w:val="22"/>
        </w:rPr>
        <w:t xml:space="preserve">Social content — no photography needed</w:t>
      </w:r>
    </w:p>
    <w:p>
      <w:pPr>
        <w:spacing w:after="60" w:before="60"/>
      </w:pPr>
      <w:r>
        <w:rPr>
          <w:rFonts w:ascii="Arial" w:cs="Arial" w:eastAsia="Arial" w:hAnsi="Arial"/>
          <w:b w:val="false"/>
          <w:bCs w:val="false"/>
          <w:color w:val="2C2C1E"/>
          <w:sz w:val="22"/>
          <w:szCs w:val="22"/>
        </w:rPr>
        <w:t xml:space="preserve">Pull-quote cards, stat slides, and bold statement posts in Parchment + Moss + one Marigold moment are fully self-contained. They do not need photography to command attention. Build a library of typography-led templates using this system and social content becomes consistent and fast to produce.</w:t>
      </w:r>
    </w:p>
    <w:p>
      <w:pPr>
        <w:spacing w:after="0" w:before="0"/>
      </w:pPr>
      <w:r>
        <w:rPr>
          <w:sz w:val="120"/>
          <w:szCs w:val="120"/>
        </w:rPr>
        <w:t xml:space="preserve"/>
      </w:r>
    </w:p>
    <w:p>
      <w:pPr>
        <w:spacing w:after="80" w:before="200"/>
      </w:pPr>
      <w:r>
        <w:rPr>
          <w:rFonts w:ascii="Arial" w:cs="Arial" w:eastAsia="Arial" w:hAnsi="Arial"/>
          <w:b/>
          <w:bCs/>
          <w:color w:val="5C6652"/>
          <w:sz w:val="22"/>
          <w:szCs w:val="22"/>
        </w:rPr>
        <w:t xml:space="preserve">Extending into print and physical materials</w:t>
      </w:r>
    </w:p>
    <w:p>
      <w:pPr>
        <w:spacing w:after="60" w:before="60"/>
      </w:pPr>
      <w:r>
        <w:rPr>
          <w:rFonts w:ascii="Arial" w:cs="Arial" w:eastAsia="Arial" w:hAnsi="Arial"/>
          <w:b w:val="false"/>
          <w:bCs w:val="false"/>
          <w:color w:val="2C2C1E"/>
          <w:sz w:val="22"/>
          <w:szCs w:val="22"/>
        </w:rPr>
        <w:t xml:space="preserve">This palette translates directly into printed handouts, workbooks, and event materials. Parchment reads as quality paper stock in print. Moss Shadow ink is rich and distinctive on white paper. A printed brand guide, client welcome pack, or event programme in this system would be immediately recognisable and premium.</w:t>
      </w:r>
    </w:p>
    <w:p>
      <w:pPr>
        <w:spacing w:after="0" w:before="0"/>
      </w:pPr>
      <w:r>
        <w:rPr>
          <w:sz w:val="120"/>
          <w:szCs w:val="120"/>
        </w:rPr>
        <w:t xml:space="preserve"/>
      </w:r>
    </w:p>
    <w:p>
      <w:pPr>
        <w:spacing w:after="80" w:before="200"/>
      </w:pPr>
      <w:r>
        <w:rPr>
          <w:rFonts w:ascii="Arial" w:cs="Arial" w:eastAsia="Arial" w:hAnsi="Arial"/>
          <w:b/>
          <w:bCs/>
          <w:color w:val="5C6652"/>
          <w:sz w:val="22"/>
          <w:szCs w:val="22"/>
        </w:rPr>
        <w:t xml:space="preserve">Books, courses, and product lines</w:t>
      </w:r>
    </w:p>
    <w:p>
      <w:pPr>
        <w:spacing w:after="60" w:before="60"/>
      </w:pPr>
      <w:r>
        <w:rPr>
          <w:rFonts w:ascii="Arial" w:cs="Arial" w:eastAsia="Arial" w:hAnsi="Arial"/>
          <w:b w:val="false"/>
          <w:bCs w:val="false"/>
          <w:color w:val="2C2C1E"/>
          <w:sz w:val="22"/>
          <w:szCs w:val="22"/>
        </w:rPr>
        <w:t xml:space="preserve">Parchment as a base is neutral enough to support a future book interior, online course platform, or product label without any palette adjustment. The system scales from a single slide to a full publishing identity without modification.</w:t>
      </w:r>
    </w:p>
    <w:p>
      <w:pPr>
        <w:spacing w:after="0" w:before="0"/>
      </w:pPr>
      <w:r>
        <w:rPr>
          <w:sz w:val="120"/>
          <w:szCs w:val="120"/>
        </w:rPr>
        <w:t xml:space="preserve"/>
      </w:r>
    </w:p>
    <w:p>
      <w:pPr>
        <w:spacing w:after="80" w:before="200"/>
      </w:pPr>
      <w:r>
        <w:rPr>
          <w:rFonts w:ascii="Arial" w:cs="Arial" w:eastAsia="Arial" w:hAnsi="Arial"/>
          <w:b/>
          <w:bCs/>
          <w:color w:val="5C6652"/>
          <w:sz w:val="22"/>
          <w:szCs w:val="22"/>
        </w:rPr>
        <w:t xml:space="preserve">Marigold CTA performance</w:t>
      </w:r>
    </w:p>
    <w:p>
      <w:pPr>
        <w:spacing w:after="60" w:before="60"/>
      </w:pPr>
      <w:r>
        <w:rPr>
          <w:rFonts w:ascii="Arial" w:cs="Arial" w:eastAsia="Arial" w:hAnsi="Arial"/>
          <w:b w:val="false"/>
          <w:bCs w:val="false"/>
          <w:color w:val="2C2C1E"/>
          <w:sz w:val="22"/>
          <w:szCs w:val="22"/>
        </w:rPr>
        <w:t xml:space="preserve">Marigold is a high-visibility accent on a muted palette. Used on call-to-action buttons, booking links, and event registration prompts, it will outperform any other colour in this system for click-through. Keep it exclusive to this role on digital platforms and it retains its power.</w:t>
      </w:r>
    </w:p>
    <w:p>
      <w:pPr>
        <w:spacing w:after="0" w:before="0"/>
      </w:pPr>
      <w:r>
        <w:rPr>
          <w:sz w:val="200"/>
          <w:szCs w:val="200"/>
        </w:rPr>
        <w:t xml:space="preserve"/>
      </w:r>
    </w:p>
    <w:p>
      <w:r>
        <w:br w:type="page"/>
      </w:r>
    </w:p>
    <w:p>
      <w:pPr>
        <w:pBdr>
          <w:bottom w:val="single" w:color="5C6652" w:sz="8" w:space="6"/>
        </w:pBdr>
        <w:spacing w:after="160" w:before="400"/>
      </w:pPr>
      <w:r>
        <w:rPr>
          <w:rFonts w:ascii="Arial" w:cs="Arial" w:eastAsia="Arial" w:hAnsi="Arial"/>
          <w:b/>
          <w:bCs/>
          <w:color w:val="2C2C1E"/>
          <w:sz w:val="36"/>
          <w:szCs w:val="36"/>
        </w:rPr>
        <w:t xml:space="preserve">05   Typography System</w:t>
      </w:r>
    </w:p>
    <w:p>
      <w:pPr>
        <w:spacing w:after="0" w:before="0"/>
      </w:pPr>
      <w:r>
        <w:rPr>
          <w:sz w:val="80"/>
          <w:szCs w:val="80"/>
        </w:rPr>
        <w:t xml:space="preserve"/>
      </w:r>
    </w:p>
    <w:p>
      <w:pPr>
        <w:spacing w:after="60" w:before="60"/>
      </w:pPr>
      <w:r>
        <w:rPr>
          <w:rFonts w:ascii="Georgia" w:cs="Georgia" w:eastAsia="Georgia" w:hAnsi="Georgia"/>
          <w:b w:val="false"/>
          <w:bCs w:val="false"/>
          <w:i/>
          <w:iCs/>
          <w:color w:val="5C6652"/>
          <w:sz w:val="26"/>
          <w:szCs w:val="26"/>
        </w:rPr>
        <w:t xml:space="preserve">Two typefaces. One family. Fraunces is the voice. Manrope is the structure. Together they are bold, loud, and completely ownable.</w:t>
      </w:r>
    </w:p>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C2C1E" w:val="clear"/>
            <w:tcMar>
              <w:top w:type="dxa" w:w="240"/>
              <w:left w:type="dxa" w:w="280"/>
              <w:bottom w:type="dxa" w:w="240"/>
              <w:right w:type="dxa" w:w="280"/>
            </w:tcMar>
          </w:tcPr>
          <w:p>
            <w:pPr>
              <w:spacing w:after="80" w:before="0"/>
            </w:pPr>
            <w:r>
              <w:rPr>
                <w:rFonts w:ascii="Arial" w:cs="Arial" w:eastAsia="Arial" w:hAnsi="Arial"/>
                <w:b/>
                <w:bCs/>
                <w:color w:val="5C6652"/>
                <w:spacing w:val="120"/>
                <w:sz w:val="16"/>
                <w:szCs w:val="16"/>
              </w:rPr>
              <w:t xml:space="preserve">HEADLINE</w:t>
            </w:r>
          </w:p>
          <w:p>
            <w:pPr>
              <w:spacing w:after="60" w:before="0"/>
            </w:pPr>
            <w:r>
              <w:rPr>
                <w:rFonts w:ascii="Georgia" w:cs="Georgia" w:eastAsia="Georgia" w:hAnsi="Georgia"/>
                <w:b w:val="false"/>
                <w:bCs w:val="false"/>
                <w:color w:val="F7F4EE"/>
                <w:sz w:val="52"/>
                <w:szCs w:val="52"/>
              </w:rPr>
              <w:t xml:space="preserve">Fraunces</w:t>
            </w:r>
          </w:p>
          <w:p>
            <w:pPr>
              <w:spacing w:after="120" w:before="0"/>
            </w:pPr>
            <w:r>
              <w:rPr>
                <w:rFonts w:ascii="Arial" w:cs="Arial" w:eastAsia="Arial" w:hAnsi="Arial"/>
                <w:color w:val="A8A090"/>
                <w:sz w:val="18"/>
                <w:szCs w:val="18"/>
              </w:rPr>
              <w:t xml:space="preserve">Weight 900 — Regular + Italic</w:t>
            </w:r>
          </w:p>
          <w:p>
            <w:pPr>
              <w:spacing w:after="0" w:before="0"/>
            </w:pPr>
            <w:r>
              <w:rPr>
                <w:rFonts w:ascii="Arial" w:cs="Arial" w:eastAsia="Arial" w:hAnsi="Arial"/>
                <w:color w:val="E8C547"/>
                <w:sz w:val="17"/>
                <w:szCs w:val="17"/>
              </w:rPr>
              <w:t xml:space="preserve">Free on Google Fonts</w:t>
            </w:r>
          </w:p>
        </w:tc>
        <w:tc>
          <w:tcPr>
            <w:tcW w:type="dxa" w:w="4680"/>
            <w:tcBorders>
              <w:top w:val="none" w:color="FFFFFF" w:sz="0"/>
              <w:left w:val="none" w:color="FFFFFF" w:sz="0"/>
              <w:bottom w:val="none" w:color="FFFFFF" w:sz="0"/>
              <w:right w:val="none" w:color="FFFFFF" w:sz="0"/>
            </w:tcBorders>
            <w:shd w:fill="5C6652" w:val="clear"/>
            <w:tcMar>
              <w:top w:type="dxa" w:w="240"/>
              <w:left w:type="dxa" w:w="280"/>
              <w:bottom w:type="dxa" w:w="240"/>
              <w:right w:type="dxa" w:w="280"/>
            </w:tcMar>
          </w:tcPr>
          <w:p>
            <w:pPr>
              <w:spacing w:after="80" w:before="0"/>
            </w:pPr>
            <w:r>
              <w:rPr>
                <w:rFonts w:ascii="Arial" w:cs="Arial" w:eastAsia="Arial" w:hAnsi="Arial"/>
                <w:b/>
                <w:bCs/>
                <w:color w:val="E8C547"/>
                <w:spacing w:val="120"/>
                <w:sz w:val="16"/>
                <w:szCs w:val="16"/>
              </w:rPr>
              <w:t xml:space="preserve">BODY</w:t>
            </w:r>
          </w:p>
          <w:p>
            <w:pPr>
              <w:spacing w:after="60" w:before="0"/>
            </w:pPr>
            <w:r>
              <w:rPr>
                <w:rFonts w:ascii="Georgia" w:cs="Georgia" w:eastAsia="Georgia" w:hAnsi="Georgia"/>
                <w:b w:val="false"/>
                <w:bCs w:val="false"/>
                <w:color w:val="F7F4EE"/>
                <w:sz w:val="52"/>
                <w:szCs w:val="52"/>
              </w:rPr>
              <w:t xml:space="preserve">Manrope</w:t>
            </w:r>
          </w:p>
          <w:p>
            <w:pPr>
              <w:spacing w:after="120" w:before="0"/>
            </w:pPr>
            <w:r>
              <w:rPr>
                <w:rFonts w:ascii="Arial" w:cs="Arial" w:eastAsia="Arial" w:hAnsi="Arial"/>
                <w:color w:val="A8C0A8"/>
                <w:sz w:val="18"/>
                <w:szCs w:val="18"/>
              </w:rPr>
              <w:t xml:space="preserve">Weight 400 · 700 · 800</w:t>
            </w:r>
          </w:p>
          <w:p>
            <w:pPr>
              <w:spacing w:after="0" w:before="0"/>
            </w:pPr>
            <w:r>
              <w:rPr>
                <w:rFonts w:ascii="Arial" w:cs="Arial" w:eastAsia="Arial" w:hAnsi="Arial"/>
                <w:color w:val="F7F4EE"/>
                <w:sz w:val="17"/>
                <w:szCs w:val="17"/>
              </w:rPr>
              <w:t xml:space="preserve">Free on Google Fonts</w:t>
            </w:r>
          </w:p>
        </w:tc>
      </w:tr>
    </w:tbl>
    <w:p>
      <w:pPr>
        <w:spacing w:after="0" w:before="0"/>
      </w:pPr>
      <w:r>
        <w:rPr>
          <w:sz w:val="200"/>
          <w:szCs w:val="200"/>
        </w:rPr>
        <w:t xml:space="preserve"/>
      </w:r>
    </w:p>
    <w:p>
      <w:pPr>
        <w:spacing w:after="100" w:before="300"/>
      </w:pPr>
      <w:r>
        <w:rPr>
          <w:rFonts w:ascii="Arial" w:cs="Arial" w:eastAsia="Arial" w:hAnsi="Arial"/>
          <w:b/>
          <w:bCs/>
          <w:color w:val="2C2C1E"/>
          <w:sz w:val="26"/>
          <w:szCs w:val="26"/>
        </w:rPr>
        <w:t xml:space="preserve">Fraunces — the headline font</w:t>
      </w:r>
    </w:p>
    <w:p>
      <w:pPr>
        <w:spacing w:after="60" w:before="60"/>
      </w:pPr>
      <w:r>
        <w:rPr>
          <w:rFonts w:ascii="Arial" w:cs="Arial" w:eastAsia="Arial" w:hAnsi="Arial"/>
          <w:b w:val="false"/>
          <w:bCs w:val="false"/>
          <w:color w:val="2C2C1E"/>
          <w:sz w:val="22"/>
          <w:szCs w:val="22"/>
        </w:rPr>
        <w:t xml:space="preserve">Fraunces is a variable-weight optical-size serif. At weight 900 it is chunky, bold, and completely distinctive. No other health, nutrition, or mental health brand uses it — which is precisely why it is right for this brand. It is ownable. It walks into the room before you do.</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none" w:color="FFFFFF" w:sz="0"/>
              <w:left w:val="none" w:color="FFFFFF" w:sz="0"/>
              <w:bottom w:val="none" w:color="FFFFFF" w:sz="0"/>
              <w:right w:val="none" w:color="FFFFFF" w:sz="0"/>
            </w:tcBorders>
            <w:shd w:fill="2C2C1E" w:val="clear"/>
            <w:tcMar>
              <w:top w:type="dxa" w:w="80"/>
              <w:left w:type="dxa" w:w="120"/>
              <w:bottom w:type="dxa" w:w="80"/>
              <w:right w:type="dxa" w:w="120"/>
            </w:tcMar>
          </w:tcPr>
          <w:p>
            <w:pPr>
              <w:jc w:val="center"/>
            </w:pPr>
            <w:r>
              <w:rPr>
                <w:rFonts w:ascii="Arial" w:cs="Arial" w:eastAsia="Arial" w:hAnsi="Arial"/>
                <w:b/>
                <w:bCs/>
                <w:color w:val="F7F4EE"/>
                <w:sz w:val="20"/>
                <w:szCs w:val="20"/>
              </w:rPr>
              <w:t xml:space="preserve">Colour</w:t>
            </w:r>
          </w:p>
        </w:tc>
        <w:tc>
          <w:tcPr>
            <w:tcW w:type="dxa" w:w="1800"/>
            <w:tcBorders>
              <w:top w:val="none" w:color="FFFFFF" w:sz="0"/>
              <w:left w:val="none" w:color="FFFFFF" w:sz="0"/>
              <w:bottom w:val="none" w:color="FFFFFF" w:sz="0"/>
              <w:right w:val="none" w:color="FFFFFF" w:sz="0"/>
            </w:tcBorders>
            <w:shd w:fill="2C2C1E" w:val="clear"/>
            <w:tcMar>
              <w:top w:type="dxa" w:w="80"/>
              <w:left w:type="dxa" w:w="120"/>
              <w:bottom w:type="dxa" w:w="80"/>
              <w:right w:type="dxa" w:w="120"/>
            </w:tcMar>
          </w:tcPr>
          <w:p>
            <w:pPr>
              <w:jc w:val="center"/>
            </w:pPr>
            <w:r>
              <w:rPr>
                <w:rFonts w:ascii="Arial" w:cs="Arial" w:eastAsia="Arial" w:hAnsi="Arial"/>
                <w:b/>
                <w:bCs/>
                <w:color w:val="F7F4EE"/>
                <w:sz w:val="20"/>
                <w:szCs w:val="20"/>
              </w:rPr>
              <w:t xml:space="preserve">Hex</w:t>
            </w:r>
          </w:p>
        </w:tc>
        <w:tc>
          <w:tcPr>
            <w:tcW w:type="dxa" w:w="5760"/>
            <w:tcBorders>
              <w:top w:val="none" w:color="FFFFFF" w:sz="0"/>
              <w:left w:val="none" w:color="FFFFFF" w:sz="0"/>
              <w:bottom w:val="none" w:color="FFFFFF" w:sz="0"/>
              <w:right w:val="none" w:color="FFFFFF" w:sz="0"/>
            </w:tcBorders>
            <w:shd w:fill="2C2C1E" w:val="clear"/>
            <w:tcMar>
              <w:top w:type="dxa" w:w="80"/>
              <w:left w:type="dxa" w:w="120"/>
              <w:bottom w:type="dxa" w:w="80"/>
              <w:right w:type="dxa" w:w="120"/>
            </w:tcMar>
          </w:tcPr>
          <w:p>
            <w:pPr>
              <w:jc w:val="center"/>
            </w:pPr>
            <w:r>
              <w:rPr>
                <w:rFonts w:ascii="Arial" w:cs="Arial" w:eastAsia="Arial" w:hAnsi="Arial"/>
                <w:b/>
                <w:bCs/>
                <w:color w:val="F7F4EE"/>
                <w:sz w:val="20"/>
                <w:szCs w:val="20"/>
              </w:rPr>
              <w:t xml:space="preserve">Usage rules</w:t>
            </w:r>
          </w:p>
        </w:tc>
      </w:tr>
      <w:tr>
        <w:tc>
          <w:tcPr>
            <w:tcW w:type="dxa" w:w="1800"/>
            <w:tcBorders>
              <w:top w:val="none" w:color="FFFFFF" w:sz="0"/>
              <w:left w:val="none" w:color="FFFFFF" w:sz="0"/>
              <w:bottom w:val="none" w:color="FFFFFF" w:sz="0"/>
              <w:right w:val="none" w:color="FFFFFF" w:sz="0"/>
            </w:tcBorders>
            <w:shd w:fill="2C2C1E" w:val="clear"/>
            <w:tcMar>
              <w:top w:type="dxa" w:w="120"/>
              <w:left w:type="dxa" w:w="120"/>
              <w:bottom w:type="dxa" w:w="120"/>
              <w:right w:type="dxa" w:w="120"/>
            </w:tcMar>
            <w:vAlign w:val="center"/>
          </w:tcPr>
          <w:p>
            <w:pPr>
              <w:jc w:val="center"/>
            </w:pPr>
            <w:r>
              <w:rPr>
                <w:rFonts w:ascii="Arial" w:cs="Arial" w:eastAsia="Arial" w:hAnsi="Arial"/>
                <w:b/>
                <w:bCs/>
                <w:color w:val="F7F4EE"/>
                <w:sz w:val="20"/>
                <w:szCs w:val="20"/>
              </w:rPr>
              <w:t xml:space="preserve">Weight 900</w:t>
            </w:r>
          </w:p>
        </w:tc>
        <w:tc>
          <w:tcPr>
            <w:tcW w:type="dxa" w:w="1800"/>
            <w:tcBorders>
              <w:top w:val="none" w:color="FFFFFF" w:sz="0"/>
              <w:left w:val="none" w:color="FFFFFF" w:sz="0"/>
              <w:bottom w:val="none" w:color="FFFFFF" w:sz="0"/>
              <w:right w:val="none" w:color="FFFFFF" w:sz="0"/>
            </w:tcBorders>
            <w:shd w:fill="EAEAE6"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#2C2C1E</w:t>
            </w:r>
          </w:p>
        </w:tc>
        <w:tc>
          <w:tcPr>
            <w:tcW w:type="dxa" w:w="5760"/>
            <w:tcBorders>
              <w:top w:val="none" w:color="FFFFFF" w:sz="0"/>
              <w:left w:val="none" w:color="FFFFFF" w:sz="0"/>
              <w:bottom w:val="single" w:color="D8D4CC" w:sz="1"/>
              <w:right w:val="none" w:color="FFFFFF" w:sz="0"/>
            </w:tcBorders>
            <w:shd w:fill="EAEAE6"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All slide and document main headlines</w:t>
            </w:r>
          </w:p>
          <w:p>
            <w:pPr>
              <w:pStyle w:val="ListParagraph"/>
              <w:numPr>
                <w:ilvl w:val="0"/>
                <w:numId w:val="2"/>
              </w:numPr>
              <w:spacing w:after="30" w:before="30"/>
            </w:pPr>
            <w:r>
              <w:rPr>
                <w:rFonts w:ascii="Arial" w:cs="Arial" w:eastAsia="Arial" w:hAnsi="Arial"/>
                <w:color w:val="2C2C1E"/>
                <w:sz w:val="20"/>
                <w:szCs w:val="20"/>
              </w:rPr>
              <w:t xml:space="preserve">Instagram statement posts and quote cards</w:t>
            </w:r>
          </w:p>
          <w:p>
            <w:pPr>
              <w:pStyle w:val="ListParagraph"/>
              <w:numPr>
                <w:ilvl w:val="0"/>
                <w:numId w:val="2"/>
              </w:numPr>
              <w:spacing w:after="30" w:before="30"/>
            </w:pPr>
            <w:r>
              <w:rPr>
                <w:rFonts w:ascii="Arial" w:cs="Arial" w:eastAsia="Arial" w:hAnsi="Arial"/>
                <w:color w:val="2C2C1E"/>
                <w:sz w:val="20"/>
                <w:szCs w:val="20"/>
              </w:rPr>
              <w:t xml:space="preserve">Event titles, poster headlines, webinar covers</w:t>
            </w:r>
          </w:p>
          <w:p>
            <w:pPr>
              <w:pStyle w:val="ListParagraph"/>
              <w:numPr>
                <w:ilvl w:val="0"/>
                <w:numId w:val="2"/>
              </w:numPr>
              <w:spacing w:after="30" w:before="30"/>
            </w:pPr>
            <w:r>
              <w:rPr>
                <w:rFonts w:ascii="Arial" w:cs="Arial" w:eastAsia="Arial" w:hAnsi="Arial"/>
                <w:color w:val="2C2C1E"/>
                <w:sz w:val="20"/>
                <w:szCs w:val="20"/>
              </w:rPr>
              <w:t xml:space="preserve">Any text that needs to stop the eye immediately</w:t>
            </w:r>
          </w:p>
        </w:tc>
      </w:tr>
      <w:tr>
        <w:tc>
          <w:tcPr>
            <w:tcW w:type="dxa" w:w="1800"/>
            <w:tcBorders>
              <w:top w:val="none" w:color="FFFFFF" w:sz="0"/>
              <w:left w:val="none" w:color="FFFFFF" w:sz="0"/>
              <w:bottom w:val="none" w:color="FFFFFF" w:sz="0"/>
              <w:right w:val="none" w:color="FFFFFF" w:sz="0"/>
            </w:tcBorders>
            <w:shd w:fill="5C6652" w:val="clear"/>
            <w:tcMar>
              <w:top w:type="dxa" w:w="120"/>
              <w:left w:type="dxa" w:w="120"/>
              <w:bottom w:type="dxa" w:w="120"/>
              <w:right w:type="dxa" w:w="120"/>
            </w:tcMar>
            <w:vAlign w:val="center"/>
          </w:tcPr>
          <w:p>
            <w:pPr>
              <w:jc w:val="center"/>
            </w:pPr>
            <w:r>
              <w:rPr>
                <w:rFonts w:ascii="Arial" w:cs="Arial" w:eastAsia="Arial" w:hAnsi="Arial"/>
                <w:b/>
                <w:bCs/>
                <w:color w:val="F7F4EE"/>
                <w:sz w:val="20"/>
                <w:szCs w:val="20"/>
              </w:rPr>
              <w:t xml:space="preserve">900 Italic</w:t>
            </w:r>
          </w:p>
        </w:tc>
        <w:tc>
          <w:tcPr>
            <w:tcW w:type="dxa" w:w="1800"/>
            <w:tcBorders>
              <w:top w:val="none" w:color="FFFFFF" w:sz="0"/>
              <w:left w:val="none" w:color="FFFFFF" w:sz="0"/>
              <w:bottom w:val="none" w:color="FFFFFF" w:sz="0"/>
              <w:right w:val="none" w:color="FFFFFF" w:sz="0"/>
            </w:tcBorders>
            <w:shd w:fill="F7F4EE"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#5C6652</w:t>
            </w:r>
          </w:p>
        </w:tc>
        <w:tc>
          <w:tcPr>
            <w:tcW w:type="dxa" w:w="5760"/>
            <w:tcBorders>
              <w:top w:val="none" w:color="FFFFFF" w:sz="0"/>
              <w:left w:val="none" w:color="FFFFFF" w:sz="0"/>
              <w:bottom w:val="single" w:color="D8D4CC" w:sz="1"/>
              <w:right w:val="none" w:color="FFFFFF" w:sz="0"/>
            </w:tcBorders>
            <w:shd w:fill="F7F4EE"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The fierce punch — one per slide or post</w:t>
            </w:r>
          </w:p>
          <w:p>
            <w:pPr>
              <w:pStyle w:val="ListParagraph"/>
              <w:numPr>
                <w:ilvl w:val="0"/>
                <w:numId w:val="2"/>
              </w:numPr>
              <w:spacing w:after="30" w:before="30"/>
            </w:pPr>
            <w:r>
              <w:rPr>
                <w:rFonts w:ascii="Arial" w:cs="Arial" w:eastAsia="Arial" w:hAnsi="Arial"/>
                <w:color w:val="2C2C1E"/>
                <w:sz w:val="20"/>
                <w:szCs w:val="20"/>
              </w:rPr>
              <w:t xml:space="preserve">The last line of a headline that needs to land hard</w:t>
            </w:r>
          </w:p>
          <w:p>
            <w:pPr>
              <w:pStyle w:val="ListParagraph"/>
              <w:numPr>
                <w:ilvl w:val="0"/>
                <w:numId w:val="2"/>
              </w:numPr>
              <w:spacing w:after="30" w:before="30"/>
            </w:pPr>
            <w:r>
              <w:rPr>
                <w:rFonts w:ascii="Arial" w:cs="Arial" w:eastAsia="Arial" w:hAnsi="Arial"/>
                <w:color w:val="2C2C1E"/>
                <w:sz w:val="20"/>
                <w:szCs w:val="20"/>
              </w:rPr>
              <w:t xml:space="preserve">Pull-quote emphasis inside a Moss Shadow card</w:t>
            </w:r>
          </w:p>
          <w:p>
            <w:pPr>
              <w:pStyle w:val="ListParagraph"/>
              <w:numPr>
                <w:ilvl w:val="0"/>
                <w:numId w:val="2"/>
              </w:numPr>
              <w:spacing w:after="30" w:before="30"/>
            </w:pPr>
            <w:r>
              <w:rPr>
                <w:rFonts w:ascii="Arial" w:cs="Arial" w:eastAsia="Arial" w:hAnsi="Arial"/>
                <w:color w:val="2C2C1E"/>
                <w:sz w:val="20"/>
                <w:szCs w:val="20"/>
              </w:rPr>
              <w:t xml:space="preserve">"won't switch off." — "limbic system." — "the spiral."</w:t>
            </w:r>
          </w:p>
        </w:tc>
      </w:tr>
      <w:tr>
        <w:tc>
          <w:tcPr>
            <w:tcW w:type="dxa" w:w="1800"/>
            <w:tcBorders>
              <w:top w:val="none" w:color="FFFFFF" w:sz="0"/>
              <w:left w:val="none" w:color="FFFFFF" w:sz="0"/>
              <w:bottom w:val="none" w:color="FFFFFF" w:sz="0"/>
              <w:right w:val="none" w:color="FFFFFF" w:sz="0"/>
            </w:tcBorders>
            <w:shd w:fill="2C2C1E" w:val="clear"/>
            <w:tcMar>
              <w:top w:type="dxa" w:w="120"/>
              <w:left w:type="dxa" w:w="120"/>
              <w:bottom w:type="dxa" w:w="120"/>
              <w:right w:type="dxa" w:w="120"/>
            </w:tcMar>
            <w:vAlign w:val="center"/>
          </w:tcPr>
          <w:p>
            <w:pPr>
              <w:jc w:val="center"/>
            </w:pPr>
            <w:r>
              <w:rPr>
                <w:rFonts w:ascii="Arial" w:cs="Arial" w:eastAsia="Arial" w:hAnsi="Arial"/>
                <w:b/>
                <w:bCs/>
                <w:color w:val="F7F4EE"/>
                <w:sz w:val="20"/>
                <w:szCs w:val="20"/>
              </w:rPr>
              <w:t xml:space="preserve">Weight 700</w:t>
            </w:r>
          </w:p>
        </w:tc>
        <w:tc>
          <w:tcPr>
            <w:tcW w:type="dxa" w:w="1800"/>
            <w:tcBorders>
              <w:top w:val="none" w:color="FFFFFF" w:sz="0"/>
              <w:left w:val="none" w:color="FFFFFF" w:sz="0"/>
              <w:bottom w:val="none" w:color="FFFFFF" w:sz="0"/>
              <w:right w:val="none" w:color="FFFFFF" w:sz="0"/>
            </w:tcBorders>
            <w:shd w:fill="EAEAE6"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#2C2C1E</w:t>
            </w:r>
          </w:p>
        </w:tc>
        <w:tc>
          <w:tcPr>
            <w:tcW w:type="dxa" w:w="5760"/>
            <w:tcBorders>
              <w:top w:val="none" w:color="FFFFFF" w:sz="0"/>
              <w:left w:val="none" w:color="FFFFFF" w:sz="0"/>
              <w:bottom w:val="single" w:color="D8D4CC" w:sz="1"/>
              <w:right w:val="none" w:color="FFFFFF" w:sz="0"/>
            </w:tcBorders>
            <w:shd w:fill="EAEAE6"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Secondary headlines and slide sub-titles</w:t>
            </w:r>
          </w:p>
          <w:p>
            <w:pPr>
              <w:pStyle w:val="ListParagraph"/>
              <w:numPr>
                <w:ilvl w:val="0"/>
                <w:numId w:val="2"/>
              </w:numPr>
              <w:spacing w:after="30" w:before="30"/>
            </w:pPr>
            <w:r>
              <w:rPr>
                <w:rFonts w:ascii="Arial" w:cs="Arial" w:eastAsia="Arial" w:hAnsi="Arial"/>
                <w:color w:val="2C2C1E"/>
                <w:sz w:val="20"/>
                <w:szCs w:val="20"/>
              </w:rPr>
              <w:t xml:space="preserve">Testimonial quotes — warmer than 900, still distinctive</w:t>
            </w:r>
          </w:p>
          <w:p>
            <w:pPr>
              <w:pStyle w:val="ListParagraph"/>
              <w:numPr>
                <w:ilvl w:val="0"/>
                <w:numId w:val="2"/>
              </w:numPr>
              <w:spacing w:after="30" w:before="30"/>
            </w:pPr>
            <w:r>
              <w:rPr>
                <w:rFonts w:ascii="Arial" w:cs="Arial" w:eastAsia="Arial" w:hAnsi="Arial"/>
                <w:color w:val="2C2C1E"/>
                <w:sz w:val="20"/>
                <w:szCs w:val="20"/>
              </w:rPr>
              <w:t xml:space="preserve">Chapter or section openers in longer documents</w:t>
            </w:r>
          </w:p>
        </w:tc>
      </w:tr>
      <w:tr>
        <w:tc>
          <w:tcPr>
            <w:tcW w:type="dxa" w:w="1800"/>
            <w:tcBorders>
              <w:top w:val="none" w:color="FFFFFF" w:sz="0"/>
              <w:left w:val="none" w:color="FFFFFF" w:sz="0"/>
              <w:bottom w:val="none" w:color="FFFFFF" w:sz="0"/>
              <w:right w:val="none" w:color="FFFFFF" w:sz="0"/>
            </w:tcBorders>
            <w:shd w:fill="5C6652" w:val="clear"/>
            <w:tcMar>
              <w:top w:type="dxa" w:w="120"/>
              <w:left w:type="dxa" w:w="120"/>
              <w:bottom w:type="dxa" w:w="120"/>
              <w:right w:type="dxa" w:w="120"/>
            </w:tcMar>
            <w:vAlign w:val="center"/>
          </w:tcPr>
          <w:p>
            <w:pPr>
              <w:jc w:val="center"/>
            </w:pPr>
            <w:r>
              <w:rPr>
                <w:rFonts w:ascii="Arial" w:cs="Arial" w:eastAsia="Arial" w:hAnsi="Arial"/>
                <w:b/>
                <w:bCs/>
                <w:color w:val="F7F4EE"/>
                <w:sz w:val="20"/>
                <w:szCs w:val="20"/>
              </w:rPr>
              <w:t xml:space="preserve">700 Italic</w:t>
            </w:r>
          </w:p>
        </w:tc>
        <w:tc>
          <w:tcPr>
            <w:tcW w:type="dxa" w:w="1800"/>
            <w:tcBorders>
              <w:top w:val="none" w:color="FFFFFF" w:sz="0"/>
              <w:left w:val="none" w:color="FFFFFF" w:sz="0"/>
              <w:bottom w:val="none" w:color="FFFFFF" w:sz="0"/>
              <w:right w:val="none" w:color="FFFFFF" w:sz="0"/>
            </w:tcBorders>
            <w:shd w:fill="F7F4EE"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#5C6652</w:t>
            </w:r>
          </w:p>
        </w:tc>
        <w:tc>
          <w:tcPr>
            <w:tcW w:type="dxa" w:w="5760"/>
            <w:tcBorders>
              <w:top w:val="none" w:color="FFFFFF" w:sz="0"/>
              <w:left w:val="none" w:color="FFFFFF" w:sz="0"/>
              <w:bottom w:val="single" w:color="D8D4CC" w:sz="1"/>
              <w:right w:val="none" w:color="FFFFFF" w:sz="0"/>
            </w:tcBorders>
            <w:shd w:fill="F7F4EE"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Client testimonials and pull quotes</w:t>
            </w:r>
          </w:p>
          <w:p>
            <w:pPr>
              <w:pStyle w:val="ListParagraph"/>
              <w:numPr>
                <w:ilvl w:val="0"/>
                <w:numId w:val="2"/>
              </w:numPr>
              <w:spacing w:after="30" w:before="30"/>
            </w:pPr>
            <w:r>
              <w:rPr>
                <w:rFonts w:ascii="Arial" w:cs="Arial" w:eastAsia="Arial" w:hAnsi="Arial"/>
                <w:color w:val="2C2C1E"/>
                <w:sz w:val="20"/>
                <w:szCs w:val="20"/>
              </w:rPr>
              <w:t xml:space="preserve">Softer emphasis — a reveal rather than a shout</w:t>
            </w:r>
          </w:p>
          <w:p>
            <w:pPr>
              <w:pStyle w:val="ListParagraph"/>
              <w:numPr>
                <w:ilvl w:val="0"/>
                <w:numId w:val="2"/>
              </w:numPr>
              <w:spacing w:after="30" w:before="30"/>
            </w:pPr>
            <w:r>
              <w:rPr>
                <w:rFonts w:ascii="Arial" w:cs="Arial" w:eastAsia="Arial" w:hAnsi="Arial"/>
                <w:color w:val="2C2C1E"/>
                <w:sz w:val="20"/>
                <w:szCs w:val="20"/>
              </w:rPr>
              <w:t xml:space="preserve">Long-form pull quotes inside printed materials</w:t>
            </w:r>
          </w:p>
        </w:tc>
      </w:tr>
    </w:tbl>
    <w:p>
      <w:pPr>
        <w:spacing w:after="0" w:before="0"/>
      </w:pPr>
      <w:r>
        <w:rPr>
          <w:sz w:val="200"/>
          <w:szCs w:val="200"/>
        </w:rPr>
        <w:t xml:space="preserve"/>
      </w:r>
    </w:p>
    <w:p>
      <w:pPr>
        <w:spacing w:after="100" w:before="300"/>
      </w:pPr>
      <w:r>
        <w:rPr>
          <w:rFonts w:ascii="Arial" w:cs="Arial" w:eastAsia="Arial" w:hAnsi="Arial"/>
          <w:b/>
          <w:bCs/>
          <w:color w:val="2C2C1E"/>
          <w:sz w:val="26"/>
          <w:szCs w:val="26"/>
        </w:rPr>
        <w:t xml:space="preserve">Manrope — the body font</w:t>
      </w:r>
    </w:p>
    <w:p>
      <w:pPr>
        <w:spacing w:after="60" w:before="60"/>
      </w:pPr>
      <w:r>
        <w:rPr>
          <w:rFonts w:ascii="Arial" w:cs="Arial" w:eastAsia="Arial" w:hAnsi="Arial"/>
          <w:b w:val="false"/>
          <w:bCs w:val="false"/>
          <w:color w:val="2C2C1E"/>
          <w:sz w:val="22"/>
          <w:szCs w:val="22"/>
        </w:rPr>
        <w:t xml:space="preserve">Manrope is a geometric sans-serif with slightly wider letterforms than most body fonts. It is clean, direct, and highly legible at small sizes. Weight 400 reads easily at body scale. Weight 800 creates a bold label or callout that punches hard without needing to be large.</w:t>
      </w:r>
    </w:p>
    <w:p>
      <w:pPr>
        <w:spacing w:after="0" w:before="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none" w:color="FFFFFF" w:sz="0"/>
              <w:left w:val="none" w:color="FFFFFF" w:sz="0"/>
              <w:bottom w:val="none" w:color="FFFFFF" w:sz="0"/>
              <w:right w:val="none" w:color="FFFFFF" w:sz="0"/>
            </w:tcBorders>
            <w:shd w:fill="2C2C1E" w:val="clear"/>
            <w:tcMar>
              <w:top w:type="dxa" w:w="80"/>
              <w:left w:type="dxa" w:w="120"/>
              <w:bottom w:type="dxa" w:w="80"/>
              <w:right w:type="dxa" w:w="120"/>
            </w:tcMar>
          </w:tcPr>
          <w:p>
            <w:pPr>
              <w:jc w:val="center"/>
            </w:pPr>
            <w:r>
              <w:rPr>
                <w:rFonts w:ascii="Arial" w:cs="Arial" w:eastAsia="Arial" w:hAnsi="Arial"/>
                <w:b/>
                <w:bCs/>
                <w:color w:val="F7F4EE"/>
                <w:sz w:val="20"/>
                <w:szCs w:val="20"/>
              </w:rPr>
              <w:t xml:space="preserve">Colour</w:t>
            </w:r>
          </w:p>
        </w:tc>
        <w:tc>
          <w:tcPr>
            <w:tcW w:type="dxa" w:w="1800"/>
            <w:tcBorders>
              <w:top w:val="none" w:color="FFFFFF" w:sz="0"/>
              <w:left w:val="none" w:color="FFFFFF" w:sz="0"/>
              <w:bottom w:val="none" w:color="FFFFFF" w:sz="0"/>
              <w:right w:val="none" w:color="FFFFFF" w:sz="0"/>
            </w:tcBorders>
            <w:shd w:fill="2C2C1E" w:val="clear"/>
            <w:tcMar>
              <w:top w:type="dxa" w:w="80"/>
              <w:left w:type="dxa" w:w="120"/>
              <w:bottom w:type="dxa" w:w="80"/>
              <w:right w:type="dxa" w:w="120"/>
            </w:tcMar>
          </w:tcPr>
          <w:p>
            <w:pPr>
              <w:jc w:val="center"/>
            </w:pPr>
            <w:r>
              <w:rPr>
                <w:rFonts w:ascii="Arial" w:cs="Arial" w:eastAsia="Arial" w:hAnsi="Arial"/>
                <w:b/>
                <w:bCs/>
                <w:color w:val="F7F4EE"/>
                <w:sz w:val="20"/>
                <w:szCs w:val="20"/>
              </w:rPr>
              <w:t xml:space="preserve">Hex</w:t>
            </w:r>
          </w:p>
        </w:tc>
        <w:tc>
          <w:tcPr>
            <w:tcW w:type="dxa" w:w="5760"/>
            <w:tcBorders>
              <w:top w:val="none" w:color="FFFFFF" w:sz="0"/>
              <w:left w:val="none" w:color="FFFFFF" w:sz="0"/>
              <w:bottom w:val="none" w:color="FFFFFF" w:sz="0"/>
              <w:right w:val="none" w:color="FFFFFF" w:sz="0"/>
            </w:tcBorders>
            <w:shd w:fill="2C2C1E" w:val="clear"/>
            <w:tcMar>
              <w:top w:type="dxa" w:w="80"/>
              <w:left w:type="dxa" w:w="120"/>
              <w:bottom w:type="dxa" w:w="80"/>
              <w:right w:type="dxa" w:w="120"/>
            </w:tcMar>
          </w:tcPr>
          <w:p>
            <w:pPr>
              <w:jc w:val="center"/>
            </w:pPr>
            <w:r>
              <w:rPr>
                <w:rFonts w:ascii="Arial" w:cs="Arial" w:eastAsia="Arial" w:hAnsi="Arial"/>
                <w:b/>
                <w:bCs/>
                <w:color w:val="F7F4EE"/>
                <w:sz w:val="20"/>
                <w:szCs w:val="20"/>
              </w:rPr>
              <w:t xml:space="preserve">Usage rules</w:t>
            </w:r>
          </w:p>
        </w:tc>
      </w:tr>
      <w:tr>
        <w:tc>
          <w:tcPr>
            <w:tcW w:type="dxa" w:w="1800"/>
            <w:tcBorders>
              <w:top w:val="none" w:color="FFFFFF" w:sz="0"/>
              <w:left w:val="none" w:color="FFFFFF" w:sz="0"/>
              <w:bottom w:val="none" w:color="FFFFFF" w:sz="0"/>
              <w:right w:val="none" w:color="FFFFFF" w:sz="0"/>
            </w:tcBorders>
            <w:shd w:fill="2C2C1E" w:val="clear"/>
            <w:tcMar>
              <w:top w:type="dxa" w:w="120"/>
              <w:left w:type="dxa" w:w="120"/>
              <w:bottom w:type="dxa" w:w="120"/>
              <w:right w:type="dxa" w:w="120"/>
            </w:tcMar>
            <w:vAlign w:val="center"/>
          </w:tcPr>
          <w:p>
            <w:pPr>
              <w:jc w:val="center"/>
            </w:pPr>
            <w:r>
              <w:rPr>
                <w:rFonts w:ascii="Arial" w:cs="Arial" w:eastAsia="Arial" w:hAnsi="Arial"/>
                <w:b/>
                <w:bCs/>
                <w:color w:val="F7F4EE"/>
                <w:sz w:val="20"/>
                <w:szCs w:val="20"/>
              </w:rPr>
              <w:t xml:space="preserve">Weight 400</w:t>
            </w:r>
          </w:p>
        </w:tc>
        <w:tc>
          <w:tcPr>
            <w:tcW w:type="dxa" w:w="1800"/>
            <w:tcBorders>
              <w:top w:val="none" w:color="FFFFFF" w:sz="0"/>
              <w:left w:val="none" w:color="FFFFFF" w:sz="0"/>
              <w:bottom w:val="none" w:color="FFFFFF" w:sz="0"/>
              <w:right w:val="none" w:color="FFFFFF" w:sz="0"/>
            </w:tcBorders>
            <w:shd w:fill="EAEAE6"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#2C2C1E</w:t>
            </w:r>
          </w:p>
        </w:tc>
        <w:tc>
          <w:tcPr>
            <w:tcW w:type="dxa" w:w="5760"/>
            <w:tcBorders>
              <w:top w:val="none" w:color="FFFFFF" w:sz="0"/>
              <w:left w:val="none" w:color="FFFFFF" w:sz="0"/>
              <w:bottom w:val="single" w:color="D8D4CC" w:sz="1"/>
              <w:right w:val="none" w:color="FFFFFF" w:sz="0"/>
            </w:tcBorders>
            <w:shd w:fill="EAEAE6"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All body text on slides and documents</w:t>
            </w:r>
          </w:p>
          <w:p>
            <w:pPr>
              <w:pStyle w:val="ListParagraph"/>
              <w:numPr>
                <w:ilvl w:val="0"/>
                <w:numId w:val="2"/>
              </w:numPr>
              <w:spacing w:after="30" w:before="30"/>
            </w:pPr>
            <w:r>
              <w:rPr>
                <w:rFonts w:ascii="Arial" w:cs="Arial" w:eastAsia="Arial" w:hAnsi="Arial"/>
                <w:color w:val="2C2C1E"/>
                <w:sz w:val="20"/>
                <w:szCs w:val="20"/>
              </w:rPr>
              <w:t xml:space="preserve">Captions, footnotes, and supporting copy</w:t>
            </w:r>
          </w:p>
          <w:p>
            <w:pPr>
              <w:pStyle w:val="ListParagraph"/>
              <w:numPr>
                <w:ilvl w:val="0"/>
                <w:numId w:val="2"/>
              </w:numPr>
              <w:spacing w:after="30" w:before="30"/>
            </w:pPr>
            <w:r>
              <w:rPr>
                <w:rFonts w:ascii="Arial" w:cs="Arial" w:eastAsia="Arial" w:hAnsi="Arial"/>
                <w:color w:val="2C2C1E"/>
                <w:sz w:val="20"/>
                <w:szCs w:val="20"/>
              </w:rPr>
              <w:t xml:space="preserve">Form fields, input labels, and UI text</w:t>
            </w:r>
          </w:p>
          <w:p>
            <w:pPr>
              <w:pStyle w:val="ListParagraph"/>
              <w:numPr>
                <w:ilvl w:val="0"/>
                <w:numId w:val="2"/>
              </w:numPr>
              <w:spacing w:after="30" w:before="30"/>
            </w:pPr>
            <w:r>
              <w:rPr>
                <w:rFonts w:ascii="Arial" w:cs="Arial" w:eastAsia="Arial" w:hAnsi="Arial"/>
                <w:color w:val="2C2C1E"/>
                <w:sz w:val="20"/>
                <w:szCs w:val="20"/>
              </w:rPr>
              <w:t xml:space="preserve">The default reading weight — never go lighter</w:t>
            </w:r>
          </w:p>
        </w:tc>
      </w:tr>
      <w:tr>
        <w:tc>
          <w:tcPr>
            <w:tcW w:type="dxa" w:w="1800"/>
            <w:tcBorders>
              <w:top w:val="none" w:color="FFFFFF" w:sz="0"/>
              <w:left w:val="none" w:color="FFFFFF" w:sz="0"/>
              <w:bottom w:val="none" w:color="FFFFFF" w:sz="0"/>
              <w:right w:val="none" w:color="FFFFFF" w:sz="0"/>
            </w:tcBorders>
            <w:shd w:fill="5C6652" w:val="clear"/>
            <w:tcMar>
              <w:top w:type="dxa" w:w="120"/>
              <w:left w:type="dxa" w:w="120"/>
              <w:bottom w:type="dxa" w:w="120"/>
              <w:right w:type="dxa" w:w="120"/>
            </w:tcMar>
            <w:vAlign w:val="center"/>
          </w:tcPr>
          <w:p>
            <w:pPr>
              <w:jc w:val="center"/>
            </w:pPr>
            <w:r>
              <w:rPr>
                <w:rFonts w:ascii="Arial" w:cs="Arial" w:eastAsia="Arial" w:hAnsi="Arial"/>
                <w:b/>
                <w:bCs/>
                <w:color w:val="F7F4EE"/>
                <w:sz w:val="20"/>
                <w:szCs w:val="20"/>
              </w:rPr>
              <w:t xml:space="preserve">Weight 700</w:t>
            </w:r>
          </w:p>
        </w:tc>
        <w:tc>
          <w:tcPr>
            <w:tcW w:type="dxa" w:w="1800"/>
            <w:tcBorders>
              <w:top w:val="none" w:color="FFFFFF" w:sz="0"/>
              <w:left w:val="none" w:color="FFFFFF" w:sz="0"/>
              <w:bottom w:val="none" w:color="FFFFFF" w:sz="0"/>
              <w:right w:val="none" w:color="FFFFFF" w:sz="0"/>
            </w:tcBorders>
            <w:shd w:fill="F7F4EE"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#5C6652</w:t>
            </w:r>
          </w:p>
        </w:tc>
        <w:tc>
          <w:tcPr>
            <w:tcW w:type="dxa" w:w="5760"/>
            <w:tcBorders>
              <w:top w:val="none" w:color="FFFFFF" w:sz="0"/>
              <w:left w:val="none" w:color="FFFFFF" w:sz="0"/>
              <w:bottom w:val="single" w:color="D8D4CC" w:sz="1"/>
              <w:right w:val="none" w:color="FFFFFF" w:sz="0"/>
            </w:tcBorders>
            <w:shd w:fill="F7F4EE"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Eyebrow labels — "Opening", "The Science", "Speaker note"</w:t>
            </w:r>
          </w:p>
          <w:p>
            <w:pPr>
              <w:pStyle w:val="ListParagraph"/>
              <w:numPr>
                <w:ilvl w:val="0"/>
                <w:numId w:val="2"/>
              </w:numPr>
              <w:spacing w:after="30" w:before="30"/>
            </w:pPr>
            <w:r>
              <w:rPr>
                <w:rFonts w:ascii="Arial" w:cs="Arial" w:eastAsia="Arial" w:hAnsi="Arial"/>
                <w:color w:val="2C2C1E"/>
                <w:sz w:val="20"/>
                <w:szCs w:val="20"/>
              </w:rPr>
              <w:t xml:space="preserve">Sub-labels within cards and diagram nodes</w:t>
            </w:r>
          </w:p>
          <w:p>
            <w:pPr>
              <w:pStyle w:val="ListParagraph"/>
              <w:numPr>
                <w:ilvl w:val="0"/>
                <w:numId w:val="2"/>
              </w:numPr>
              <w:spacing w:after="30" w:before="30"/>
            </w:pPr>
            <w:r>
              <w:rPr>
                <w:rFonts w:ascii="Arial" w:cs="Arial" w:eastAsia="Arial" w:hAnsi="Arial"/>
                <w:color w:val="2C2C1E"/>
                <w:sz w:val="20"/>
                <w:szCs w:val="20"/>
              </w:rPr>
              <w:t xml:space="preserve">Bold statements in body copy that need emphasis without size increase</w:t>
            </w:r>
          </w:p>
        </w:tc>
      </w:tr>
      <w:tr>
        <w:tc>
          <w:tcPr>
            <w:tcW w:type="dxa" w:w="1800"/>
            <w:tcBorders>
              <w:top w:val="none" w:color="FFFFFF" w:sz="0"/>
              <w:left w:val="none" w:color="FFFFFF" w:sz="0"/>
              <w:bottom w:val="none" w:color="FFFFFF" w:sz="0"/>
              <w:right w:val="none" w:color="FFFFFF" w:sz="0"/>
            </w:tcBorders>
            <w:shd w:fill="2C2C1E" w:val="clear"/>
            <w:tcMar>
              <w:top w:type="dxa" w:w="120"/>
              <w:left w:type="dxa" w:w="120"/>
              <w:bottom w:type="dxa" w:w="120"/>
              <w:right w:type="dxa" w:w="120"/>
            </w:tcMar>
            <w:vAlign w:val="center"/>
          </w:tcPr>
          <w:p>
            <w:pPr>
              <w:jc w:val="center"/>
            </w:pPr>
            <w:r>
              <w:rPr>
                <w:rFonts w:ascii="Arial" w:cs="Arial" w:eastAsia="Arial" w:hAnsi="Arial"/>
                <w:b/>
                <w:bCs/>
                <w:color w:val="F7F4EE"/>
                <w:sz w:val="20"/>
                <w:szCs w:val="20"/>
              </w:rPr>
              <w:t xml:space="preserve">Weight 800</w:t>
            </w:r>
          </w:p>
        </w:tc>
        <w:tc>
          <w:tcPr>
            <w:tcW w:type="dxa" w:w="1800"/>
            <w:tcBorders>
              <w:top w:val="none" w:color="FFFFFF" w:sz="0"/>
              <w:left w:val="none" w:color="FFFFFF" w:sz="0"/>
              <w:bottom w:val="none" w:color="FFFFFF" w:sz="0"/>
              <w:right w:val="none" w:color="FFFFFF" w:sz="0"/>
            </w:tcBorders>
            <w:shd w:fill="EAEAE6" w:val="clear"/>
            <w:tcMar>
              <w:top w:type="dxa" w:w="120"/>
              <w:left w:type="dxa" w:w="120"/>
              <w:bottom w:type="dxa" w:w="120"/>
              <w:right w:type="dxa" w:w="120"/>
            </w:tcMar>
            <w:vAlign w:val="center"/>
          </w:tcPr>
          <w:p>
            <w:pPr>
              <w:jc w:val="center"/>
            </w:pPr>
            <w:r>
              <w:rPr>
                <w:rFonts w:ascii="Courier New" w:cs="Courier New" w:eastAsia="Courier New" w:hAnsi="Courier New"/>
                <w:color w:val="2C2C1E"/>
                <w:sz w:val="18"/>
                <w:szCs w:val="18"/>
              </w:rPr>
              <w:t xml:space="preserve">#2C2C1E</w:t>
            </w:r>
          </w:p>
        </w:tc>
        <w:tc>
          <w:tcPr>
            <w:tcW w:type="dxa" w:w="5760"/>
            <w:tcBorders>
              <w:top w:val="none" w:color="FFFFFF" w:sz="0"/>
              <w:left w:val="none" w:color="FFFFFF" w:sz="0"/>
              <w:bottom w:val="single" w:color="D8D4CC" w:sz="1"/>
              <w:right w:val="none" w:color="FFFFFF" w:sz="0"/>
            </w:tcBorders>
            <w:shd w:fill="EAEAE6" w:val="clear"/>
            <w:tcMar>
              <w:top w:type="dxa" w:w="100"/>
              <w:left w:type="dxa" w:w="160"/>
              <w:bottom w:type="dxa" w:w="100"/>
              <w:right w:type="dxa" w:w="120"/>
            </w:tcMar>
          </w:tcPr>
          <w:p>
            <w:pPr>
              <w:pStyle w:val="ListParagraph"/>
              <w:numPr>
                <w:ilvl w:val="0"/>
                <w:numId w:val="2"/>
              </w:numPr>
              <w:spacing w:after="30" w:before="30"/>
            </w:pPr>
            <w:r>
              <w:rPr>
                <w:rFonts w:ascii="Arial" w:cs="Arial" w:eastAsia="Arial" w:hAnsi="Arial"/>
                <w:color w:val="2C2C1E"/>
                <w:sz w:val="20"/>
                <w:szCs w:val="20"/>
              </w:rPr>
              <w:t xml:space="preserve">Short loud callouts — "One notification. Full alarm."</w:t>
            </w:r>
          </w:p>
          <w:p>
            <w:pPr>
              <w:pStyle w:val="ListParagraph"/>
              <w:numPr>
                <w:ilvl w:val="0"/>
                <w:numId w:val="2"/>
              </w:numPr>
              <w:spacing w:after="30" w:before="30"/>
            </w:pPr>
            <w:r>
              <w:rPr>
                <w:rFonts w:ascii="Arial" w:cs="Arial" w:eastAsia="Arial" w:hAnsi="Arial"/>
                <w:color w:val="2C2C1E"/>
                <w:sz w:val="20"/>
                <w:szCs w:val="20"/>
              </w:rPr>
              <w:t xml:space="preserve">Stat slides where a number needs to shout</w:t>
            </w:r>
          </w:p>
          <w:p>
            <w:pPr>
              <w:pStyle w:val="ListParagraph"/>
              <w:numPr>
                <w:ilvl w:val="0"/>
                <w:numId w:val="2"/>
              </w:numPr>
              <w:spacing w:after="30" w:before="30"/>
            </w:pPr>
            <w:r>
              <w:rPr>
                <w:rFonts w:ascii="Arial" w:cs="Arial" w:eastAsia="Arial" w:hAnsi="Arial"/>
                <w:color w:val="2C2C1E"/>
                <w:sz w:val="20"/>
                <w:szCs w:val="20"/>
              </w:rPr>
              <w:t xml:space="preserve">Bold section intro lines before body text begins</w:t>
            </w:r>
          </w:p>
          <w:p>
            <w:pPr>
              <w:pStyle w:val="ListParagraph"/>
              <w:numPr>
                <w:ilvl w:val="0"/>
                <w:numId w:val="2"/>
              </w:numPr>
              <w:spacing w:after="30" w:before="30"/>
            </w:pPr>
            <w:r>
              <w:rPr>
                <w:rFonts w:ascii="Arial" w:cs="Arial" w:eastAsia="Arial" w:hAnsi="Arial"/>
                <w:color w:val="2C2C1E"/>
                <w:sz w:val="20"/>
                <w:szCs w:val="20"/>
              </w:rPr>
              <w:t xml:space="preserve">Instagram body text — 800 survives the thumbnail, 400 may not</w:t>
            </w:r>
          </w:p>
        </w:tc>
      </w:tr>
    </w:tbl>
    <w:p>
      <w:pPr>
        <w:spacing w:after="0" w:before="0"/>
      </w:pPr>
      <w:r>
        <w:rPr>
          <w:sz w:val="200"/>
          <w:szCs w:val="200"/>
        </w:rPr>
        <w:t xml:space="preserve"/>
      </w:r>
    </w:p>
    <w:p>
      <w:pPr>
        <w:spacing w:after="100" w:before="300"/>
      </w:pPr>
      <w:r>
        <w:rPr>
          <w:rFonts w:ascii="Arial" w:cs="Arial" w:eastAsia="Arial" w:hAnsi="Arial"/>
          <w:b/>
          <w:bCs/>
          <w:color w:val="2C2C1E"/>
          <w:sz w:val="26"/>
          <w:szCs w:val="26"/>
        </w:rPr>
        <w:t xml:space="preserve">How they work together — the type scale</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E5" w:val="clear"/>
            <w:tcMar>
              <w:top w:type="dxa" w:w="160"/>
              <w:left w:type="dxa" w:w="240"/>
              <w:bottom w:type="dxa" w:w="160"/>
              <w:right w:type="dxa" w:w="240"/>
            </w:tcMar>
          </w:tcPr>
          <w:p>
            <w:pPr>
              <w:spacing w:after="120" w:before="0"/>
            </w:pPr>
            <w:r>
              <w:rPr>
                <w:rFonts w:ascii="Arial" w:cs="Arial" w:eastAsia="Arial" w:hAnsi="Arial"/>
                <w:b/>
                <w:bCs/>
                <w:color w:val="5C6652"/>
                <w:sz w:val="20"/>
                <w:szCs w:val="20"/>
              </w:rPr>
              <w:t xml:space="preserve">Slide / Post — type scale</w:t>
            </w:r>
          </w:p>
          <w:p>
            <w:pPr>
              <w:spacing w:after="60" w:before="60"/>
            </w:pPr>
            <w:r>
              <w:rPr>
                <w:rFonts w:ascii="Arial" w:cs="Arial" w:eastAsia="Arial" w:hAnsi="Arial"/>
                <w:b/>
                <w:bCs/>
                <w:color w:val="2C2C1E"/>
                <w:sz w:val="20"/>
                <w:szCs w:val="20"/>
              </w:rPr>
              <w:t xml:space="preserve">Display headline     </w:t>
            </w:r>
            <w:r>
              <w:rPr>
                <w:rFonts w:ascii="Arial" w:cs="Arial" w:eastAsia="Arial" w:hAnsi="Arial"/>
                <w:color w:val="2C2C1E"/>
                <w:sz w:val="20"/>
                <w:szCs w:val="20"/>
              </w:rPr>
              <w:t xml:space="preserve">Fraunces 900 · 36–48px · Moss Shadow or Dark Ink</w:t>
            </w:r>
          </w:p>
          <w:p>
            <w:pPr>
              <w:spacing w:after="60" w:before="60"/>
            </w:pPr>
            <w:r>
              <w:rPr>
                <w:rFonts w:ascii="Arial" w:cs="Arial" w:eastAsia="Arial" w:hAnsi="Arial"/>
                <w:b/>
                <w:bCs/>
                <w:color w:val="2C2C1E"/>
                <w:sz w:val="20"/>
                <w:szCs w:val="20"/>
              </w:rPr>
              <w:t xml:space="preserve">Italic punch             </w:t>
            </w:r>
            <w:r>
              <w:rPr>
                <w:rFonts w:ascii="Arial" w:cs="Arial" w:eastAsia="Arial" w:hAnsi="Arial"/>
                <w:color w:val="2C2C1E"/>
                <w:sz w:val="20"/>
                <w:szCs w:val="20"/>
              </w:rPr>
              <w:t xml:space="preserve">Fraunces 900 Italic · same size · Dark Ink always</w:t>
            </w:r>
          </w:p>
          <w:p>
            <w:pPr>
              <w:spacing w:after="60" w:before="60"/>
            </w:pPr>
            <w:r>
              <w:rPr>
                <w:rFonts w:ascii="Arial" w:cs="Arial" w:eastAsia="Arial" w:hAnsi="Arial"/>
                <w:b/>
                <w:bCs/>
                <w:color w:val="2C2C1E"/>
                <w:sz w:val="20"/>
                <w:szCs w:val="20"/>
              </w:rPr>
              <w:t xml:space="preserve">Eyebrow label        </w:t>
            </w:r>
            <w:r>
              <w:rPr>
                <w:rFonts w:ascii="Arial" w:cs="Arial" w:eastAsia="Arial" w:hAnsi="Arial"/>
                <w:color w:val="2C2C1E"/>
                <w:sz w:val="20"/>
                <w:szCs w:val="20"/>
              </w:rPr>
              <w:t xml:space="preserve">Manrope 700 · 10–11px · all caps · letter-spaced · Moss</w:t>
            </w:r>
          </w:p>
          <w:p>
            <w:pPr>
              <w:spacing w:after="60" w:before="60"/>
            </w:pPr>
            <w:r>
              <w:rPr>
                <w:rFonts w:ascii="Arial" w:cs="Arial" w:eastAsia="Arial" w:hAnsi="Arial"/>
                <w:b/>
                <w:bCs/>
                <w:color w:val="2C2C1E"/>
                <w:sz w:val="20"/>
                <w:szCs w:val="20"/>
              </w:rPr>
              <w:t xml:space="preserve">Body copy              </w:t>
            </w:r>
            <w:r>
              <w:rPr>
                <w:rFonts w:ascii="Arial" w:cs="Arial" w:eastAsia="Arial" w:hAnsi="Arial"/>
                <w:color w:val="2C2C1E"/>
                <w:sz w:val="20"/>
                <w:szCs w:val="20"/>
              </w:rPr>
              <w:t xml:space="preserve">Manrope 400 · 13–15px · Dark Ink at 70% opacity</w:t>
            </w:r>
          </w:p>
          <w:p>
            <w:pPr>
              <w:spacing w:after="60" w:before="60"/>
            </w:pPr>
            <w:r>
              <w:rPr>
                <w:rFonts w:ascii="Arial" w:cs="Arial" w:eastAsia="Arial" w:hAnsi="Arial"/>
                <w:b/>
                <w:bCs/>
                <w:color w:val="2C2C1E"/>
                <w:sz w:val="20"/>
                <w:szCs w:val="20"/>
              </w:rPr>
              <w:t xml:space="preserve">Bold callout           </w:t>
            </w:r>
            <w:r>
              <w:rPr>
                <w:rFonts w:ascii="Arial" w:cs="Arial" w:eastAsia="Arial" w:hAnsi="Arial"/>
                <w:color w:val="2C2C1E"/>
                <w:sz w:val="20"/>
                <w:szCs w:val="20"/>
              </w:rPr>
              <w:t xml:space="preserve">Manrope 800 · 13–14px · Dark Ink full opacity</w:t>
            </w:r>
          </w:p>
          <w:p>
            <w:pPr>
              <w:spacing w:after="60" w:before="60"/>
            </w:pPr>
            <w:r>
              <w:rPr>
                <w:rFonts w:ascii="Arial" w:cs="Arial" w:eastAsia="Arial" w:hAnsi="Arial"/>
                <w:b/>
                <w:bCs/>
                <w:color w:val="2C2C1E"/>
                <w:sz w:val="20"/>
                <w:szCs w:val="20"/>
              </w:rPr>
              <w:t xml:space="preserve">Card quote             </w:t>
            </w:r>
            <w:r>
              <w:rPr>
                <w:rFonts w:ascii="Arial" w:cs="Arial" w:eastAsia="Arial" w:hAnsi="Arial"/>
                <w:color w:val="2C2C1E"/>
                <w:sz w:val="20"/>
                <w:szCs w:val="20"/>
              </w:rPr>
              <w:t xml:space="preserve">Fraunces 700 Italic · 13–15px · Parchment on Moss bg</w:t>
            </w:r>
          </w:p>
        </w:tc>
      </w:tr>
    </w:tbl>
    <w:p>
      <w:pPr>
        <w:spacing w:after="0" w:before="0"/>
      </w:pPr>
      <w:r>
        <w:rPr>
          <w:sz w:val="200"/>
          <w:szCs w:val="200"/>
        </w:rPr>
        <w:t xml:space="preserve"/>
      </w:r>
    </w:p>
    <w:p>
      <w:pPr>
        <w:spacing w:after="100" w:before="300"/>
      </w:pPr>
      <w:r>
        <w:rPr>
          <w:rFonts w:ascii="Arial" w:cs="Arial" w:eastAsia="Arial" w:hAnsi="Arial"/>
          <w:b/>
          <w:bCs/>
          <w:color w:val="2C2C1E"/>
          <w:sz w:val="26"/>
          <w:szCs w:val="26"/>
        </w:rPr>
        <w:t xml:space="preserve">Instagram — type rules for the 2×2 grid</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C547" w:sz="24"/>
              <w:bottom w:val="none" w:color="FFFFFF" w:sz="0"/>
              <w:right w:val="none" w:color="FFFFFF" w:sz="0"/>
            </w:tcBorders>
            <w:shd w:fill="FDF6DC" w:val="clear"/>
            <w:tcMar>
              <w:top w:type="dxa" w:w="160"/>
              <w:left w:type="dxa" w:w="240"/>
              <w:bottom w:type="dxa" w:w="160"/>
              <w:right w:type="dxa" w:w="240"/>
            </w:tcMar>
          </w:tcPr>
          <w:p>
            <w:pPr>
              <w:spacing w:after="80" w:before="0"/>
            </w:pPr>
            <w:r>
              <w:rPr>
                <w:rFonts w:ascii="Arial" w:cs="Arial" w:eastAsia="Arial" w:hAnsi="Arial"/>
                <w:b/>
                <w:bCs/>
                <w:color w:val="2C2C1E"/>
                <w:sz w:val="20"/>
                <w:szCs w:val="20"/>
              </w:rPr>
              <w:t xml:space="preserve">The Instagram constraint</w:t>
            </w:r>
          </w:p>
          <w:p>
            <w:pPr>
              <w:spacing w:after="100" w:before="0"/>
            </w:pPr>
            <w:r>
              <w:rPr>
                <w:rFonts w:ascii="Arial" w:cs="Arial" w:eastAsia="Arial" w:hAnsi="Arial"/>
                <w:color w:val="2C2C1E"/>
                <w:sz w:val="22"/>
                <w:szCs w:val="22"/>
              </w:rPr>
              <w:t xml:space="preserve">Your grid tile is viewed at roughly 150×150 pixels on a phone screen. At that size, only three things survive: extreme weight, high contrast, and very few words. Fraunces 900 was chosen specifically because it holds at this size. Thin serifs vanish. Fraunces does not.</w:t>
            </w:r>
          </w:p>
          <w:p>
            <w:pPr>
              <w:spacing w:after="0" w:before="0"/>
            </w:pPr>
            <w:r>
              <w:rPr>
                <w:rFonts w:ascii="Arial" w:cs="Arial" w:eastAsia="Arial" w:hAnsi="Arial"/>
                <w:b/>
                <w:bCs/>
                <w:color w:val="2C2C1E"/>
                <w:sz w:val="22"/>
                <w:szCs w:val="22"/>
              </w:rPr>
              <w:t xml:space="preserve">Rule: maximum 6 words on an Instagram tile headline. Fraunces 900 only. One colour flip per tile (Parchment on Moss, or Parchment on Dark Ink). Marigold on exactly one element.</w:t>
            </w:r>
          </w:p>
        </w:tc>
      </w:tr>
    </w:tbl>
    <w:p>
      <w:pPr>
        <w:spacing w:after="0" w:before="0"/>
      </w:pPr>
      <w:r>
        <w:rPr>
          <w:sz w:val="200"/>
          <w:szCs w:val="200"/>
        </w:rPr>
        <w:t xml:space="preserve"/>
      </w:r>
    </w:p>
    <w:p>
      <w:pPr>
        <w:spacing w:after="100" w:before="300"/>
      </w:pPr>
      <w:r>
        <w:rPr>
          <w:rFonts w:ascii="Arial" w:cs="Arial" w:eastAsia="Arial" w:hAnsi="Arial"/>
          <w:b/>
          <w:bCs/>
          <w:color w:val="2C2C1E"/>
          <w:sz w:val="26"/>
          <w:szCs w:val="26"/>
        </w:rPr>
        <w:t xml:space="preserve">Typography threats and how to beat them</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EDE5"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THREAT</w:t>
            </w:r>
          </w:p>
          <w:p>
            <w:pPr>
              <w:spacing w:after="80" w:before="0"/>
            </w:pPr>
            <w:r>
              <w:rPr>
                <w:rFonts w:ascii="Georgia" w:cs="Georgia" w:eastAsia="Georgia" w:hAnsi="Georgia"/>
                <w:i/>
                <w:iCs/>
                <w:color w:val="2C2C1E"/>
                <w:sz w:val="22"/>
                <w:szCs w:val="22"/>
              </w:rPr>
              <w:t xml:space="preserve">"Fraunces looks too unusual"</w:t>
            </w:r>
          </w:p>
          <w:p>
            <w:pPr>
              <w:spacing w:after="0" w:before="0"/>
            </w:pPr>
            <w:r>
              <w:rPr>
                <w:rFonts w:ascii="Arial" w:cs="Arial" w:eastAsia="Arial" w:hAnsi="Arial"/>
                <w:color w:val="2C2C1E"/>
                <w:sz w:val="20"/>
                <w:szCs w:val="20"/>
              </w:rPr>
              <w:t xml:space="preserve">Some clients or collaborators may find Fraunces unfamiliar and push toward a "safer" serif like Playfair Display.</w:t>
            </w:r>
          </w:p>
        </w:tc>
        <w:tc>
          <w:tcPr>
            <w:tcW w:type="dxa" w:w="4680"/>
            <w:tcBorders>
              <w:top w:val="none" w:color="FFFFFF" w:sz="0"/>
              <w:left w:val="none" w:color="FFFFFF" w:sz="0"/>
              <w:bottom w:val="none" w:color="FFFFFF" w:sz="0"/>
              <w:right w:val="none" w:color="FFFFFF" w:sz="0"/>
            </w:tcBorders>
            <w:shd w:fill="F7F4EE"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SOLUTION</w:t>
            </w:r>
          </w:p>
          <w:p>
            <w:pPr>
              <w:spacing w:after="80" w:before="0"/>
            </w:pPr>
            <w:r>
              <w:rPr>
                <w:rFonts w:ascii="Georgia" w:cs="Georgia" w:eastAsia="Georgia" w:hAnsi="Georgia"/>
                <w:i/>
                <w:iCs/>
                <w:color w:val="5C6652"/>
                <w:sz w:val="22"/>
                <w:szCs w:val="22"/>
              </w:rPr>
              <w:t xml:space="preserve">Unusual is the brief. Hold the line.</w:t>
            </w:r>
          </w:p>
          <w:p>
            <w:pPr>
              <w:spacing w:after="0" w:before="0"/>
            </w:pPr>
            <w:r>
              <w:rPr>
                <w:rFonts w:ascii="Arial" w:cs="Arial" w:eastAsia="Arial" w:hAnsi="Arial"/>
                <w:color w:val="2C2C1E"/>
                <w:sz w:val="20"/>
                <w:szCs w:val="20"/>
              </w:rPr>
              <w:t xml:space="preserve">Playfair Display is on thousands of health and wellness sites. Fraunces is on almost none. The unfamiliarity is the point. This brand says "different" — the typography must too.</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EDE5"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THREAT</w:t>
            </w:r>
          </w:p>
          <w:p>
            <w:pPr>
              <w:spacing w:after="80" w:before="0"/>
            </w:pPr>
            <w:r>
              <w:rPr>
                <w:rFonts w:ascii="Georgia" w:cs="Georgia" w:eastAsia="Georgia" w:hAnsi="Georgia"/>
                <w:i/>
                <w:iCs/>
                <w:color w:val="2C2C1E"/>
                <w:sz w:val="22"/>
                <w:szCs w:val="22"/>
              </w:rPr>
              <w:t xml:space="preserve">"Too much italic feels dramatic"</w:t>
            </w:r>
          </w:p>
          <w:p>
            <w:pPr>
              <w:spacing w:after="0" w:before="0"/>
            </w:pPr>
            <w:r>
              <w:rPr>
                <w:rFonts w:ascii="Arial" w:cs="Arial" w:eastAsia="Arial" w:hAnsi="Arial"/>
                <w:color w:val="2C2C1E"/>
                <w:sz w:val="20"/>
                <w:szCs w:val="20"/>
              </w:rPr>
              <w:t xml:space="preserve">Fraunces italic at 900 is very heavy. If used on multiple lines it loses its punch and starts feeling theatrical.</w:t>
            </w:r>
          </w:p>
        </w:tc>
        <w:tc>
          <w:tcPr>
            <w:tcW w:type="dxa" w:w="4680"/>
            <w:tcBorders>
              <w:top w:val="none" w:color="FFFFFF" w:sz="0"/>
              <w:left w:val="none" w:color="FFFFFF" w:sz="0"/>
              <w:bottom w:val="none" w:color="FFFFFF" w:sz="0"/>
              <w:right w:val="none" w:color="FFFFFF" w:sz="0"/>
            </w:tcBorders>
            <w:shd w:fill="F7F4EE"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SOLUTION</w:t>
            </w:r>
          </w:p>
          <w:p>
            <w:pPr>
              <w:spacing w:after="80" w:before="0"/>
            </w:pPr>
            <w:r>
              <w:rPr>
                <w:rFonts w:ascii="Georgia" w:cs="Georgia" w:eastAsia="Georgia" w:hAnsi="Georgia"/>
                <w:i/>
                <w:iCs/>
                <w:color w:val="5C6652"/>
                <w:sz w:val="22"/>
                <w:szCs w:val="22"/>
              </w:rPr>
              <w:t xml:space="preserve">One italic punch per headline. Always.</w:t>
            </w:r>
          </w:p>
          <w:p>
            <w:pPr>
              <w:spacing w:after="0" w:before="0"/>
            </w:pPr>
            <w:r>
              <w:rPr>
                <w:rFonts w:ascii="Arial" w:cs="Arial" w:eastAsia="Arial" w:hAnsi="Arial"/>
                <w:color w:val="2C2C1E"/>
                <w:sz w:val="20"/>
                <w:szCs w:val="20"/>
              </w:rPr>
              <w:t xml:space="preserve">Fraunces italic is the exclamation mark, not the sentence. It should appear on the final phrase of a headline only — the thing that lands. Never on more than one line per slide.</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EDE5"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THREAT</w:t>
            </w:r>
          </w:p>
          <w:p>
            <w:pPr>
              <w:spacing w:after="80" w:before="0"/>
            </w:pPr>
            <w:r>
              <w:rPr>
                <w:rFonts w:ascii="Georgia" w:cs="Georgia" w:eastAsia="Georgia" w:hAnsi="Georgia"/>
                <w:i/>
                <w:iCs/>
                <w:color w:val="2C2C1E"/>
                <w:sz w:val="22"/>
                <w:szCs w:val="22"/>
              </w:rPr>
              <w:t xml:space="preserve">"Body text disappears on mobile"</w:t>
            </w:r>
          </w:p>
          <w:p>
            <w:pPr>
              <w:spacing w:after="0" w:before="0"/>
            </w:pPr>
            <w:r>
              <w:rPr>
                <w:rFonts w:ascii="Arial" w:cs="Arial" w:eastAsia="Arial" w:hAnsi="Arial"/>
                <w:color w:val="2C2C1E"/>
                <w:sz w:val="20"/>
                <w:szCs w:val="20"/>
              </w:rPr>
              <w:t xml:space="preserve">Manrope 400 at very small sizes on Parchment can lose contrast on older or dimmer mobile screens.</w:t>
            </w:r>
          </w:p>
        </w:tc>
        <w:tc>
          <w:tcPr>
            <w:tcW w:type="dxa" w:w="4680"/>
            <w:tcBorders>
              <w:top w:val="none" w:color="FFFFFF" w:sz="0"/>
              <w:left w:val="none" w:color="FFFFFF" w:sz="0"/>
              <w:bottom w:val="none" w:color="FFFFFF" w:sz="0"/>
              <w:right w:val="none" w:color="FFFFFF" w:sz="0"/>
            </w:tcBorders>
            <w:shd w:fill="F7F4EE" w:val="clear"/>
            <w:tcMar>
              <w:top w:type="dxa" w:w="160"/>
              <w:left w:type="dxa" w:w="200"/>
              <w:bottom w:type="dxa" w:w="160"/>
              <w:right w:type="dxa" w:w="200"/>
            </w:tcMar>
          </w:tcPr>
          <w:p>
            <w:pPr>
              <w:spacing w:after="80" w:before="0"/>
            </w:pPr>
            <w:r>
              <w:rPr>
                <w:rFonts w:ascii="Arial" w:cs="Arial" w:eastAsia="Arial" w:hAnsi="Arial"/>
                <w:b/>
                <w:bCs/>
                <w:color w:val="5C6652"/>
                <w:sz w:val="18"/>
                <w:szCs w:val="18"/>
              </w:rPr>
              <w:t xml:space="preserve">SOLUTION</w:t>
            </w:r>
          </w:p>
          <w:p>
            <w:pPr>
              <w:spacing w:after="80" w:before="0"/>
            </w:pPr>
            <w:r>
              <w:rPr>
                <w:rFonts w:ascii="Georgia" w:cs="Georgia" w:eastAsia="Georgia" w:hAnsi="Georgia"/>
                <w:i/>
                <w:iCs/>
                <w:color w:val="5C6652"/>
                <w:sz w:val="22"/>
                <w:szCs w:val="22"/>
              </w:rPr>
              <w:t xml:space="preserve">Never go below 13px. Use Dark Ink at full opacity.</w:t>
            </w:r>
          </w:p>
          <w:p>
            <w:pPr>
              <w:spacing w:after="0" w:before="0"/>
            </w:pPr>
            <w:r>
              <w:rPr>
                <w:rFonts w:ascii="Arial" w:cs="Arial" w:eastAsia="Arial" w:hAnsi="Arial"/>
                <w:color w:val="2C2C1E"/>
                <w:sz w:val="20"/>
                <w:szCs w:val="20"/>
              </w:rPr>
              <w:t xml:space="preserve">Minimum body text size is 13px on screen, 10pt in print. Use Dark Ink (#2C2C1E) at full opacity for body text — never a grey or a tinted version. On Instagram, use Manrope 800 not 400.</w:t>
            </w:r>
          </w:p>
        </w:tc>
      </w:tr>
    </w:tbl>
    <w:p>
      <w:pPr>
        <w:spacing w:after="0" w:before="0"/>
      </w:pPr>
      <w:r>
        <w:rPr>
          <w:sz w:val="200"/>
          <w:szCs w:val="200"/>
        </w:rPr>
        <w:t xml:space="preserve"/>
      </w:r>
    </w:p>
    <w:p>
      <w:r>
        <w:br w:type="page"/>
      </w:r>
    </w:p>
    <w:p>
      <w:pPr>
        <w:pBdr>
          <w:bottom w:val="single" w:color="5C6652" w:sz="8" w:space="6"/>
        </w:pBdr>
        <w:spacing w:after="160" w:before="400"/>
      </w:pPr>
      <w:r>
        <w:rPr>
          <w:rFonts w:ascii="Arial" w:cs="Arial" w:eastAsia="Arial" w:hAnsi="Arial"/>
          <w:b/>
          <w:bCs/>
          <w:color w:val="2C2C1E"/>
          <w:sz w:val="36"/>
          <w:szCs w:val="36"/>
        </w:rPr>
        <w:t xml:space="preserve">06   Quick Reference Card</w:t>
      </w:r>
    </w:p>
    <w:p>
      <w:pPr>
        <w:spacing w:after="0" w:before="0"/>
      </w:pPr>
      <w:r>
        <w:rPr>
          <w:sz w:val="80"/>
          <w:szCs w:val="80"/>
        </w:rPr>
        <w:t xml:space="preserve"/>
      </w:r>
    </w:p>
    <w:p>
      <w:pPr>
        <w:spacing w:after="60" w:before="60"/>
      </w:pPr>
      <w:r>
        <w:rPr>
          <w:rFonts w:ascii="Georgia" w:cs="Georgia" w:eastAsia="Georgia" w:hAnsi="Georgia"/>
          <w:b w:val="false"/>
          <w:bCs w:val="false"/>
          <w:i/>
          <w:iCs/>
          <w:color w:val="2C2C1E"/>
          <w:sz w:val="22"/>
          <w:szCs w:val="22"/>
        </w:rPr>
        <w:t xml:space="preserve">Print this page. Pin it above your desk. Give it to anyone making content for you.</w:t>
      </w:r>
    </w:p>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E5" w:val="clear"/>
            <w:tcMar>
              <w:top w:type="dxa" w:w="160"/>
              <w:left w:type="dxa" w:w="240"/>
              <w:bottom w:type="dxa" w:w="160"/>
              <w:right w:type="dxa" w:w="240"/>
            </w:tcMar>
          </w:tcPr>
          <w:p>
            <w:pPr>
              <w:spacing w:after="100" w:before="0"/>
            </w:pPr>
            <w:r>
              <w:rPr>
                <w:rFonts w:ascii="Arial" w:cs="Arial" w:eastAsia="Arial" w:hAnsi="Arial"/>
                <w:b/>
                <w:bCs/>
                <w:color w:val="5C6652"/>
                <w:sz w:val="22"/>
                <w:szCs w:val="22"/>
              </w:rPr>
              <w:t xml:space="preserve">Colour — six rules at a glance</w:t>
            </w:r>
          </w:p>
          <w:p>
            <w:pPr>
              <w:pStyle w:val="ListParagraph"/>
              <w:numPr>
                <w:ilvl w:val="0"/>
                <w:numId w:val="3"/>
              </w:numPr>
              <w:spacing w:after="60" w:before="60"/>
            </w:pPr>
            <w:r>
              <w:rPr>
                <w:rFonts w:ascii="Arial" w:cs="Arial" w:eastAsia="Arial" w:hAnsi="Arial"/>
                <w:color w:val="2C2C1E"/>
                <w:sz w:val="22"/>
                <w:szCs w:val="22"/>
              </w:rPr>
              <w:t xml:space="preserve">Parchment is always the base — never swap for white.</w:t>
            </w:r>
          </w:p>
          <w:p>
            <w:pPr>
              <w:pStyle w:val="ListParagraph"/>
              <w:numPr>
                <w:ilvl w:val="0"/>
                <w:numId w:val="3"/>
              </w:numPr>
              <w:spacing w:after="60" w:before="60"/>
            </w:pPr>
            <w:r>
              <w:rPr>
                <w:rFonts w:ascii="Arial" w:cs="Arial" w:eastAsia="Arial" w:hAnsi="Arial"/>
                <w:color w:val="2C2C1E"/>
                <w:sz w:val="22"/>
                <w:szCs w:val="22"/>
              </w:rPr>
              <w:t xml:space="preserve">Moss Shadow is a voice, not a wallpaper — bounded blocks only.</w:t>
            </w:r>
          </w:p>
          <w:p>
            <w:pPr>
              <w:pStyle w:val="ListParagraph"/>
              <w:numPr>
                <w:ilvl w:val="0"/>
                <w:numId w:val="3"/>
              </w:numPr>
              <w:spacing w:after="60" w:before="60"/>
            </w:pPr>
            <w:r>
              <w:rPr>
                <w:rFonts w:ascii="Arial" w:cs="Arial" w:eastAsia="Arial" w:hAnsi="Arial"/>
                <w:color w:val="2C2C1E"/>
                <w:sz w:val="22"/>
                <w:szCs w:val="22"/>
              </w:rPr>
              <w:t xml:space="preserve">Dark Ink appears once per slide — header OR emphasis OR nodes.</w:t>
            </w:r>
          </w:p>
          <w:p>
            <w:pPr>
              <w:pStyle w:val="ListParagraph"/>
              <w:numPr>
                <w:ilvl w:val="0"/>
                <w:numId w:val="3"/>
              </w:numPr>
              <w:spacing w:after="60" w:before="60"/>
            </w:pPr>
            <w:r>
              <w:rPr>
                <w:rFonts w:ascii="Arial" w:cs="Arial" w:eastAsia="Arial" w:hAnsi="Arial"/>
                <w:b/>
                <w:bCs/>
                <w:color w:val="2C2C1E"/>
                <w:sz w:val="22"/>
                <w:szCs w:val="22"/>
              </w:rPr>
              <w:t xml:space="preserve">Marigold appears exactly once per design — no exceptions.</w:t>
            </w:r>
          </w:p>
          <w:p>
            <w:pPr>
              <w:pStyle w:val="ListParagraph"/>
              <w:numPr>
                <w:ilvl w:val="0"/>
                <w:numId w:val="3"/>
              </w:numPr>
              <w:spacing w:after="60" w:before="60"/>
            </w:pPr>
            <w:r>
              <w:rPr>
                <w:rFonts w:ascii="Arial" w:cs="Arial" w:eastAsia="Arial" w:hAnsi="Arial"/>
                <w:color w:val="2C2C1E"/>
                <w:sz w:val="22"/>
                <w:szCs w:val="22"/>
              </w:rPr>
              <w:t xml:space="preserve">Typography carries the warmth — serif headlines, sans body text.</w:t>
            </w:r>
          </w:p>
          <w:p>
            <w:pPr>
              <w:pStyle w:val="ListParagraph"/>
              <w:numPr>
                <w:ilvl w:val="0"/>
                <w:numId w:val="3"/>
              </w:numPr>
              <w:spacing w:after="60" w:before="60"/>
            </w:pPr>
            <w:r>
              <w:rPr>
                <w:rFonts w:ascii="Arial" w:cs="Arial" w:eastAsia="Arial" w:hAnsi="Arial"/>
                <w:color w:val="2C2C1E"/>
                <w:sz w:val="22"/>
                <w:szCs w:val="22"/>
              </w:rPr>
              <w:t xml:space="preserve">Red and green are functional only — never decorative.</w:t>
            </w:r>
          </w:p>
        </w:tc>
      </w:tr>
    </w:tbl>
    <w:p>
      <w:pPr>
        <w:spacing w:after="0" w:before="0"/>
      </w:pPr>
      <w:r>
        <w:rPr>
          <w:sz w:val="160"/>
          <w:szCs w:val="1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DC" w:val="clear"/>
            <w:tcMar>
              <w:top w:type="dxa" w:w="160"/>
              <w:left w:type="dxa" w:w="240"/>
              <w:bottom w:type="dxa" w:w="160"/>
              <w:right w:type="dxa" w:w="240"/>
            </w:tcMar>
          </w:tcPr>
          <w:p>
            <w:pPr>
              <w:spacing w:after="100" w:before="0"/>
            </w:pPr>
            <w:r>
              <w:rPr>
                <w:rFonts w:ascii="Arial" w:cs="Arial" w:eastAsia="Arial" w:hAnsi="Arial"/>
                <w:b/>
                <w:bCs/>
                <w:color w:val="5C6652"/>
                <w:sz w:val="22"/>
                <w:szCs w:val="22"/>
              </w:rPr>
              <w:t xml:space="preserve">Typography — six rules at a glance</w:t>
            </w:r>
          </w:p>
          <w:p>
            <w:pPr>
              <w:pStyle w:val="ListParagraph"/>
              <w:numPr>
                <w:ilvl w:val="0"/>
                <w:numId w:val="3"/>
              </w:numPr>
              <w:spacing w:after="60" w:before="60"/>
            </w:pPr>
            <w:r>
              <w:rPr>
                <w:rFonts w:ascii="Arial" w:cs="Arial" w:eastAsia="Arial" w:hAnsi="Arial"/>
                <w:b/>
                <w:bCs/>
                <w:color w:val="2C2C1E"/>
                <w:sz w:val="22"/>
                <w:szCs w:val="22"/>
              </w:rPr>
              <w:t xml:space="preserve">Fraunces 900 for all headlines — no substitutions.</w:t>
            </w:r>
          </w:p>
          <w:p>
            <w:pPr>
              <w:pStyle w:val="ListParagraph"/>
              <w:numPr>
                <w:ilvl w:val="0"/>
                <w:numId w:val="3"/>
              </w:numPr>
              <w:spacing w:after="60" w:before="60"/>
            </w:pPr>
            <w:r>
              <w:rPr>
                <w:rFonts w:ascii="Arial" w:cs="Arial" w:eastAsia="Arial" w:hAnsi="Arial"/>
                <w:color w:val="2C2C1E"/>
                <w:sz w:val="22"/>
                <w:szCs w:val="22"/>
              </w:rPr>
              <w:t xml:space="preserve">Fraunces 900 Italic for one punch per headline — the last line only.</w:t>
            </w:r>
          </w:p>
          <w:p>
            <w:pPr>
              <w:pStyle w:val="ListParagraph"/>
              <w:numPr>
                <w:ilvl w:val="0"/>
                <w:numId w:val="3"/>
              </w:numPr>
              <w:spacing w:after="60" w:before="60"/>
            </w:pPr>
            <w:r>
              <w:rPr>
                <w:rFonts w:ascii="Arial" w:cs="Arial" w:eastAsia="Arial" w:hAnsi="Arial"/>
                <w:color w:val="2C2C1E"/>
                <w:sz w:val="22"/>
                <w:szCs w:val="22"/>
              </w:rPr>
              <w:t xml:space="preserve">Manrope 400 for all body text — minimum 13px on screen.</w:t>
            </w:r>
          </w:p>
          <w:p>
            <w:pPr>
              <w:pStyle w:val="ListParagraph"/>
              <w:numPr>
                <w:ilvl w:val="0"/>
                <w:numId w:val="3"/>
              </w:numPr>
              <w:spacing w:after="60" w:before="60"/>
            </w:pPr>
            <w:r>
              <w:rPr>
                <w:rFonts w:ascii="Arial" w:cs="Arial" w:eastAsia="Arial" w:hAnsi="Arial"/>
                <w:color w:val="2C2C1E"/>
                <w:sz w:val="22"/>
                <w:szCs w:val="22"/>
              </w:rPr>
              <w:t xml:space="preserve">Manrope 800 for Instagram body text and loud callouts.</w:t>
            </w:r>
          </w:p>
          <w:p>
            <w:pPr>
              <w:pStyle w:val="ListParagraph"/>
              <w:numPr>
                <w:ilvl w:val="0"/>
                <w:numId w:val="3"/>
              </w:numPr>
              <w:spacing w:after="60" w:before="60"/>
            </w:pPr>
            <w:r>
              <w:rPr>
                <w:rFonts w:ascii="Arial" w:cs="Arial" w:eastAsia="Arial" w:hAnsi="Arial"/>
                <w:b/>
                <w:bCs/>
                <w:color w:val="2C2C1E"/>
                <w:sz w:val="22"/>
                <w:szCs w:val="22"/>
              </w:rPr>
              <w:t xml:space="preserve">Maximum 6 words on an Instagram tile headline.</w:t>
            </w:r>
          </w:p>
          <w:p>
            <w:pPr>
              <w:pStyle w:val="ListParagraph"/>
              <w:numPr>
                <w:ilvl w:val="0"/>
                <w:numId w:val="3"/>
              </w:numPr>
              <w:spacing w:after="60" w:before="60"/>
            </w:pPr>
            <w:r>
              <w:rPr>
                <w:rFonts w:ascii="Arial" w:cs="Arial" w:eastAsia="Arial" w:hAnsi="Arial"/>
                <w:color w:val="2C2C1E"/>
                <w:sz w:val="22"/>
                <w:szCs w:val="22"/>
              </w:rPr>
              <w:t xml:space="preserve">Never replace Fraunces with a "safer" serif — unusual is the brief.</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2C1E" w:val="clear"/>
            <w:tcMar>
              <w:top w:type="dxa" w:w="200"/>
              <w:left w:type="dxa" w:w="280"/>
              <w:bottom w:type="dxa" w:w="200"/>
              <w:right w:type="dxa" w:w="280"/>
            </w:tcMar>
          </w:tcPr>
          <w:p>
            <w:pPr>
              <w:spacing w:after="100" w:before="0"/>
            </w:pPr>
            <w:r>
              <w:rPr>
                <w:rFonts w:ascii="Arial" w:cs="Arial" w:eastAsia="Arial" w:hAnsi="Arial"/>
                <w:b/>
                <w:bCs/>
                <w:color w:val="E8C547"/>
                <w:sz w:val="18"/>
                <w:szCs w:val="18"/>
              </w:rPr>
              <w:t xml:space="preserve">The brand in one sentence</w:t>
            </w:r>
          </w:p>
          <w:p>
            <w:pPr>
              <w:spacing w:after="0" w:before="0"/>
            </w:pPr>
            <w:r>
              <w:rPr>
                <w:rFonts w:ascii="Georgia" w:cs="Georgia" w:eastAsia="Georgia" w:hAnsi="Georgia"/>
                <w:i/>
                <w:iCs/>
                <w:color w:val="F7F4EE"/>
                <w:sz w:val="28"/>
                <w:szCs w:val="28"/>
              </w:rPr>
              <w:t xml:space="preserve">The colours create the room. Fraunces does the work. The words are the warmth.</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E5" w:val="clear"/>
            <w:tcMar>
              <w:top w:type="dxa" w:w="160"/>
              <w:left w:type="dxa" w:w="240"/>
              <w:bottom w:type="dxa" w:w="160"/>
              <w:right w:type="dxa" w:w="240"/>
            </w:tcMar>
          </w:tcPr>
          <w:p>
            <w:pPr>
              <w:spacing w:after="100" w:before="0"/>
            </w:pPr>
            <w:r>
              <w:rPr>
                <w:rFonts w:ascii="Arial" w:cs="Arial" w:eastAsia="Arial" w:hAnsi="Arial"/>
                <w:b/>
                <w:bCs/>
                <w:color w:val="5C6652"/>
                <w:sz w:val="20"/>
                <w:szCs w:val="20"/>
              </w:rPr>
              <w:t xml:space="preserve">Download your fonts — both free on Google Fonts</w:t>
            </w:r>
          </w:p>
          <w:p>
            <w:pPr>
              <w:spacing w:after="60" w:before="60"/>
            </w:pPr>
            <w:r>
              <w:rPr>
                <w:rFonts w:ascii="Arial" w:cs="Arial" w:eastAsia="Arial" w:hAnsi="Arial"/>
                <w:b/>
                <w:bCs/>
                <w:color w:val="2C2C1E"/>
                <w:sz w:val="20"/>
                <w:szCs w:val="20"/>
              </w:rPr>
              <w:t xml:space="preserve">Fraunces: </w:t>
            </w:r>
            <w:r>
              <w:rPr>
                <w:rFonts w:ascii="Arial" w:cs="Arial" w:eastAsia="Arial" w:hAnsi="Arial"/>
                <w:color w:val="2C2C1E"/>
                <w:sz w:val="20"/>
                <w:szCs w:val="20"/>
              </w:rPr>
              <w:t xml:space="preserve">fonts.google.com/specimen/Fraunces   —   download weights 700 and 900, regular and italic</w:t>
            </w:r>
          </w:p>
          <w:p>
            <w:pPr>
              <w:spacing w:after="60" w:before="60"/>
            </w:pPr>
            <w:r>
              <w:rPr>
                <w:rFonts w:ascii="Arial" w:cs="Arial" w:eastAsia="Arial" w:hAnsi="Arial"/>
                <w:b/>
                <w:bCs/>
                <w:color w:val="2C2C1E"/>
                <w:sz w:val="20"/>
                <w:szCs w:val="20"/>
              </w:rPr>
              <w:t xml:space="preserve">Manrope: </w:t>
            </w:r>
            <w:r>
              <w:rPr>
                <w:rFonts w:ascii="Arial" w:cs="Arial" w:eastAsia="Arial" w:hAnsi="Arial"/>
                <w:color w:val="2C2C1E"/>
                <w:sz w:val="20"/>
                <w:szCs w:val="20"/>
              </w:rPr>
              <w:t xml:space="preserve">fonts.google.com/specimen/Manrope   —   download weights 400, 700 and 800</w:t>
            </w:r>
          </w:p>
        </w:tc>
      </w:tr>
    </w:tbl>
    <w:p>
      <w:pPr>
        <w:spacing w:after="0" w:before="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7F4EE" w:val="clear"/>
            <w:tcMar>
              <w:top w:type="dxa" w:w="300"/>
              <w:left w:type="dxa" w:w="160"/>
              <w:bottom w:type="dxa" w:w="300"/>
              <w:right w:type="dxa" w:w="160"/>
            </w:tcMar>
            <w:vAlign w:val="center"/>
          </w:tcPr>
          <w:p>
            <w:pPr>
              <w:spacing w:after="40" w:before="0"/>
              <w:jc w:val="center"/>
            </w:pPr>
            <w:r>
              <w:rPr>
                <w:rFonts w:ascii="Arial" w:cs="Arial" w:eastAsia="Arial" w:hAnsi="Arial"/>
                <w:b/>
                <w:bCs/>
                <w:color w:val="5C6652"/>
                <w:sz w:val="20"/>
                <w:szCs w:val="20"/>
              </w:rPr>
              <w:t xml:space="preserve">Parchment</w:t>
            </w:r>
          </w:p>
          <w:p>
            <w:pPr>
              <w:spacing w:after="0" w:before="0"/>
              <w:jc w:val="center"/>
            </w:pPr>
            <w:r>
              <w:rPr>
                <w:rFonts w:ascii="Courier New" w:cs="Courier New" w:eastAsia="Courier New" w:hAnsi="Courier New"/>
                <w:color w:val="5C6652"/>
                <w:sz w:val="16"/>
                <w:szCs w:val="16"/>
              </w:rPr>
              <w:t xml:space="preserve">#F7F4EE</w:t>
            </w:r>
          </w:p>
        </w:tc>
        <w:tc>
          <w:tcPr>
            <w:tcW w:type="dxa" w:w="2340"/>
            <w:tcBorders>
              <w:top w:val="none" w:color="FFFFFF" w:sz="0"/>
              <w:left w:val="none" w:color="FFFFFF" w:sz="0"/>
              <w:bottom w:val="none" w:color="FFFFFF" w:sz="0"/>
              <w:right w:val="none" w:color="FFFFFF" w:sz="0"/>
            </w:tcBorders>
            <w:shd w:fill="5C6652" w:val="clear"/>
            <w:tcMar>
              <w:top w:type="dxa" w:w="300"/>
              <w:left w:type="dxa" w:w="160"/>
              <w:bottom w:type="dxa" w:w="300"/>
              <w:right w:type="dxa" w:w="160"/>
            </w:tcMar>
            <w:vAlign w:val="center"/>
          </w:tcPr>
          <w:p>
            <w:pPr>
              <w:spacing w:after="40" w:before="0"/>
              <w:jc w:val="center"/>
            </w:pPr>
            <w:r>
              <w:rPr>
                <w:rFonts w:ascii="Arial" w:cs="Arial" w:eastAsia="Arial" w:hAnsi="Arial"/>
                <w:b/>
                <w:bCs/>
                <w:color w:val="F7F4EE"/>
                <w:sz w:val="20"/>
                <w:szCs w:val="20"/>
              </w:rPr>
              <w:t xml:space="preserve">Moss Shadow</w:t>
            </w:r>
          </w:p>
          <w:p>
            <w:pPr>
              <w:spacing w:after="0" w:before="0"/>
              <w:jc w:val="center"/>
            </w:pPr>
            <w:r>
              <w:rPr>
                <w:rFonts w:ascii="Courier New" w:cs="Courier New" w:eastAsia="Courier New" w:hAnsi="Courier New"/>
                <w:color w:val="F7F4EE"/>
                <w:sz w:val="16"/>
                <w:szCs w:val="16"/>
              </w:rPr>
              <w:t xml:space="preserve">#5C6652</w:t>
            </w:r>
          </w:p>
        </w:tc>
        <w:tc>
          <w:tcPr>
            <w:tcW w:type="dxa" w:w="2340"/>
            <w:tcBorders>
              <w:top w:val="none" w:color="FFFFFF" w:sz="0"/>
              <w:left w:val="none" w:color="FFFFFF" w:sz="0"/>
              <w:bottom w:val="none" w:color="FFFFFF" w:sz="0"/>
              <w:right w:val="none" w:color="FFFFFF" w:sz="0"/>
            </w:tcBorders>
            <w:shd w:fill="2C2C1E" w:val="clear"/>
            <w:tcMar>
              <w:top w:type="dxa" w:w="300"/>
              <w:left w:type="dxa" w:w="160"/>
              <w:bottom w:type="dxa" w:w="300"/>
              <w:right w:type="dxa" w:w="160"/>
            </w:tcMar>
            <w:vAlign w:val="center"/>
          </w:tcPr>
          <w:p>
            <w:pPr>
              <w:spacing w:after="40" w:before="0"/>
              <w:jc w:val="center"/>
            </w:pPr>
            <w:r>
              <w:rPr>
                <w:rFonts w:ascii="Arial" w:cs="Arial" w:eastAsia="Arial" w:hAnsi="Arial"/>
                <w:b/>
                <w:bCs/>
                <w:color w:val="F7F4EE"/>
                <w:sz w:val="20"/>
                <w:szCs w:val="20"/>
              </w:rPr>
              <w:t xml:space="preserve">Dark Ink</w:t>
            </w:r>
          </w:p>
          <w:p>
            <w:pPr>
              <w:spacing w:after="0" w:before="0"/>
              <w:jc w:val="center"/>
            </w:pPr>
            <w:r>
              <w:rPr>
                <w:rFonts w:ascii="Courier New" w:cs="Courier New" w:eastAsia="Courier New" w:hAnsi="Courier New"/>
                <w:color w:val="F7F4EE"/>
                <w:sz w:val="16"/>
                <w:szCs w:val="16"/>
              </w:rPr>
              <w:t xml:space="preserve">#2C2C1E</w:t>
            </w:r>
          </w:p>
        </w:tc>
        <w:tc>
          <w:tcPr>
            <w:tcW w:type="dxa" w:w="2340"/>
            <w:tcBorders>
              <w:top w:val="none" w:color="FFFFFF" w:sz="0"/>
              <w:left w:val="none" w:color="FFFFFF" w:sz="0"/>
              <w:bottom w:val="none" w:color="FFFFFF" w:sz="0"/>
              <w:right w:val="none" w:color="FFFFFF" w:sz="0"/>
            </w:tcBorders>
            <w:shd w:fill="E8C547" w:val="clear"/>
            <w:tcMar>
              <w:top w:type="dxa" w:w="300"/>
              <w:left w:type="dxa" w:w="160"/>
              <w:bottom w:type="dxa" w:w="300"/>
              <w:right w:type="dxa" w:w="160"/>
            </w:tcMar>
            <w:vAlign w:val="center"/>
          </w:tcPr>
          <w:p>
            <w:pPr>
              <w:spacing w:after="40" w:before="0"/>
              <w:jc w:val="center"/>
            </w:pPr>
            <w:r>
              <w:rPr>
                <w:rFonts w:ascii="Arial" w:cs="Arial" w:eastAsia="Arial" w:hAnsi="Arial"/>
                <w:b/>
                <w:bCs/>
                <w:color w:val="2C2C1E"/>
                <w:sz w:val="20"/>
                <w:szCs w:val="20"/>
              </w:rPr>
              <w:t xml:space="preserve">Marigold</w:t>
            </w:r>
          </w:p>
          <w:p>
            <w:pPr>
              <w:spacing w:after="0" w:before="0"/>
              <w:jc w:val="center"/>
            </w:pPr>
            <w:r>
              <w:rPr>
                <w:rFonts w:ascii="Courier New" w:cs="Courier New" w:eastAsia="Courier New" w:hAnsi="Courier New"/>
                <w:color w:val="2C2C1E"/>
                <w:sz w:val="16"/>
                <w:szCs w:val="16"/>
              </w:rPr>
              <w:t xml:space="preserve">#E8C547</w:t>
            </w:r>
          </w:p>
        </w:tc>
      </w:tr>
      <w:tr>
        <w:tc>
          <w:tcPr>
            <w:tcW w:type="dxa" w:w="2340"/>
            <w:tcBorders>
              <w:top w:val="none" w:color="FFFFFF" w:sz="0"/>
              <w:left w:val="none" w:color="FFFFFF" w:sz="0"/>
              <w:bottom w:val="single" w:color="D8D4CC" w:sz="1"/>
              <w:right w:val="none" w:color="FFFFFF" w:sz="0"/>
            </w:tcBorders>
            <w:shd w:fill="F7F4EE" w:val="clear"/>
            <w:tcMar>
              <w:top w:type="dxa" w:w="120"/>
              <w:left w:type="dxa" w:w="160"/>
              <w:bottom w:type="dxa" w:w="120"/>
              <w:right w:type="dxa" w:w="160"/>
            </w:tcMar>
          </w:tcPr>
          <w:p>
            <w:pPr>
              <w:spacing w:after="0" w:before="0"/>
              <w:jc w:val="center"/>
            </w:pPr>
            <w:r>
              <w:rPr>
                <w:rFonts w:ascii="Arial" w:cs="Arial" w:eastAsia="Arial" w:hAnsi="Arial"/>
                <w:i/>
                <w:iCs/>
                <w:color w:val="2C2C1E"/>
                <w:sz w:val="18"/>
                <w:szCs w:val="18"/>
              </w:rPr>
              <w:t xml:space="preserve">#F7F4EE — Base</w:t>
            </w:r>
          </w:p>
        </w:tc>
        <w:tc>
          <w:tcPr>
            <w:tcW w:type="dxa" w:w="2340"/>
            <w:tcBorders>
              <w:top w:val="none" w:color="FFFFFF" w:sz="0"/>
              <w:left w:val="none" w:color="FFFFFF" w:sz="0"/>
              <w:bottom w:val="single" w:color="D8D4CC" w:sz="1"/>
              <w:right w:val="none" w:color="FFFFFF" w:sz="0"/>
            </w:tcBorders>
            <w:shd w:fill="F7F4EE" w:val="clear"/>
            <w:tcMar>
              <w:top w:type="dxa" w:w="120"/>
              <w:left w:type="dxa" w:w="160"/>
              <w:bottom w:type="dxa" w:w="120"/>
              <w:right w:type="dxa" w:w="160"/>
            </w:tcMar>
          </w:tcPr>
          <w:p>
            <w:pPr>
              <w:spacing w:after="0" w:before="0"/>
              <w:jc w:val="center"/>
            </w:pPr>
            <w:r>
              <w:rPr>
                <w:rFonts w:ascii="Arial" w:cs="Arial" w:eastAsia="Arial" w:hAnsi="Arial"/>
                <w:i/>
                <w:iCs/>
                <w:color w:val="2C2C1E"/>
                <w:sz w:val="18"/>
                <w:szCs w:val="18"/>
              </w:rPr>
              <w:t xml:space="preserve">#5C6652 — Voice</w:t>
            </w:r>
          </w:p>
        </w:tc>
        <w:tc>
          <w:tcPr>
            <w:tcW w:type="dxa" w:w="2340"/>
            <w:tcBorders>
              <w:top w:val="none" w:color="FFFFFF" w:sz="0"/>
              <w:left w:val="none" w:color="FFFFFF" w:sz="0"/>
              <w:bottom w:val="single" w:color="D8D4CC" w:sz="1"/>
              <w:right w:val="none" w:color="FFFFFF" w:sz="0"/>
            </w:tcBorders>
            <w:shd w:fill="F7F4EE" w:val="clear"/>
            <w:tcMar>
              <w:top w:type="dxa" w:w="120"/>
              <w:left w:type="dxa" w:w="160"/>
              <w:bottom w:type="dxa" w:w="120"/>
              <w:right w:type="dxa" w:w="160"/>
            </w:tcMar>
          </w:tcPr>
          <w:p>
            <w:pPr>
              <w:spacing w:after="0" w:before="0"/>
              <w:jc w:val="center"/>
            </w:pPr>
            <w:r>
              <w:rPr>
                <w:rFonts w:ascii="Arial" w:cs="Arial" w:eastAsia="Arial" w:hAnsi="Arial"/>
                <w:i/>
                <w:iCs/>
                <w:color w:val="2C2C1E"/>
                <w:sz w:val="18"/>
                <w:szCs w:val="18"/>
              </w:rPr>
              <w:t xml:space="preserve">#2C2C1E — Fierce</w:t>
            </w:r>
          </w:p>
        </w:tc>
        <w:tc>
          <w:tcPr>
            <w:tcW w:type="dxa" w:w="2340"/>
            <w:tcBorders>
              <w:top w:val="none" w:color="FFFFFF" w:sz="0"/>
              <w:left w:val="none" w:color="FFFFFF" w:sz="0"/>
              <w:bottom w:val="single" w:color="D8D4CC" w:sz="1"/>
              <w:right w:val="none" w:color="FFFFFF" w:sz="0"/>
            </w:tcBorders>
            <w:shd w:fill="F7F4EE" w:val="clear"/>
            <w:tcMar>
              <w:top w:type="dxa" w:w="120"/>
              <w:left w:type="dxa" w:w="160"/>
              <w:bottom w:type="dxa" w:w="120"/>
              <w:right w:type="dxa" w:w="160"/>
            </w:tcMar>
          </w:tcPr>
          <w:p>
            <w:pPr>
              <w:spacing w:after="0" w:before="0"/>
              <w:jc w:val="center"/>
            </w:pPr>
            <w:r>
              <w:rPr>
                <w:rFonts w:ascii="Arial" w:cs="Arial" w:eastAsia="Arial" w:hAnsi="Arial"/>
                <w:i/>
                <w:iCs/>
                <w:color w:val="2C2C1E"/>
                <w:sz w:val="18"/>
                <w:szCs w:val="18"/>
              </w:rPr>
              <w:t xml:space="preserve">#E8C547 — Once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4" w:space="4"/>
      </w:pBdr>
      <w:spacing w:after="0" w:before="80"/>
    </w:pPr>
    <w:r>
      <w:rPr>
        <w:rFonts w:ascii="Arial" w:cs="Arial" w:eastAsia="Arial" w:hAnsi="Arial"/>
        <w:color w:val="D8D4CC"/>
        <w:sz w:val="16"/>
        <w:szCs w:val="16"/>
      </w:rPr>
      <w:t xml:space="preserve">Confidential — for internal use only</w:t>
    </w:r>
    <w:r>
      <w:rPr>
        <w:rFonts w:ascii="Arial" w:cs="Arial" w:eastAsia="Arial" w:hAnsi="Arial"/>
        <w:color w:val="D8D4CC"/>
        <w:sz w:val="16"/>
        <w:szCs w:val="16"/>
      </w:rPr>
      <w:t xml:space="preserve">   |   </w:t>
    </w:r>
    <w:r>
      <w:rPr>
        <w:rFonts w:ascii="Arial" w:cs="Arial" w:eastAsia="Arial" w:hAnsi="Arial"/>
        <w:color w:val="5C6652"/>
        <w:sz w:val="16"/>
        <w:szCs w:val="16"/>
      </w:rPr>
      <w:t xml:space="preserve">Parchment + Moss + Ink + Marigold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6652" w:sz="6" w:space="4"/>
      </w:pBdr>
      <w:spacing w:after="80" w:before="0"/>
    </w:pPr>
    <w:r>
      <w:rPr>
        <w:rFonts w:ascii="Arial" w:cs="Arial" w:eastAsia="Arial" w:hAnsi="Arial"/>
        <w:b/>
        <w:bCs/>
        <w:color w:val="5C6652"/>
        <w:sz w:val="18"/>
        <w:szCs w:val="18"/>
      </w:rPr>
      <w:t xml:space="preserve">Poshini Agasthya</w:t>
    </w:r>
    <w:r>
      <w:rPr>
        <w:rFonts w:ascii="Arial" w:cs="Arial" w:eastAsia="Arial" w:hAnsi="Arial"/>
        <w:color w:val="D8D4CC"/>
        <w:sz w:val="18"/>
        <w:szCs w:val="18"/>
      </w:rPr>
      <w:t xml:space="preserve">   |   Brand Colour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2026-04-21T11:24:06.121Z</dcterms:created>
  <dcterms:modified xsi:type="dcterms:W3CDTF">2026-04-21T11:24:06.122Z</dcterms:modified>
</cp:coreProperties>
</file>

<file path=docProps/custom.xml><?xml version="1.0" encoding="utf-8"?>
<Properties xmlns="http://schemas.openxmlformats.org/officeDocument/2006/custom-properties" xmlns:vt="http://schemas.openxmlformats.org/officeDocument/2006/docPropsVTypes"/>
</file>