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after="160" w:before="0"/>
        <w:jc w:val="center"/>
      </w:pPr>
      <w:r>
        <w:rPr>
          <w:rFonts w:ascii="Times New Roman" w:hAnsi="Times New Roman" w:eastAsia="Times New Roman"/>
          <w:b w:val="0"/>
          <w:i w:val="0"/>
          <w:sz w:val="44"/>
        </w:rPr>
        <w:t>ReviewIQ: A Unified NLP, Deep Learning and Advanced Machine Learning Framework for Review Sentiment Classification, Aspect Intelligence and Grounded Question Answering</w:t>
      </w:r>
    </w:p>
    <w:tbl>
      <w:tblPr>
        <w:tblW w:type="auto" w:w="0"/>
        <w:tblLayout w:type="fixed"/>
        <w:tblLook w:firstColumn="1" w:firstRow="1" w:lastColumn="0" w:lastRow="0" w:noHBand="0" w:noVBand="1" w:val="04A0"/>
      </w:tblPr>
      <w:tblGrid>
        <w:gridCol w:w="5220"/>
        <w:gridCol w:w="5220"/>
      </w:tblGrid>
      <w:tr>
        <w:tc>
          <w:tcPr>
            <w:tcW w:type="dxa" w:w="5220"/>
          </w:tcPr>
          <w:p>
            <w:pPr>
              <w:jc w:val="center"/>
            </w:pPr>
            <w:r>
              <w:rPr>
                <w:rFonts w:ascii="Times New Roman" w:hAnsi="Times New Roman" w:eastAsia="Times New Roman"/>
                <w:b w:val="0"/>
                <w:i w:val="0"/>
                <w:sz w:val="22"/>
              </w:rPr>
              <w:t>Nidhi Bhawari, Aarti Sakpal, Gayatri Patil and Prachi Wakode</w:t>
            </w:r>
          </w:p>
          <w:p>
            <w:pPr>
              <w:jc w:val="center"/>
            </w:pPr>
            <w:r>
              <w:rPr>
                <w:rFonts w:ascii="Times New Roman" w:hAnsi="Times New Roman" w:eastAsia="Times New Roman"/>
                <w:b w:val="0"/>
                <w:i/>
                <w:sz w:val="20"/>
              </w:rPr>
              <w:t>Vidyalankar Institute of Technology</w:t>
            </w:r>
          </w:p>
          <w:p>
            <w:pPr>
              <w:jc w:val="center"/>
            </w:pPr>
            <w:r>
              <w:rPr>
                <w:rFonts w:ascii="Times New Roman" w:hAnsi="Times New Roman" w:eastAsia="Times New Roman"/>
                <w:b w:val="0"/>
                <w:i w:val="0"/>
                <w:sz w:val="20"/>
              </w:rPr>
              <w:t>Mumbai, India</w:t>
            </w:r>
          </w:p>
        </w:tc>
        <w:tc>
          <w:tcPr>
            <w:tcW w:type="dxa" w:w="5220"/>
          </w:tcPr>
          <w:p>
            <w:pPr>
              <w:jc w:val="center"/>
            </w:pPr>
            <w:r>
              <w:rPr>
                <w:rFonts w:ascii="Times New Roman" w:hAnsi="Times New Roman" w:eastAsia="Times New Roman"/>
                <w:b w:val="0"/>
                <w:i w:val="0"/>
                <w:sz w:val="22"/>
              </w:rPr>
              <w:t>Prof. Sneha Annappanavar</w:t>
            </w:r>
          </w:p>
          <w:p>
            <w:pPr>
              <w:jc w:val="center"/>
            </w:pPr>
            <w:r>
              <w:rPr>
                <w:rFonts w:ascii="Times New Roman" w:hAnsi="Times New Roman" w:eastAsia="Times New Roman"/>
                <w:b w:val="0"/>
                <w:i/>
                <w:sz w:val="20"/>
              </w:rPr>
              <w:t>Project Guide</w:t>
            </w:r>
          </w:p>
          <w:p>
            <w:pPr>
              <w:jc w:val="center"/>
            </w:pPr>
            <w:r>
              <w:rPr>
                <w:rFonts w:ascii="Times New Roman" w:hAnsi="Times New Roman" w:eastAsia="Times New Roman"/>
                <w:b w:val="0"/>
                <w:i/>
                <w:sz w:val="20"/>
              </w:rPr>
              <w:t>Vidyalankar Institute of Technology</w:t>
            </w:r>
          </w:p>
          <w:p>
            <w:pPr>
              <w:jc w:val="center"/>
            </w:pPr>
            <w:r>
              <w:rPr>
                <w:rFonts w:ascii="Times New Roman" w:hAnsi="Times New Roman" w:eastAsia="Times New Roman"/>
                <w:b w:val="0"/>
                <w:i w:val="0"/>
                <w:sz w:val="20"/>
              </w:rPr>
              <w:t>Mumbai, India</w:t>
            </w:r>
          </w:p>
        </w:tc>
      </w:tr>
    </w:tbl>
    <w:p>
      <w:pPr>
        <w:keepNext w:val="0"/>
        <w:widowControl/>
        <w:spacing w:after="0" w:before="0"/>
        <w:jc w:val="both"/>
      </w:pPr>
      <w:r>
        <w:rPr>
          <w:rFonts w:ascii="Times New Roman" w:hAnsi="Times New Roman" w:eastAsia="Times New Roman"/>
          <w:b w:val="0"/>
          <w:i w:val="0"/>
          <w:sz w:val="8"/>
        </w:rPr>
      </w:r>
    </w:p>
    <w:p>
      <w:pPr>
        <w:spacing w:after="0" w:line="20" w:lineRule="exact"/>
        <w:sectPr>
          <w:pgSz w:w="12240" w:h="15840"/>
          <w:pgMar w:top="1080" w:right="900" w:bottom="1080" w:left="900" w:header="720" w:footer="720" w:gutter="0"/>
          <w:cols w:space="720"/>
          <w:docGrid w:linePitch="360"/>
        </w:sectPr>
      </w:pPr>
    </w:p>
    <w:p>
      <w:pPr>
        <w:keepNext w:val="0"/>
        <w:widowControl/>
        <w:spacing w:after="80" w:before="0"/>
        <w:ind w:firstLine="245"/>
        <w:jc w:val="both"/>
      </w:pPr>
      <w:r>
        <w:rPr>
          <w:rFonts w:ascii="Times New Roman" w:hAnsi="Times New Roman" w:eastAsia="Times New Roman"/>
          <w:b/>
          <w:i/>
          <w:sz w:val="18"/>
        </w:rPr>
        <w:t xml:space="preserve">Abstract: </w:t>
      </w:r>
      <w:r>
        <w:rPr>
          <w:rFonts w:ascii="Times New Roman" w:hAnsi="Times New Roman" w:eastAsia="Times New Roman"/>
          <w:b/>
          <w:i w:val="0"/>
          <w:sz w:val="18"/>
        </w:rPr>
        <w:t>Online product reviews are abundant but unstructured, and most published systems address a single task in isolation. This paper presents ReviewIQ, an end-to-end framework that combines classical natural language processing (NLP), deep learning (DL) and advanced machine learning (AML) to turn raw Amazon Electronics reviews into decisions for two audiences: buyers and sellers. On a 50,000-review sample we (i) classify review sentiment into positive, neutral and negative with five models on a single shared test split, including a bidirectional LSTM with attention trained from scratch and a fine-tuned DistilBERT; (ii) derive aspect-level sentiment, topics and clusters; (iii) predict review helpfulness with tuned XGBoost; (iv) flag potentially suspicious reviews with an unsupervised Isolation Forest; and (v) answer product-scoped questions through semantic retrieval with a similarity-floor guardrail. The BiLSTM reaches 88.8% accuracy and the highest macro-F1 (0.718), significantly above a TF-IDF SVM (+0.025, 95% bootstrap CI [0.010, 0.039]), while DistilBERT achieves the highest accuracy (89.9%) despite seeing only 6,000 training reviews; the macro-F1 difference between the two neural models is not statistically significant. Battery is the most criticised aspect (20.2% negative mentions). The guardrail rejects 95.6% of plausible-but-unanswerable and 100% of off-topic questions while accepting 97.8% of answerable ones. A three-seed ablation shows that class weighting, not attention, drives most of the LSTM’s macro-F1 gain, and that an unweighted LSTM matches DistilBERT’s accuracy. Label noise, sampling bias and other limitations are discussed explicitly.</w:t>
      </w:r>
    </w:p>
    <w:p>
      <w:pPr>
        <w:keepNext w:val="0"/>
        <w:widowControl/>
        <w:spacing w:after="160" w:before="0"/>
        <w:ind w:firstLine="245"/>
        <w:jc w:val="both"/>
      </w:pPr>
      <w:r>
        <w:rPr>
          <w:rFonts w:ascii="Times New Roman" w:hAnsi="Times New Roman" w:eastAsia="Times New Roman"/>
          <w:b/>
          <w:i/>
          <w:sz w:val="18"/>
        </w:rPr>
        <w:t xml:space="preserve">Index Terms: </w:t>
      </w:r>
      <w:r>
        <w:rPr>
          <w:rFonts w:ascii="Times New Roman" w:hAnsi="Times New Roman" w:eastAsia="Times New Roman"/>
          <w:b/>
          <w:i w:val="0"/>
          <w:sz w:val="18"/>
        </w:rPr>
        <w:t>sentiment analysis, LSTM, attention, DistilBERT, aspect-based sentiment analysis, XGBoost, Isolation Forest, retrieval-augmented generation, product reviews</w:t>
      </w:r>
    </w:p>
    <w:p>
      <w:pPr>
        <w:keepNext/>
        <w:widowControl/>
        <w:spacing w:after="80" w:before="160"/>
        <w:jc w:val="center"/>
      </w:pPr>
      <w:r>
        <w:rPr>
          <w:rFonts w:ascii="Times New Roman" w:hAnsi="Times New Roman" w:eastAsia="Times New Roman"/>
          <w:b w:val="0"/>
          <w:i w:val="0"/>
          <w:sz w:val="20"/>
        </w:rPr>
        <w:t>I. INTRODUCTION</w:t>
      </w:r>
    </w:p>
    <w:p>
      <w:pPr>
        <w:keepNext w:val="0"/>
        <w:widowControl/>
        <w:spacing w:after="0" w:before="0"/>
        <w:ind w:firstLine="245"/>
        <w:jc w:val="both"/>
      </w:pPr>
      <w:r>
        <w:rPr>
          <w:rFonts w:ascii="Times New Roman" w:hAnsi="Times New Roman" w:eastAsia="Times New Roman"/>
          <w:b w:val="0"/>
          <w:i w:val="0"/>
          <w:sz w:val="20"/>
        </w:rPr>
        <w:t>Customer reviews influence purchasing decisions and guide product development, yet a single popular product can attract thousands of free-text opinions that no person can read in full. Automated analysis is therefore central to modern e-commerce. The literature, however, tends to treat the associated problems separately: sentiment classification [1], [2], aspect extraction [3], helpfulness prediction [4] and opinion-spam detection [5] are usually studied with different datasets and evaluation protocols, which makes it hard to judge how much each paradigm (lexicon and feature-based NLP, neural sequence models, or ensemble and unsupervised learning) contributes to a practical system.</w:t>
      </w:r>
    </w:p>
    <w:p>
      <w:pPr>
        <w:keepNext w:val="0"/>
        <w:widowControl/>
        <w:spacing w:after="0" w:before="0"/>
        <w:ind w:firstLine="245"/>
        <w:jc w:val="both"/>
      </w:pPr>
      <w:r>
        <w:rPr>
          <w:rFonts w:ascii="Times New Roman" w:hAnsi="Times New Roman" w:eastAsia="Times New Roman"/>
          <w:b w:val="0"/>
          <w:i w:val="0"/>
          <w:sz w:val="20"/>
        </w:rPr>
        <w:t>This paper builds and evaluates one system that deliberately spans all three paradigms on the same data. Our goals are practical and empirical: to compare the paradigms fairly where they overlap (sentiment classification), to show where each is the right tool where they do not (aspects, helpfulness, anomaly detection), and to expose the results through a grounded question-answering interface whose answers can be checked against retrieved evidence.</w:t>
      </w:r>
    </w:p>
    <w:p>
      <w:pPr>
        <w:keepNext w:val="0"/>
        <w:widowControl/>
        <w:spacing w:after="0" w:before="0"/>
        <w:ind w:firstLine="245"/>
        <w:jc w:val="both"/>
      </w:pPr>
      <w:r>
        <w:rPr>
          <w:rFonts w:ascii="Times New Roman" w:hAnsi="Times New Roman" w:eastAsia="Times New Roman"/>
          <w:b w:val="0"/>
          <w:i w:val="0"/>
          <w:sz w:val="20"/>
        </w:rPr>
        <w:t>The contributions of this work are as follows.</w:t>
      </w:r>
    </w:p>
    <w:p>
      <w:pPr>
        <w:keepNext w:val="0"/>
        <w:widowControl/>
        <w:tabs>
          <w:tab w:pos="288" w:val="left"/>
        </w:tabs>
        <w:spacing w:after="40" w:before="0"/>
        <w:ind w:left="288" w:hanging="245"/>
        <w:jc w:val="both"/>
      </w:pPr>
      <w:r>
        <w:rPr>
          <w:rFonts w:ascii="Times New Roman" w:hAnsi="Times New Roman" w:eastAsia="Times New Roman"/>
          <w:b w:val="0"/>
          <w:i w:val="0"/>
          <w:sz w:val="20"/>
        </w:rPr>
        <w:t>•</w:t>
        <w:tab/>
      </w:r>
      <w:r>
        <w:rPr>
          <w:rFonts w:ascii="Times New Roman" w:hAnsi="Times New Roman" w:eastAsia="Times New Roman"/>
          <w:b/>
          <w:i w:val="0"/>
          <w:sz w:val="20"/>
        </w:rPr>
        <w:t>A three-pillar framework</w:t>
      </w:r>
      <w:r>
        <w:rPr>
          <w:rFonts w:ascii="Times New Roman" w:hAnsi="Times New Roman" w:eastAsia="Times New Roman"/>
          <w:b w:val="0"/>
          <w:i w:val="0"/>
          <w:sz w:val="20"/>
        </w:rPr>
        <w:t xml:space="preserve"> that integrates NLP, DL and AML components over a shared, metadata-enriched review corpus, with all components evaluated on common splits.</w:t>
      </w:r>
    </w:p>
    <w:p>
      <w:pPr>
        <w:keepNext w:val="0"/>
        <w:widowControl/>
        <w:tabs>
          <w:tab w:pos="288" w:val="left"/>
        </w:tabs>
        <w:spacing w:after="40" w:before="0"/>
        <w:ind w:left="288" w:hanging="245"/>
        <w:jc w:val="both"/>
      </w:pPr>
      <w:r>
        <w:rPr>
          <w:rFonts w:ascii="Times New Roman" w:hAnsi="Times New Roman" w:eastAsia="Times New Roman"/>
          <w:b w:val="0"/>
          <w:i w:val="0"/>
          <w:sz w:val="20"/>
        </w:rPr>
        <w:t>•</w:t>
        <w:tab/>
      </w:r>
      <w:r>
        <w:rPr>
          <w:rFonts w:ascii="Times New Roman" w:hAnsi="Times New Roman" w:eastAsia="Times New Roman"/>
          <w:b/>
          <w:i w:val="0"/>
          <w:sz w:val="20"/>
        </w:rPr>
        <w:t>A like-for-like sentiment comparison</w:t>
      </w:r>
      <w:r>
        <w:rPr>
          <w:rFonts w:ascii="Times New Roman" w:hAnsi="Times New Roman" w:eastAsia="Times New Roman"/>
          <w:b w:val="0"/>
          <w:i w:val="0"/>
          <w:sz w:val="20"/>
        </w:rPr>
        <w:t xml:space="preserve"> of VADER, TF-IDF with logistic regression and a linear SVM, a BiLSTM with attention, and fine-tuned DistilBERT, with bootstrap confidence intervals and paired significance tests rather than point estimates, plus a three-seed ablation separating architecture from loss weighting.</w:t>
      </w:r>
    </w:p>
    <w:p>
      <w:pPr>
        <w:keepNext w:val="0"/>
        <w:widowControl/>
        <w:tabs>
          <w:tab w:pos="288" w:val="left"/>
        </w:tabs>
        <w:spacing w:after="40" w:before="0"/>
        <w:ind w:left="288" w:hanging="245"/>
        <w:jc w:val="both"/>
      </w:pPr>
      <w:r>
        <w:rPr>
          <w:rFonts w:ascii="Times New Roman" w:hAnsi="Times New Roman" w:eastAsia="Times New Roman"/>
          <w:b w:val="0"/>
          <w:i w:val="0"/>
          <w:sz w:val="20"/>
        </w:rPr>
        <w:t>•</w:t>
        <w:tab/>
      </w:r>
      <w:r>
        <w:rPr>
          <w:rFonts w:ascii="Times New Roman" w:hAnsi="Times New Roman" w:eastAsia="Times New Roman"/>
          <w:b/>
          <w:i w:val="0"/>
          <w:sz w:val="20"/>
        </w:rPr>
        <w:t>Product-level intelligence</w:t>
      </w:r>
      <w:r>
        <w:rPr>
          <w:rFonts w:ascii="Times New Roman" w:hAnsi="Times New Roman" w:eastAsia="Times New Roman"/>
          <w:b w:val="0"/>
          <w:i w:val="0"/>
          <w:sz w:val="20"/>
        </w:rPr>
        <w:t>: aspect-level complaint ranking, helpfulness prediction and an unsupervised suspicious-review score whose feature design we correct after an inspection-driven failure analysis.</w:t>
      </w:r>
    </w:p>
    <w:p>
      <w:pPr>
        <w:keepNext w:val="0"/>
        <w:widowControl/>
        <w:tabs>
          <w:tab w:pos="288" w:val="left"/>
        </w:tabs>
        <w:spacing w:after="40" w:before="0"/>
        <w:ind w:left="288" w:hanging="245"/>
        <w:jc w:val="both"/>
      </w:pPr>
      <w:r>
        <w:rPr>
          <w:rFonts w:ascii="Times New Roman" w:hAnsi="Times New Roman" w:eastAsia="Times New Roman"/>
          <w:b w:val="0"/>
          <w:i w:val="0"/>
          <w:sz w:val="20"/>
        </w:rPr>
        <w:t>•</w:t>
        <w:tab/>
      </w:r>
      <w:r>
        <w:rPr>
          <w:rFonts w:ascii="Times New Roman" w:hAnsi="Times New Roman" w:eastAsia="Times New Roman"/>
          <w:b/>
          <w:i w:val="0"/>
          <w:sz w:val="20"/>
        </w:rPr>
        <w:t>Grounded question answering</w:t>
      </w:r>
      <w:r>
        <w:rPr>
          <w:rFonts w:ascii="Times New Roman" w:hAnsi="Times New Roman" w:eastAsia="Times New Roman"/>
          <w:b w:val="0"/>
          <w:i w:val="0"/>
          <w:sz w:val="20"/>
        </w:rPr>
        <w:t xml:space="preserve"> with product-scoped retrieval and a similarity floor that measurably suppresses unsupported answers.</w:t>
      </w:r>
    </w:p>
    <w:p>
      <w:pPr>
        <w:keepNext w:val="0"/>
        <w:widowControl/>
        <w:tabs>
          <w:tab w:pos="288" w:val="left"/>
        </w:tabs>
        <w:spacing w:after="40" w:before="0"/>
        <w:ind w:left="288" w:hanging="245"/>
        <w:jc w:val="both"/>
      </w:pPr>
      <w:r>
        <w:rPr>
          <w:rFonts w:ascii="Times New Roman" w:hAnsi="Times New Roman" w:eastAsia="Times New Roman"/>
          <w:b w:val="0"/>
          <w:i w:val="0"/>
          <w:sz w:val="20"/>
        </w:rPr>
        <w:t>•</w:t>
        <w:tab/>
      </w:r>
      <w:r>
        <w:rPr>
          <w:rFonts w:ascii="Times New Roman" w:hAnsi="Times New Roman" w:eastAsia="Times New Roman"/>
          <w:b/>
          <w:i w:val="0"/>
          <w:sz w:val="20"/>
        </w:rPr>
        <w:t>An explicit account of limitations</w:t>
      </w:r>
      <w:r>
        <w:rPr>
          <w:rFonts w:ascii="Times New Roman" w:hAnsi="Times New Roman" w:eastAsia="Times New Roman"/>
          <w:b w:val="0"/>
          <w:i w:val="0"/>
          <w:sz w:val="20"/>
        </w:rPr>
        <w:t>, including weak labels, a non-random sample and the absence of ground truth for review suspiciousness.</w:t>
      </w:r>
    </w:p>
    <w:p>
      <w:pPr>
        <w:keepNext/>
        <w:widowControl/>
        <w:spacing w:after="80" w:before="160"/>
        <w:jc w:val="center"/>
      </w:pPr>
      <w:r>
        <w:rPr>
          <w:rFonts w:ascii="Times New Roman" w:hAnsi="Times New Roman" w:eastAsia="Times New Roman"/>
          <w:b w:val="0"/>
          <w:i w:val="0"/>
          <w:sz w:val="20"/>
        </w:rPr>
        <w:t>II. RELATED WORK</w:t>
      </w:r>
    </w:p>
    <w:p>
      <w:pPr>
        <w:keepNext/>
        <w:widowControl/>
        <w:spacing w:after="40" w:before="100"/>
        <w:jc w:val="left"/>
      </w:pPr>
      <w:r>
        <w:rPr>
          <w:rFonts w:ascii="Times New Roman" w:hAnsi="Times New Roman" w:eastAsia="Times New Roman"/>
          <w:b w:val="0"/>
          <w:i/>
          <w:sz w:val="20"/>
        </w:rPr>
        <w:t>A. Sentiment classification</w:t>
      </w:r>
    </w:p>
    <w:p>
      <w:pPr>
        <w:keepNext w:val="0"/>
        <w:widowControl/>
        <w:spacing w:after="0" w:before="0"/>
        <w:ind w:firstLine="245"/>
        <w:jc w:val="both"/>
      </w:pPr>
      <w:r>
        <w:rPr>
          <w:rFonts w:ascii="Times New Roman" w:hAnsi="Times New Roman" w:eastAsia="Times New Roman"/>
          <w:b w:val="0"/>
          <w:i w:val="0"/>
          <w:sz w:val="20"/>
        </w:rPr>
        <w:t>Early work framed review sentiment as supervised classification with bag-of-words features [1]; linear SVMs remain a strong baseline [7], and lexicon-and-rule systems such as VADER [8] need no training data. Recurrent networks, notably the LSTM [9], model word order and negation; attention [10] lets a classifier weight informative tokens (applied to aspect-level sentiment by Wang et al. [11]); and pre-trained transformers [12], [13] now dominate benchmarks. We include representatives of all these families.</w:t>
      </w:r>
    </w:p>
    <w:p>
      <w:pPr>
        <w:keepNext/>
        <w:widowControl/>
        <w:spacing w:after="40" w:before="100"/>
        <w:jc w:val="left"/>
      </w:pPr>
      <w:r>
        <w:rPr>
          <w:rFonts w:ascii="Times New Roman" w:hAnsi="Times New Roman" w:eastAsia="Times New Roman"/>
          <w:b w:val="0"/>
          <w:i/>
          <w:sz w:val="20"/>
        </w:rPr>
        <w:t>B. Aspects, topics and review quality</w:t>
      </w:r>
    </w:p>
    <w:p>
      <w:pPr>
        <w:keepNext w:val="0"/>
        <w:widowControl/>
        <w:spacing w:after="0" w:before="0"/>
        <w:ind w:firstLine="245"/>
        <w:jc w:val="both"/>
      </w:pPr>
      <w:r>
        <w:rPr>
          <w:rFonts w:ascii="Times New Roman" w:hAnsi="Times New Roman" w:eastAsia="Times New Roman"/>
          <w:b w:val="0"/>
          <w:i w:val="0"/>
          <w:sz w:val="20"/>
        </w:rPr>
        <w:t>Feature-level opinion mining [3] extracts aspects and the sentiment towards them, and topic models such as LDA [14] discover themes without labels. Helpfulness has been predicted from structural, lexical and metadata features [4], a natural fit for gradient-boosted trees [15]. Opinion spam is hard to study because labelled ground truth is scarce [5], [6]; unsupervised outlier detection such as Isolation Forest [16] is a pragmatic option.</w:t>
      </w:r>
    </w:p>
    <w:p>
      <w:pPr>
        <w:keepNext/>
        <w:widowControl/>
        <w:spacing w:after="40" w:before="100"/>
        <w:jc w:val="left"/>
      </w:pPr>
      <w:r>
        <w:rPr>
          <w:rFonts w:ascii="Times New Roman" w:hAnsi="Times New Roman" w:eastAsia="Times New Roman"/>
          <w:b w:val="0"/>
          <w:i/>
          <w:sz w:val="20"/>
        </w:rPr>
        <w:t>C. Retrieval and grounded generation</w:t>
      </w:r>
    </w:p>
    <w:p>
      <w:pPr>
        <w:keepNext w:val="0"/>
        <w:widowControl/>
        <w:spacing w:after="0" w:before="0"/>
        <w:ind w:firstLine="245"/>
        <w:jc w:val="both"/>
      </w:pPr>
      <w:r>
        <w:rPr>
          <w:rFonts w:ascii="Times New Roman" w:hAnsi="Times New Roman" w:eastAsia="Times New Roman"/>
          <w:b w:val="0"/>
          <w:i w:val="0"/>
          <w:sz w:val="20"/>
        </w:rPr>
        <w:t>Sentence encoders [17], [18] retrieve by meaning rather than keyword overlap, and retrieval-augmented generation [19] conditions a generator on retrieved passages so answers can be traced to evidence; instruction-tuned encoder-decoder models [20], [21] are small enough to run locally. Generators may still answer confidently when retrieval is weak, which we address with an explicit similarity floor and measure.</w:t>
      </w:r>
    </w:p>
    <w:p>
      <w:pPr>
        <w:keepNext/>
        <w:widowControl/>
        <w:spacing w:after="80" w:before="160"/>
        <w:jc w:val="center"/>
      </w:pPr>
      <w:r>
        <w:rPr>
          <w:rFonts w:ascii="Times New Roman" w:hAnsi="Times New Roman" w:eastAsia="Times New Roman"/>
          <w:b w:val="0"/>
          <w:i w:val="0"/>
          <w:sz w:val="20"/>
        </w:rPr>
        <w:t>III. DATASET AND PREPROCESSING</w:t>
      </w:r>
    </w:p>
    <w:p>
      <w:pPr>
        <w:keepNext/>
        <w:widowControl/>
        <w:spacing w:after="40" w:before="100"/>
        <w:jc w:val="left"/>
      </w:pPr>
      <w:r>
        <w:rPr>
          <w:rFonts w:ascii="Times New Roman" w:hAnsi="Times New Roman" w:eastAsia="Times New Roman"/>
          <w:b w:val="0"/>
          <w:i/>
          <w:sz w:val="20"/>
        </w:rPr>
        <w:t>A. Corpus</w:t>
      </w:r>
    </w:p>
    <w:p>
      <w:pPr>
        <w:keepNext w:val="0"/>
        <w:widowControl/>
        <w:spacing w:after="0" w:before="0"/>
        <w:ind w:firstLine="245"/>
        <w:jc w:val="both"/>
      </w:pPr>
      <w:r>
        <w:rPr>
          <w:rFonts w:ascii="Times New Roman" w:hAnsi="Times New Roman" w:eastAsia="Times New Roman"/>
          <w:b w:val="0"/>
          <w:i w:val="0"/>
          <w:sz w:val="20"/>
        </w:rPr>
        <w:t>We use the Electronics category of the Amazon Reviews 2023 collection [22]. A working sample of 50,000 reviews was prepared as follows: the raw review file was read and records with a missing rating or fewer than three words after cleaning were discarded; HTML entities, tags and URLs were stripped; duplicate (reviewer, product, text) triples were removed; and the title and body were concatenated. The sample was stratified by sentiment class. Table I summarises its properties.</w:t>
      </w:r>
    </w:p>
    <w:p>
      <w:pPr>
        <w:keepNext/>
        <w:widowControl/>
        <w:spacing w:after="0" w:before="120"/>
        <w:jc w:val="center"/>
      </w:pPr>
      <w:r>
        <w:rPr>
          <w:rFonts w:ascii="Times New Roman" w:hAnsi="Times New Roman" w:eastAsia="Times New Roman"/>
          <w:b w:val="0"/>
          <w:i w:val="0"/>
          <w:smallCaps/>
          <w:sz w:val="16"/>
        </w:rPr>
        <w:t>TABLE I</w:t>
      </w:r>
    </w:p>
    <w:p>
      <w:pPr>
        <w:keepNext/>
        <w:widowControl/>
        <w:spacing w:after="60" w:before="0"/>
        <w:jc w:val="center"/>
      </w:pPr>
      <w:r>
        <w:rPr>
          <w:rFonts w:ascii="Times New Roman" w:hAnsi="Times New Roman" w:eastAsia="Times New Roman"/>
          <w:b w:val="0"/>
          <w:i w:val="0"/>
          <w:smallCaps/>
          <w:sz w:val="16"/>
        </w:rPr>
        <w:t>Corpus statistics of the 50,000-review working sample.</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5220"/>
        <w:gridCol w:w="5220"/>
      </w:tblGrid>
      <w:tr>
        <w:tc>
          <w:tcPr>
            <w:tcW w:type="dxa" w:w="2880"/>
            <w:tcBorders>
              <w:top w:val="single" w:sz="12" w:color="000000"/>
              <w:bottom w:val="single" w:sz="6" w:color="000000"/>
            </w:tcBorders>
          </w:tcPr>
          <w:p>
            <w:pPr>
              <w:jc w:val="left"/>
            </w:pPr>
            <w:r>
              <w:rPr>
                <w:rFonts w:ascii="Times New Roman" w:hAnsi="Times New Roman" w:eastAsia="Times New Roman"/>
                <w:b w:val="0"/>
                <w:i w:val="0"/>
                <w:sz w:val="16"/>
              </w:rPr>
              <w:t>Property</w:t>
            </w:r>
          </w:p>
        </w:tc>
        <w:tc>
          <w:tcPr>
            <w:tcW w:type="dxa" w:w="2160"/>
            <w:tcBorders>
              <w:top w:val="single" w:sz="12" w:color="000000"/>
              <w:bottom w:val="single" w:sz="6" w:color="000000"/>
            </w:tcBorders>
          </w:tcPr>
          <w:p>
            <w:pPr>
              <w:jc w:val="left"/>
            </w:pPr>
            <w:r>
              <w:rPr>
                <w:rFonts w:ascii="Times New Roman" w:hAnsi="Times New Roman" w:eastAsia="Times New Roman"/>
                <w:b w:val="0"/>
                <w:i w:val="0"/>
                <w:sz w:val="16"/>
              </w:rPr>
              <w:t>Value</w:t>
            </w:r>
          </w:p>
        </w:tc>
      </w:tr>
      <w:tr>
        <w:tc>
          <w:tcPr>
            <w:tcW w:type="dxa" w:w="2880"/>
          </w:tcPr>
          <w:p>
            <w:pPr>
              <w:jc w:val="left"/>
            </w:pPr>
            <w:r>
              <w:rPr>
                <w:rFonts w:ascii="Times New Roman" w:hAnsi="Times New Roman" w:eastAsia="Times New Roman"/>
                <w:b w:val="0"/>
                <w:i w:val="0"/>
                <w:sz w:val="16"/>
              </w:rPr>
              <w:t>Reviews / products / reviewers</w:t>
            </w:r>
          </w:p>
        </w:tc>
        <w:tc>
          <w:tcPr>
            <w:tcW w:type="dxa" w:w="2160"/>
          </w:tcPr>
          <w:p>
            <w:pPr>
              <w:jc w:val="left"/>
            </w:pPr>
            <w:r>
              <w:rPr>
                <w:rFonts w:ascii="Times New Roman" w:hAnsi="Times New Roman" w:eastAsia="Times New Roman"/>
                <w:b w:val="0"/>
                <w:i w:val="0"/>
                <w:sz w:val="16"/>
              </w:rPr>
              <w:t>50,000 / 34,365 / 8,883</w:t>
            </w:r>
          </w:p>
        </w:tc>
      </w:tr>
      <w:tr>
        <w:tc>
          <w:tcPr>
            <w:tcW w:type="dxa" w:w="2880"/>
          </w:tcPr>
          <w:p>
            <w:pPr>
              <w:jc w:val="left"/>
            </w:pPr>
            <w:r>
              <w:rPr>
                <w:rFonts w:ascii="Times New Roman" w:hAnsi="Times New Roman" w:eastAsia="Times New Roman"/>
                <w:b w:val="0"/>
                <w:i w:val="0"/>
                <w:sz w:val="16"/>
              </w:rPr>
              <w:t>Review dates</w:t>
            </w:r>
          </w:p>
        </w:tc>
        <w:tc>
          <w:tcPr>
            <w:tcW w:type="dxa" w:w="2160"/>
          </w:tcPr>
          <w:p>
            <w:pPr>
              <w:jc w:val="left"/>
            </w:pPr>
            <w:r>
              <w:rPr>
                <w:rFonts w:ascii="Times New Roman" w:hAnsi="Times New Roman" w:eastAsia="Times New Roman"/>
                <w:b w:val="0"/>
                <w:i w:val="0"/>
                <w:sz w:val="16"/>
              </w:rPr>
              <w:t>2000 to March 2023</w:t>
            </w:r>
          </w:p>
        </w:tc>
      </w:tr>
      <w:tr>
        <w:tc>
          <w:tcPr>
            <w:tcW w:type="dxa" w:w="2880"/>
          </w:tcPr>
          <w:p>
            <w:pPr>
              <w:jc w:val="left"/>
            </w:pPr>
            <w:r>
              <w:rPr>
                <w:rFonts w:ascii="Times New Roman" w:hAnsi="Times New Roman" w:eastAsia="Times New Roman"/>
                <w:b w:val="0"/>
                <w:i w:val="0"/>
                <w:sz w:val="16"/>
              </w:rPr>
              <w:t>Mean / median length (words)</w:t>
            </w:r>
          </w:p>
        </w:tc>
        <w:tc>
          <w:tcPr>
            <w:tcW w:type="dxa" w:w="2160"/>
          </w:tcPr>
          <w:p>
            <w:pPr>
              <w:jc w:val="left"/>
            </w:pPr>
            <w:r>
              <w:rPr>
                <w:rFonts w:ascii="Times New Roman" w:hAnsi="Times New Roman" w:eastAsia="Times New Roman"/>
                <w:b w:val="0"/>
                <w:i w:val="0"/>
                <w:sz w:val="16"/>
              </w:rPr>
              <w:t>71.7 / 39</w:t>
            </w:r>
          </w:p>
        </w:tc>
      </w:tr>
      <w:tr>
        <w:tc>
          <w:tcPr>
            <w:tcW w:type="dxa" w:w="2880"/>
          </w:tcPr>
          <w:p>
            <w:pPr>
              <w:jc w:val="left"/>
            </w:pPr>
            <w:r>
              <w:rPr>
                <w:rFonts w:ascii="Times New Roman" w:hAnsi="Times New Roman" w:eastAsia="Times New Roman"/>
                <w:b w:val="0"/>
                <w:i w:val="0"/>
                <w:sz w:val="16"/>
              </w:rPr>
              <w:t>Mean star rating</w:t>
            </w:r>
          </w:p>
        </w:tc>
        <w:tc>
          <w:tcPr>
            <w:tcW w:type="dxa" w:w="2160"/>
          </w:tcPr>
          <w:p>
            <w:pPr>
              <w:jc w:val="left"/>
            </w:pPr>
            <w:r>
              <w:rPr>
                <w:rFonts w:ascii="Times New Roman" w:hAnsi="Times New Roman" w:eastAsia="Times New Roman"/>
                <w:b w:val="0"/>
                <w:i w:val="0"/>
                <w:sz w:val="16"/>
              </w:rPr>
              <w:t>4.25</w:t>
            </w:r>
          </w:p>
        </w:tc>
      </w:tr>
      <w:tr>
        <w:tc>
          <w:tcPr>
            <w:tcW w:type="dxa" w:w="2880"/>
          </w:tcPr>
          <w:p>
            <w:pPr>
              <w:jc w:val="left"/>
            </w:pPr>
            <w:r>
              <w:rPr>
                <w:rFonts w:ascii="Times New Roman" w:hAnsi="Times New Roman" w:eastAsia="Times New Roman"/>
                <w:b w:val="0"/>
                <w:i w:val="0"/>
                <w:sz w:val="16"/>
              </w:rPr>
              <w:t>Verified purchases</w:t>
            </w:r>
          </w:p>
        </w:tc>
        <w:tc>
          <w:tcPr>
            <w:tcW w:type="dxa" w:w="2160"/>
          </w:tcPr>
          <w:p>
            <w:pPr>
              <w:jc w:val="left"/>
            </w:pPr>
            <w:r>
              <w:rPr>
                <w:rFonts w:ascii="Times New Roman" w:hAnsi="Times New Roman" w:eastAsia="Times New Roman"/>
                <w:b w:val="0"/>
                <w:i w:val="0"/>
                <w:sz w:val="16"/>
              </w:rPr>
              <w:t>80.2%</w:t>
            </w:r>
          </w:p>
        </w:tc>
      </w:tr>
      <w:tr>
        <w:tc>
          <w:tcPr>
            <w:tcW w:type="dxa" w:w="2880"/>
          </w:tcPr>
          <w:p>
            <w:pPr>
              <w:jc w:val="left"/>
            </w:pPr>
            <w:r>
              <w:rPr>
                <w:rFonts w:ascii="Times New Roman" w:hAnsi="Times New Roman" w:eastAsia="Times New Roman"/>
                <w:b w:val="0"/>
                <w:i w:val="0"/>
                <w:sz w:val="16"/>
              </w:rPr>
              <w:t xml:space="preserve">Reviews with </w:t>
            </w:r>
            <w:r>
              <w:rPr>
                <w:rFonts w:ascii="Times New Roman" w:hAnsi="Times New Roman" w:eastAsia="Times New Roman"/>
                <w:b w:val="0"/>
                <w:i w:val="0"/>
                <w:sz w:val="16"/>
              </w:rPr>
              <w:t>≥</w:t>
            </w:r>
            <w:r>
              <w:rPr>
                <w:rFonts w:ascii="Times New Roman" w:hAnsi="Times New Roman" w:eastAsia="Times New Roman"/>
                <w:b w:val="0"/>
                <w:i w:val="0"/>
                <w:sz w:val="16"/>
              </w:rPr>
              <w:t>1 helpful vote</w:t>
            </w:r>
          </w:p>
        </w:tc>
        <w:tc>
          <w:tcPr>
            <w:tcW w:type="dxa" w:w="2160"/>
          </w:tcPr>
          <w:p>
            <w:pPr>
              <w:jc w:val="left"/>
            </w:pPr>
            <w:r>
              <w:rPr>
                <w:rFonts w:ascii="Times New Roman" w:hAnsi="Times New Roman" w:eastAsia="Times New Roman"/>
                <w:b w:val="0"/>
                <w:i w:val="0"/>
                <w:sz w:val="16"/>
              </w:rPr>
              <w:t>26.2%</w:t>
            </w:r>
          </w:p>
        </w:tc>
      </w:tr>
      <w:tr>
        <w:tc>
          <w:tcPr>
            <w:tcW w:type="dxa" w:w="2880"/>
          </w:tcPr>
          <w:p>
            <w:pPr>
              <w:jc w:val="left"/>
            </w:pPr>
            <w:r>
              <w:rPr>
                <w:rFonts w:ascii="Times New Roman" w:hAnsi="Times New Roman" w:eastAsia="Times New Roman"/>
                <w:b w:val="0"/>
                <w:i w:val="0"/>
                <w:sz w:val="16"/>
              </w:rPr>
              <w:t>Positive / neutral / negative</w:t>
            </w:r>
          </w:p>
        </w:tc>
        <w:tc>
          <w:tcPr>
            <w:tcW w:type="dxa" w:w="2160"/>
          </w:tcPr>
          <w:p>
            <w:pPr>
              <w:jc w:val="left"/>
            </w:pPr>
            <w:r>
              <w:rPr>
                <w:rFonts w:ascii="Times New Roman" w:hAnsi="Times New Roman" w:eastAsia="Times New Roman"/>
                <w:b w:val="0"/>
                <w:i w:val="0"/>
                <w:sz w:val="16"/>
              </w:rPr>
              <w:t>40,205 / 3,506 / 6,289</w:t>
            </w:r>
          </w:p>
        </w:tc>
      </w:tr>
      <w:tr>
        <w:tc>
          <w:tcPr>
            <w:tcW w:type="dxa" w:w="2880"/>
          </w:tcPr>
          <w:p>
            <w:pPr>
              <w:jc w:val="left"/>
            </w:pPr>
            <w:r>
              <w:rPr>
                <w:rFonts w:ascii="Times New Roman" w:hAnsi="Times New Roman" w:eastAsia="Times New Roman"/>
                <w:b w:val="0"/>
                <w:i w:val="0"/>
                <w:sz w:val="16"/>
              </w:rPr>
              <w:t xml:space="preserve"> share of corpus</w:t>
            </w:r>
          </w:p>
        </w:tc>
        <w:tc>
          <w:tcPr>
            <w:tcW w:type="dxa" w:w="2160"/>
          </w:tcPr>
          <w:p>
            <w:pPr>
              <w:jc w:val="left"/>
            </w:pPr>
            <w:r>
              <w:rPr>
                <w:rFonts w:ascii="Times New Roman" w:hAnsi="Times New Roman" w:eastAsia="Times New Roman"/>
                <w:b w:val="0"/>
                <w:i w:val="0"/>
                <w:sz w:val="16"/>
              </w:rPr>
              <w:t>80.4% / 7.0% / 12.6%</w:t>
            </w:r>
          </w:p>
        </w:tc>
      </w:tr>
      <w:tr>
        <w:tc>
          <w:tcPr>
            <w:tcW w:type="dxa" w:w="2880"/>
            <w:tcBorders>
              <w:bottom w:val="single" w:sz="12" w:color="000000"/>
            </w:tcBorders>
          </w:tcPr>
          <w:p>
            <w:pPr>
              <w:jc w:val="left"/>
            </w:pPr>
            <w:r>
              <w:rPr>
                <w:rFonts w:ascii="Times New Roman" w:hAnsi="Times New Roman" w:eastAsia="Times New Roman"/>
                <w:b w:val="0"/>
                <w:i w:val="0"/>
                <w:sz w:val="16"/>
              </w:rPr>
              <w:t>Products matched to metadata</w:t>
            </w:r>
          </w:p>
        </w:tc>
        <w:tc>
          <w:tcPr>
            <w:tcW w:type="dxa" w:w="2160"/>
            <w:tcBorders>
              <w:bottom w:val="single" w:sz="12" w:color="000000"/>
            </w:tcBorders>
          </w:tcPr>
          <w:p>
            <w:pPr>
              <w:jc w:val="left"/>
            </w:pPr>
            <w:r>
              <w:rPr>
                <w:rFonts w:ascii="Times New Roman" w:hAnsi="Times New Roman" w:eastAsia="Times New Roman"/>
                <w:b w:val="0"/>
                <w:i w:val="0"/>
                <w:sz w:val="16"/>
              </w:rPr>
              <w:t>34,364 / 34,365</w:t>
            </w:r>
          </w:p>
        </w:tc>
      </w:tr>
    </w:tbl>
    <w:p>
      <w:pPr>
        <w:keepNext w:val="0"/>
        <w:widowControl/>
        <w:spacing w:after="0" w:before="0"/>
        <w:jc w:val="both"/>
      </w:pPr>
      <w:r>
        <w:rPr>
          <w:rFonts w:ascii="Times New Roman" w:hAnsi="Times New Roman" w:eastAsia="Times New Roman"/>
          <w:b w:val="0"/>
          <w:i w:val="0"/>
          <w:sz w:val="8"/>
        </w:rPr>
      </w:r>
    </w:p>
    <w:p>
      <w:pPr>
        <w:keepNext/>
        <w:widowControl/>
        <w:spacing w:after="40" w:before="100"/>
        <w:jc w:val="left"/>
      </w:pPr>
      <w:r>
        <w:rPr>
          <w:rFonts w:ascii="Times New Roman" w:hAnsi="Times New Roman" w:eastAsia="Times New Roman"/>
          <w:b w:val="0"/>
          <w:i/>
          <w:sz w:val="20"/>
        </w:rPr>
        <w:t>B. Labels</w:t>
      </w:r>
    </w:p>
    <w:p>
      <w:pPr>
        <w:keepNext w:val="0"/>
        <w:widowControl/>
        <w:spacing w:after="0" w:before="0"/>
        <w:ind w:firstLine="245"/>
        <w:jc w:val="both"/>
      </w:pPr>
      <w:r>
        <w:rPr>
          <w:rFonts w:ascii="Times New Roman" w:hAnsi="Times New Roman" w:eastAsia="Times New Roman"/>
          <w:b w:val="0"/>
          <w:i w:val="0"/>
          <w:sz w:val="20"/>
        </w:rPr>
        <w:t xml:space="preserve">Sentiment labels are </w:t>
      </w:r>
      <w:r>
        <w:rPr>
          <w:rFonts w:ascii="Times New Roman" w:hAnsi="Times New Roman" w:eastAsia="Times New Roman"/>
          <w:b w:val="0"/>
          <w:i/>
          <w:sz w:val="20"/>
        </w:rPr>
        <w:t>weakly supervised from star ratings</w:t>
      </w:r>
      <w:r>
        <w:rPr>
          <w:rFonts w:ascii="Times New Roman" w:hAnsi="Times New Roman" w:eastAsia="Times New Roman"/>
          <w:b w:val="0"/>
          <w:i w:val="0"/>
          <w:sz w:val="20"/>
        </w:rPr>
        <w:t>: ratings of 4 and 5 are positive, 3 is neutral, and 1 and 2 are negative. This is standard practice at scale but introduces label noise, since a three-star review can be warm and a five-star review can contain a complaint, and the resulting classes are strongly imbalanced, so macro-averaged F1 is our primary metric.</w:t>
      </w:r>
    </w:p>
    <w:p>
      <w:pPr>
        <w:keepNext/>
        <w:widowControl/>
        <w:spacing w:after="40" w:before="100"/>
        <w:jc w:val="left"/>
      </w:pPr>
      <w:r>
        <w:rPr>
          <w:rFonts w:ascii="Times New Roman" w:hAnsi="Times New Roman" w:eastAsia="Times New Roman"/>
          <w:b w:val="0"/>
          <w:i/>
          <w:sz w:val="20"/>
        </w:rPr>
        <w:t>C. Product metadata</w:t>
      </w:r>
    </w:p>
    <w:p>
      <w:pPr>
        <w:keepNext w:val="0"/>
        <w:widowControl/>
        <w:spacing w:after="0" w:before="0"/>
        <w:ind w:firstLine="245"/>
        <w:jc w:val="both"/>
      </w:pPr>
      <w:r>
        <w:rPr>
          <w:rFonts w:ascii="Times New Roman" w:hAnsi="Times New Roman" w:eastAsia="Times New Roman"/>
          <w:b w:val="0"/>
          <w:i w:val="0"/>
          <w:sz w:val="20"/>
        </w:rPr>
        <w:t>Reviews carry only a product identifier. We streamed the category’s metadata file and joined title, brand, image and category on the parent ASIN, which matched 34,364 of the 34,365 products. The join is kept separate from the review table so reviews are never duplicated per product attribute, and it lets all analysis be grouped by product listing rather than by colour or size variant.</w:t>
      </w:r>
    </w:p>
    <w:p>
      <w:pPr>
        <w:keepNext/>
        <w:widowControl/>
        <w:spacing w:after="80" w:before="160"/>
        <w:jc w:val="center"/>
      </w:pPr>
      <w:r>
        <w:rPr>
          <w:rFonts w:ascii="Times New Roman" w:hAnsi="Times New Roman" w:eastAsia="Times New Roman"/>
          <w:b w:val="0"/>
          <w:i w:val="0"/>
          <w:sz w:val="20"/>
        </w:rPr>
        <w:t>IV. METHODOLOGY</w:t>
      </w:r>
    </w:p>
    <w:p>
      <w:pPr>
        <w:keepNext/>
        <w:widowControl/>
        <w:spacing w:after="40" w:before="100"/>
        <w:jc w:val="left"/>
      </w:pPr>
      <w:r>
        <w:rPr>
          <w:rFonts w:ascii="Times New Roman" w:hAnsi="Times New Roman" w:eastAsia="Times New Roman"/>
          <w:b w:val="0"/>
          <w:i/>
          <w:sz w:val="20"/>
        </w:rPr>
        <w:t>A. Framework overview</w:t>
      </w:r>
    </w:p>
    <w:p>
      <w:pPr>
        <w:keepNext w:val="0"/>
        <w:widowControl/>
        <w:spacing w:after="0" w:before="0"/>
        <w:ind w:firstLine="245"/>
        <w:jc w:val="both"/>
      </w:pPr>
      <w:r>
        <w:rPr>
          <w:rFonts w:ascii="Times New Roman" w:hAnsi="Times New Roman" w:eastAsia="Times New Roman"/>
          <w:b w:val="0"/>
          <w:i w:val="0"/>
          <w:sz w:val="20"/>
        </w:rPr>
        <w:t>Fig. 1 shows the architecture. Cleaned and labelled reviews feed three parallel branches whose outputs are fused into product-level intelligence (aspect profiles, helpfulness and trust signals) and into a semantic search and retrieval-augmented question-answering layer, all exposed through an interactive dashboard.</w:t>
      </w:r>
    </w:p>
    <w:p>
      <w:pPr>
        <w:spacing w:after="0" w:line="20" w:lineRule="exact"/>
        <w:sectPr>
          <w:type w:val="continuous"/>
          <w:pgSz w:w="12240" w:h="15840"/>
          <w:pgMar w:top="1080" w:right="900" w:bottom="108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5701284" cy="2407433"/>
            <wp:docPr id="1" name="Picture 1"/>
            <wp:cNvGraphicFramePr>
              <a:graphicFrameLocks noChangeAspect="1"/>
            </wp:cNvGraphicFramePr>
            <a:graphic>
              <a:graphicData uri="http://schemas.openxmlformats.org/drawingml/2006/picture">
                <pic:pic>
                  <pic:nvPicPr>
                    <pic:cNvPr id="0" name="fig_framework.png"/>
                    <pic:cNvPicPr/>
                  </pic:nvPicPr>
                  <pic:blipFill>
                    <a:blip r:embed="rId9"/>
                    <a:stretch>
                      <a:fillRect/>
                    </a:stretch>
                  </pic:blipFill>
                  <pic:spPr>
                    <a:xfrm>
                      <a:off x="0" y="0"/>
                      <a:ext cx="5701284" cy="2407433"/>
                    </a:xfrm>
                    <a:prstGeom prst="rect"/>
                  </pic:spPr>
                </pic:pic>
              </a:graphicData>
            </a:graphic>
          </wp:inline>
        </w:drawing>
      </w:r>
    </w:p>
    <w:p>
      <w:pPr>
        <w:keepNext w:val="0"/>
        <w:widowControl/>
        <w:spacing w:after="120" w:before="0"/>
        <w:jc w:val="center"/>
      </w:pPr>
      <w:r>
        <w:rPr>
          <w:rFonts w:ascii="Times New Roman" w:hAnsi="Times New Roman" w:eastAsia="Times New Roman"/>
          <w:b w:val="0"/>
          <w:i w:val="0"/>
          <w:sz w:val="16"/>
        </w:rPr>
        <w:t xml:space="preserve">Fig. 1. </w:t>
      </w:r>
      <w:r>
        <w:rPr>
          <w:rFonts w:ascii="Times New Roman" w:hAnsi="Times New Roman" w:eastAsia="Times New Roman"/>
          <w:b w:val="0"/>
          <w:i w:val="0"/>
          <w:sz w:val="16"/>
        </w:rPr>
        <w:t>The ReviewIQ framework. Reviews and product metadata are cleaned and joined, then processed by NLP, deep learning and advanced ML branches that feed product intelligence and a retrieval-augmented question-answering layer.</w:t>
      </w:r>
    </w:p>
    <w:p>
      <w:pPr>
        <w:spacing w:after="0" w:line="20" w:lineRule="exact"/>
        <w:sectPr>
          <w:type w:val="continuous"/>
          <w:pgSz w:w="12240" w:h="15840"/>
          <w:pgMar w:top="1080" w:right="900" w:bottom="1080" w:left="900" w:header="720" w:footer="720" w:gutter="0"/>
          <w:cols w:space="360" w:num="1"/>
          <w:docGrid w:linePitch="360"/>
        </w:sectPr>
      </w:pPr>
    </w:p>
    <w:p>
      <w:pPr>
        <w:keepNext/>
        <w:widowControl/>
        <w:spacing w:after="40" w:before="100"/>
        <w:jc w:val="left"/>
      </w:pPr>
      <w:r>
        <w:rPr>
          <w:rFonts w:ascii="Times New Roman" w:hAnsi="Times New Roman" w:eastAsia="Times New Roman"/>
          <w:b w:val="0"/>
          <w:i/>
          <w:sz w:val="20"/>
        </w:rPr>
        <w:t>B. NLP branch</w:t>
      </w:r>
    </w:p>
    <w:p>
      <w:pPr>
        <w:keepNext w:val="0"/>
        <w:widowControl/>
        <w:spacing w:after="0" w:before="0"/>
        <w:ind w:firstLine="245"/>
        <w:jc w:val="both"/>
      </w:pPr>
      <w:r>
        <w:rPr>
          <w:rFonts w:ascii="Times New Roman" w:hAnsi="Times New Roman" w:eastAsia="Times New Roman"/>
          <w:b w:val="0"/>
          <w:i/>
          <w:sz w:val="20"/>
        </w:rPr>
        <w:t xml:space="preserve">Lexicon baseline. </w:t>
      </w:r>
      <w:r>
        <w:rPr>
          <w:rFonts w:ascii="Times New Roman" w:hAnsi="Times New Roman" w:eastAsia="Times New Roman"/>
          <w:b w:val="0"/>
          <w:i w:val="0"/>
          <w:sz w:val="20"/>
        </w:rPr>
        <w:t xml:space="preserve">VADER [8] produces a compound score </w:t>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val="0"/>
          <w:sz w:val="20"/>
        </w:rPr>
        <w:t xml:space="preserve">[−1,1]; we label </w:t>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val="0"/>
          <w:sz w:val="20"/>
        </w:rPr>
        <w:t xml:space="preserve">0.05 positive, </w:t>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val="0"/>
          <w:sz w:val="20"/>
        </w:rPr>
        <w:t>−0.05 negative and the rest neutral.</w:t>
      </w:r>
    </w:p>
    <w:p>
      <w:pPr>
        <w:keepNext w:val="0"/>
        <w:widowControl/>
        <w:spacing w:after="0" w:before="0"/>
        <w:ind w:firstLine="245"/>
        <w:jc w:val="both"/>
      </w:pPr>
      <w:r>
        <w:rPr>
          <w:rFonts w:ascii="Times New Roman" w:hAnsi="Times New Roman" w:eastAsia="Times New Roman"/>
          <w:b w:val="0"/>
          <w:i/>
          <w:sz w:val="20"/>
        </w:rPr>
        <w:t xml:space="preserve">Feature-based classifiers. </w:t>
      </w:r>
      <w:r>
        <w:rPr>
          <w:rFonts w:ascii="Times New Roman" w:hAnsi="Times New Roman" w:eastAsia="Times New Roman"/>
          <w:b w:val="0"/>
          <w:i w:val="0"/>
          <w:sz w:val="20"/>
        </w:rPr>
        <w:t xml:space="preserve">Reviews are vectorised with TF-IDF (unigrams and bigrams, 30,000 features, </w:t>
      </w:r>
      <w:r>
        <w:rPr>
          <w:rFonts w:ascii="Times New Roman" w:hAnsi="Times New Roman" w:eastAsia="Times New Roman"/>
          <w:b w:val="0"/>
          <w:i w:val="0"/>
          <w:sz w:val="20"/>
        </w:rPr>
        <w:t>min</w:t>
      </w:r>
      <w:r>
        <w:rPr>
          <w:rFonts w:ascii="Times New Roman" w:hAnsi="Times New Roman" w:eastAsia="Times New Roman"/>
          <w:b w:val="0"/>
          <w:i w:val="0"/>
          <w:sz w:val="20"/>
        </w:rPr>
        <w:t>_</w:t>
      </w:r>
      <w:r>
        <w:rPr>
          <w:rFonts w:ascii="Times New Roman" w:hAnsi="Times New Roman" w:eastAsia="Times New Roman"/>
          <w:b w:val="0"/>
          <w:i w:val="0"/>
          <w:sz w:val="20"/>
        </w:rPr>
        <w:t>df</w:t>
      </w:r>
      <w:r>
        <w:rPr>
          <w:rFonts w:ascii="Times New Roman" w:hAnsi="Times New Roman" w:eastAsia="Times New Roman"/>
          <w:b w:val="0"/>
          <w:i w:val="0"/>
          <w:sz w:val="20"/>
        </w:rPr>
        <w:t>=2, sublinear term frequency) and classified with multinomial logistic regression and a linear SVM, both with balanced class weights.</w:t>
      </w:r>
    </w:p>
    <w:p>
      <w:pPr>
        <w:keepNext w:val="0"/>
        <w:widowControl/>
        <w:spacing w:after="0" w:before="0"/>
        <w:ind w:firstLine="245"/>
        <w:jc w:val="both"/>
      </w:pPr>
      <w:r>
        <w:rPr>
          <w:rFonts w:ascii="Times New Roman" w:hAnsi="Times New Roman" w:eastAsia="Times New Roman"/>
          <w:b w:val="0"/>
          <w:i/>
          <w:sz w:val="20"/>
        </w:rPr>
        <w:t xml:space="preserve">Topics. </w:t>
      </w:r>
      <w:r>
        <w:rPr>
          <w:rFonts w:ascii="Times New Roman" w:hAnsi="Times New Roman" w:eastAsia="Times New Roman"/>
          <w:b w:val="0"/>
          <w:i w:val="0"/>
          <w:sz w:val="20"/>
        </w:rPr>
        <w:t xml:space="preserve">LDA [14] with </w:t>
      </w:r>
      <w:r>
        <w:rPr>
          <w:rFonts w:ascii="Times New Roman" w:hAnsi="Times New Roman" w:eastAsia="Times New Roman"/>
          <w:b w:val="0"/>
          <w:i/>
          <w:sz w:val="20"/>
        </w:rPr>
        <w:t>k</w:t>
      </w:r>
      <w:r>
        <w:rPr>
          <w:rFonts w:ascii="Times New Roman" w:hAnsi="Times New Roman" w:eastAsia="Times New Roman"/>
          <w:b w:val="0"/>
          <w:i w:val="0"/>
          <w:sz w:val="20"/>
        </w:rPr>
        <w:t>=8 topics is fit with online variational inference on a count matrix of 3,000 unigram and bigram features (stop words removed), using an 8,000-document subsample for fitting and applying the model to all reviews.</w:t>
      </w:r>
    </w:p>
    <w:p>
      <w:pPr>
        <w:keepNext w:val="0"/>
        <w:widowControl/>
        <w:spacing w:after="0" w:before="0"/>
        <w:ind w:firstLine="245"/>
        <w:jc w:val="both"/>
      </w:pPr>
      <w:r>
        <w:rPr>
          <w:rFonts w:ascii="Times New Roman" w:hAnsi="Times New Roman" w:eastAsia="Times New Roman"/>
          <w:b w:val="0"/>
          <w:i/>
          <w:sz w:val="20"/>
        </w:rPr>
        <w:t xml:space="preserve">Aspect-based sentiment. </w:t>
      </w:r>
      <w:r>
        <w:rPr>
          <w:rFonts w:ascii="Times New Roman" w:hAnsi="Times New Roman" w:eastAsia="Times New Roman"/>
          <w:b w:val="0"/>
          <w:i w:val="0"/>
          <w:sz w:val="20"/>
        </w:rPr>
        <w:t>Ten aspects (battery, camera, display, sound, performance, build quality, price/value, connectivity, size/comfort, customer service) are defined by keyword lexicons. Each review is split into sentences; sentences containing an aspect keyword are scored with VADER, and the aspect receives a positive, neutral or negative polarity. The matched sentences are retained as human-readable evidence for every aspect judgement.</w:t>
      </w:r>
    </w:p>
    <w:p>
      <w:pPr>
        <w:keepNext/>
        <w:widowControl/>
        <w:spacing w:after="40" w:before="100"/>
        <w:jc w:val="left"/>
      </w:pPr>
      <w:r>
        <w:rPr>
          <w:rFonts w:ascii="Times New Roman" w:hAnsi="Times New Roman" w:eastAsia="Times New Roman"/>
          <w:b w:val="0"/>
          <w:i/>
          <w:sz w:val="20"/>
        </w:rPr>
        <w:t>C. Deep learning branch</w:t>
      </w:r>
    </w:p>
    <w:p>
      <w:pPr>
        <w:keepNext w:val="0"/>
        <w:widowControl/>
        <w:spacing w:after="0" w:before="0"/>
        <w:ind w:firstLine="245"/>
        <w:jc w:val="both"/>
      </w:pPr>
      <w:r>
        <w:rPr>
          <w:rFonts w:ascii="Times New Roman" w:hAnsi="Times New Roman" w:eastAsia="Times New Roman"/>
          <w:b w:val="0"/>
          <w:i/>
          <w:sz w:val="20"/>
        </w:rPr>
        <w:t xml:space="preserve">BiLSTM with attention. </w:t>
      </w:r>
      <w:r>
        <w:rPr>
          <w:rFonts w:ascii="Times New Roman" w:hAnsi="Times New Roman" w:eastAsia="Times New Roman"/>
          <w:b w:val="0"/>
          <w:i w:val="0"/>
          <w:sz w:val="20"/>
        </w:rPr>
        <w:t xml:space="preserve">Tokens (lower-cased alphanumerics plus “!” and “?”) are mapped to a 14,937-word vocabulary built on the training split only (minimum frequency 3), and sequences are truncated to 200 tokens (Fig. 2). A learned 128-dimensional embedding feeds a two-layer bidirectional LSTM with 128 units per direction. With hidden states </w:t>
      </w:r>
      <w:r>
        <w:rPr>
          <w:rFonts w:ascii="Times New Roman" w:hAnsi="Times New Roman" w:eastAsia="Times New Roman"/>
          <w:b/>
          <w:i w:val="0"/>
          <w:sz w:val="20"/>
        </w:rPr>
        <w:t>h</w:t>
      </w:r>
      <w:r>
        <w:rPr>
          <w:rFonts w:ascii="Times New Roman" w:hAnsi="Times New Roman" w:eastAsia="Times New Roman"/>
          <w:b w:val="0"/>
          <w:i/>
          <w:sz w:val="20"/>
          <w:vertAlign w:val="subscript"/>
        </w:rPr>
        <w:t>t</w:t>
      </w:r>
      <w:r>
        <w:rPr>
          <w:rFonts w:ascii="Times New Roman" w:hAnsi="Times New Roman" w:eastAsia="Times New Roman"/>
          <w:b w:val="0"/>
          <w:i w:val="0"/>
          <w:sz w:val="20"/>
        </w:rPr>
        <w:t>, attention pooling computes</w:t>
      </w:r>
    </w:p>
    <w:p>
      <w:pPr>
        <w:tabs>
          <w:tab w:pos="2520" w:val="center"/>
          <w:tab w:pos="5040" w:val="right"/>
        </w:tabs>
        <w:spacing w:before="60" w:after="60"/>
        <w:jc w:val="left"/>
      </w:pPr>
      <w:r>
        <w:tab/>
      </w:r>
      <w:r>
        <w:rPr>
          <w:rFonts w:ascii="Times New Roman" w:hAnsi="Times New Roman" w:eastAsia="Times New Roman"/>
          <w:b w:val="0"/>
          <w:i w:val="0"/>
          <w:sz w:val="19"/>
        </w:rPr>
        <w:t>α</w:t>
      </w:r>
      <w:r>
        <w:rPr>
          <w:rFonts w:ascii="Times New Roman" w:hAnsi="Times New Roman" w:eastAsia="Times New Roman"/>
          <w:b w:val="0"/>
          <w:i/>
          <w:sz w:val="19"/>
          <w:vertAlign w:val="subscript"/>
        </w:rPr>
        <w:t>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exp</w:t>
      </w:r>
      <w:r>
        <w:rPr>
          <w:rFonts w:ascii="Times New Roman" w:hAnsi="Times New Roman" w:eastAsia="Times New Roman"/>
          <w:b w:val="0"/>
          <w:i w:val="0"/>
          <w:sz w:val="19"/>
        </w:rPr>
        <w:t>(</w:t>
      </w:r>
      <w:r>
        <w:rPr>
          <w:rFonts w:ascii="Times New Roman" w:hAnsi="Times New Roman" w:eastAsia="Times New Roman"/>
          <w:b/>
          <w:i w:val="0"/>
          <w:sz w:val="19"/>
        </w:rPr>
        <w:t>w</w:t>
      </w:r>
      <w:r>
        <w:rPr>
          <w:rFonts w:ascii="Times New Roman" w:hAnsi="Times New Roman" w:eastAsia="Times New Roman"/>
          <w:b w:val="0"/>
          <w:i w:val="0"/>
          <w:sz w:val="19"/>
          <w:vertAlign w:val="superscript"/>
        </w:rPr>
        <w:t>⊤</w:t>
      </w:r>
      <w:r>
        <w:rPr>
          <w:rFonts w:ascii="Times New Roman" w:hAnsi="Times New Roman" w:eastAsia="Times New Roman"/>
          <w:b/>
          <w:i w:val="0"/>
          <w:sz w:val="19"/>
        </w:rPr>
        <w:t>h</w:t>
      </w:r>
      <w:r>
        <w:rPr>
          <w:rFonts w:ascii="Times New Roman" w:hAnsi="Times New Roman" w:eastAsia="Times New Roman"/>
          <w:b w:val="0"/>
          <w:i/>
          <w:sz w:val="19"/>
          <w:vertAlign w:val="subscript"/>
        </w:rPr>
        <w:t>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sz w:val="19"/>
          <w:vertAlign w:val="subscript"/>
        </w:rPr>
        <w:t>s</w:t>
      </w:r>
      <w:r>
        <w:rPr>
          <w:rFonts w:ascii="Times New Roman" w:hAnsi="Times New Roman" w:eastAsia="Times New Roman"/>
          <w:b w:val="0"/>
          <w:i w:val="0"/>
          <w:sz w:val="19"/>
        </w:rPr>
        <w:t>exp</w:t>
      </w:r>
      <w:r>
        <w:rPr>
          <w:rFonts w:ascii="Times New Roman" w:hAnsi="Times New Roman" w:eastAsia="Times New Roman"/>
          <w:b w:val="0"/>
          <w:i w:val="0"/>
          <w:sz w:val="19"/>
        </w:rPr>
        <w:t>(</w:t>
      </w:r>
      <w:r>
        <w:rPr>
          <w:rFonts w:ascii="Times New Roman" w:hAnsi="Times New Roman" w:eastAsia="Times New Roman"/>
          <w:b/>
          <w:i w:val="0"/>
          <w:sz w:val="19"/>
        </w:rPr>
        <w:t>w</w:t>
      </w:r>
      <w:r>
        <w:rPr>
          <w:rFonts w:ascii="Times New Roman" w:hAnsi="Times New Roman" w:eastAsia="Times New Roman"/>
          <w:b w:val="0"/>
          <w:i w:val="0"/>
          <w:sz w:val="19"/>
          <w:vertAlign w:val="superscript"/>
        </w:rPr>
        <w:t>⊤</w:t>
      </w:r>
      <w:r>
        <w:rPr>
          <w:rFonts w:ascii="Times New Roman" w:hAnsi="Times New Roman" w:eastAsia="Times New Roman"/>
          <w:b/>
          <w:i w:val="0"/>
          <w:sz w:val="19"/>
        </w:rPr>
        <w:t>h</w:t>
      </w:r>
      <w:r>
        <w:rPr>
          <w:rFonts w:ascii="Times New Roman" w:hAnsi="Times New Roman" w:eastAsia="Times New Roman"/>
          <w:b w:val="0"/>
          <w:i/>
          <w:sz w:val="19"/>
          <w:vertAlign w:val="subscript"/>
        </w:rPr>
        <w:t>s</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val="0"/>
          <w:sz w:val="19"/>
        </w:rPr>
        <w:t xml:space="preserve"> </w:t>
      </w:r>
      <w:r>
        <w:rPr>
          <w:rFonts w:ascii="Times New Roman" w:hAnsi="Times New Roman" w:eastAsia="Times New Roman"/>
          <w:b/>
          <w:i w:val="0"/>
          <w:sz w:val="19"/>
        </w:rPr>
        <w:t>c</w:t>
      </w:r>
      <w:r>
        <w:rPr>
          <w:rFonts w:ascii="Times New Roman" w:hAnsi="Times New Roman" w:eastAsia="Times New Roman"/>
          <w:b w:val="0"/>
          <w:i w:val="0"/>
          <w:sz w:val="19"/>
        </w:rPr>
        <w:t>=</w:t>
      </w:r>
      <w:r>
        <w:rPr>
          <w:rFonts w:ascii="Times New Roman" w:hAnsi="Times New Roman" w:eastAsia="Times New Roman"/>
          <w:b w:val="0"/>
          <w:i w:val="0"/>
          <w:sz w:val="19"/>
        </w:rPr>
        <w:t>∑</w:t>
      </w:r>
      <w:r>
        <w:rPr>
          <w:rFonts w:ascii="Times New Roman" w:hAnsi="Times New Roman" w:eastAsia="Times New Roman"/>
          <w:b w:val="0"/>
          <w:i/>
          <w:sz w:val="19"/>
          <w:vertAlign w:val="subscript"/>
        </w:rPr>
        <w:t>t</w:t>
      </w:r>
      <w:r>
        <w:rPr>
          <w:rFonts w:ascii="Times New Roman" w:hAnsi="Times New Roman" w:eastAsia="Times New Roman"/>
          <w:b w:val="0"/>
          <w:i w:val="0"/>
          <w:sz w:val="19"/>
        </w:rPr>
        <w:t>α</w:t>
      </w:r>
      <w:r>
        <w:rPr>
          <w:rFonts w:ascii="Times New Roman" w:hAnsi="Times New Roman" w:eastAsia="Times New Roman"/>
          <w:b w:val="0"/>
          <w:i/>
          <w:sz w:val="19"/>
          <w:vertAlign w:val="subscript"/>
        </w:rPr>
        <w:t>t</w:t>
      </w:r>
      <w:r>
        <w:rPr>
          <w:rFonts w:ascii="Times New Roman" w:hAnsi="Times New Roman" w:eastAsia="Times New Roman"/>
          <w:b/>
          <w:i w:val="0"/>
          <w:sz w:val="19"/>
        </w:rPr>
        <w:t>h</w:t>
      </w:r>
      <w:r>
        <w:rPr>
          <w:rFonts w:ascii="Times New Roman" w:hAnsi="Times New Roman" w:eastAsia="Times New Roman"/>
          <w:b w:val="0"/>
          <w:i/>
          <w:sz w:val="19"/>
          <w:vertAlign w:val="subscript"/>
        </w:rPr>
        <w:t>t</w:t>
      </w:r>
      <w:r>
        <w:rPr>
          <w:rFonts w:ascii="Times New Roman" w:hAnsi="Times New Roman" w:eastAsia="Times New Roman"/>
          <w:b w:val="0"/>
          <w:i w:val="0"/>
          <w:sz w:val="19"/>
        </w:rPr>
        <w:t>,</w:t>
      </w:r>
      <w:r>
        <w:tab/>
        <w:t>(1)</w:t>
      </w:r>
    </w:p>
    <w:p>
      <w:pPr>
        <w:keepNext w:val="0"/>
        <w:widowControl/>
        <w:spacing w:after="0" w:before="0"/>
        <w:jc w:val="both"/>
      </w:pPr>
      <w:r>
        <w:rPr>
          <w:rFonts w:ascii="Times New Roman" w:hAnsi="Times New Roman" w:eastAsia="Times New Roman"/>
          <w:b w:val="0"/>
          <w:i w:val="0"/>
          <w:sz w:val="20"/>
        </w:rPr>
        <w:t xml:space="preserve">with padding positions masked, and </w:t>
      </w:r>
      <w:r>
        <w:rPr>
          <w:rFonts w:ascii="Times New Roman" w:hAnsi="Times New Roman" w:eastAsia="Times New Roman"/>
          <w:b/>
          <w:i w:val="0"/>
          <w:sz w:val="20"/>
        </w:rPr>
        <w:t>c</w:t>
      </w:r>
      <w:r>
        <w:rPr>
          <w:rFonts w:ascii="Times New Roman" w:hAnsi="Times New Roman" w:eastAsia="Times New Roman"/>
          <w:b w:val="0"/>
          <w:i w:val="0"/>
          <w:sz w:val="20"/>
        </w:rPr>
        <w:t xml:space="preserve"> passes through dropout (0.4) and a linear layer to a three-way softmax. The model has 2.57 M trainable parameters. Because the data are imbalanced, the cross-entropy loss uses class weights </w:t>
      </w:r>
      <w:r>
        <w:rPr>
          <w:rFonts w:ascii="Times New Roman" w:hAnsi="Times New Roman" w:eastAsia="Times New Roman"/>
          <w:b w:val="0"/>
          <w:i/>
          <w:sz w:val="20"/>
        </w:rPr>
        <w:t>w</w:t>
      </w:r>
      <w:r>
        <w:rPr>
          <w:rFonts w:ascii="Times New Roman" w:hAnsi="Times New Roman" w:eastAsia="Times New Roman"/>
          <w:b w:val="0"/>
          <w:i/>
          <w:sz w:val="20"/>
          <w:vertAlign w:val="subscript"/>
        </w:rPr>
        <w:t>c</w:t>
      </w:r>
      <w:r>
        <w:rPr>
          <w:rFonts w:ascii="Times New Roman" w:hAnsi="Times New Roman" w:eastAsia="Times New Roman"/>
          <w:b w:val="0"/>
          <w:i w:val="0"/>
          <w:sz w:val="20"/>
        </w:rPr>
        <w:t>=√(</w:t>
      </w:r>
      <w:r>
        <w:rPr>
          <w:rFonts w:ascii="Times New Roman" w:hAnsi="Times New Roman" w:eastAsia="Times New Roman"/>
          <w:b w:val="0"/>
          <w:i/>
          <w:sz w:val="20"/>
        </w:rPr>
        <w:t>N</w:t>
      </w:r>
      <w:r>
        <w:rPr>
          <w:rFonts w:ascii="Times New Roman" w:hAnsi="Times New Roman" w:eastAsia="Times New Roman"/>
          <w:b w:val="0"/>
          <w:i w:val="0"/>
          <w:sz w:val="20"/>
        </w:rPr>
        <w:t>/(3</w:t>
      </w:r>
      <w:r>
        <w:rPr>
          <w:rFonts w:ascii="Times New Roman" w:hAnsi="Times New Roman" w:eastAsia="Times New Roman"/>
          <w:b w:val="0"/>
          <w:i/>
          <w:sz w:val="20"/>
        </w:rPr>
        <w:t>n</w:t>
      </w:r>
      <w:r>
        <w:rPr>
          <w:rFonts w:ascii="Times New Roman" w:hAnsi="Times New Roman" w:eastAsia="Times New Roman"/>
          <w:b w:val="0"/>
          <w:i/>
          <w:sz w:val="20"/>
          <w:vertAlign w:val="subscript"/>
        </w:rPr>
        <w:t>c</w:t>
      </w:r>
      <w:r>
        <w:rPr>
          <w:rFonts w:ascii="Times New Roman" w:hAnsi="Times New Roman" w:eastAsia="Times New Roman"/>
          <w:b w:val="0"/>
          <w:i w:val="0"/>
          <w:sz w:val="20"/>
        </w:rPr>
        <w:t>)), and the epoch is selected by validation macro-F1 rather than loss.</w:t>
      </w:r>
    </w:p>
    <w:p>
      <w:pPr>
        <w:keepNext/>
        <w:spacing w:before="80"/>
        <w:jc w:val="center"/>
      </w:pPr>
      <w:r>
        <w:drawing>
          <wp:inline xmlns:a="http://schemas.openxmlformats.org/drawingml/2006/main" xmlns:pic="http://schemas.openxmlformats.org/drawingml/2006/picture">
            <wp:extent cx="2424988" cy="2445415"/>
            <wp:docPr id="2" name="Picture 2"/>
            <wp:cNvGraphicFramePr>
              <a:graphicFrameLocks noChangeAspect="1"/>
            </wp:cNvGraphicFramePr>
            <a:graphic>
              <a:graphicData uri="http://schemas.openxmlformats.org/drawingml/2006/picture">
                <pic:pic>
                  <pic:nvPicPr>
                    <pic:cNvPr id="0" name="fig_lstm_arch.png"/>
                    <pic:cNvPicPr/>
                  </pic:nvPicPr>
                  <pic:blipFill>
                    <a:blip r:embed="rId10"/>
                    <a:stretch>
                      <a:fillRect/>
                    </a:stretch>
                  </pic:blipFill>
                  <pic:spPr>
                    <a:xfrm>
                      <a:off x="0" y="0"/>
                      <a:ext cx="2424988" cy="2445415"/>
                    </a:xfrm>
                    <a:prstGeom prst="rect"/>
                  </pic:spPr>
                </pic:pic>
              </a:graphicData>
            </a:graphic>
          </wp:inline>
        </w:drawing>
      </w:r>
    </w:p>
    <w:p>
      <w:pPr>
        <w:keepNext w:val="0"/>
        <w:widowControl/>
        <w:spacing w:after="120" w:before="0"/>
        <w:jc w:val="both"/>
      </w:pPr>
      <w:r>
        <w:rPr>
          <w:rFonts w:ascii="Times New Roman" w:hAnsi="Times New Roman" w:eastAsia="Times New Roman"/>
          <w:b w:val="0"/>
          <w:i w:val="0"/>
          <w:sz w:val="16"/>
        </w:rPr>
        <w:t xml:space="preserve">Fig. 2. </w:t>
      </w:r>
      <w:r>
        <w:rPr>
          <w:rFonts w:ascii="Times New Roman" w:hAnsi="Times New Roman" w:eastAsia="Times New Roman"/>
          <w:b w:val="0"/>
          <w:i w:val="0"/>
          <w:sz w:val="16"/>
        </w:rPr>
        <w:t>Architecture of the BiLSTM with attention pooling used for three-class sentiment classification.</w:t>
      </w:r>
    </w:p>
    <w:p>
      <w:pPr>
        <w:keepNext w:val="0"/>
        <w:widowControl/>
        <w:spacing w:after="0" w:before="0"/>
        <w:ind w:firstLine="245"/>
        <w:jc w:val="both"/>
      </w:pPr>
      <w:r>
        <w:rPr>
          <w:rFonts w:ascii="Times New Roman" w:hAnsi="Times New Roman" w:eastAsia="Times New Roman"/>
          <w:b w:val="0"/>
          <w:i/>
          <w:sz w:val="20"/>
        </w:rPr>
        <w:t xml:space="preserve">Fine-tuned DistilBERT. </w:t>
      </w:r>
      <w:r>
        <w:rPr>
          <w:rFonts w:ascii="Times New Roman" w:hAnsi="Times New Roman" w:eastAsia="Times New Roman"/>
          <w:b w:val="0"/>
          <w:i w:val="0"/>
          <w:sz w:val="20"/>
        </w:rPr>
        <w:t>The pre-trained distilled transformer [13] is fine-tuned with a three-way classification head (maximum length 128, the AdamW optimiser with learning rate 2</w:t>
      </w:r>
      <w:r>
        <w:rPr>
          <w:rFonts w:ascii="Times New Roman" w:hAnsi="Times New Roman" w:eastAsia="Times New Roman"/>
          <w:b w:val="0"/>
          <w:i w:val="0"/>
          <w:sz w:val="20"/>
        </w:rPr>
        <w:t>×</w:t>
      </w:r>
      <w:r>
        <w:rPr>
          <w:rFonts w:ascii="Times New Roman" w:hAnsi="Times New Roman" w:eastAsia="Times New Roman"/>
          <w:b w:val="0"/>
          <w:i w:val="0"/>
          <w:sz w:val="20"/>
        </w:rPr>
        <w:t>10</w:t>
      </w:r>
      <w:r>
        <w:rPr>
          <w:rFonts w:ascii="Times New Roman" w:hAnsi="Times New Roman" w:eastAsia="Times New Roman"/>
          <w:b w:val="0"/>
          <w:i w:val="0"/>
          <w:sz w:val="20"/>
          <w:vertAlign w:val="superscript"/>
        </w:rPr>
        <w:t>−5</w:t>
      </w:r>
      <w:r>
        <w:rPr>
          <w:rFonts w:ascii="Times New Roman" w:hAnsi="Times New Roman" w:eastAsia="Times New Roman"/>
          <w:b w:val="0"/>
          <w:i w:val="0"/>
          <w:sz w:val="20"/>
        </w:rPr>
        <w:t>, 2 epochs, batch size 8) on a stratified 6,000-review subsample, because the run was performed on a CPU.</w:t>
      </w:r>
    </w:p>
    <w:p>
      <w:pPr>
        <w:keepNext/>
        <w:widowControl/>
        <w:spacing w:after="40" w:before="100"/>
        <w:jc w:val="left"/>
      </w:pPr>
      <w:r>
        <w:rPr>
          <w:rFonts w:ascii="Times New Roman" w:hAnsi="Times New Roman" w:eastAsia="Times New Roman"/>
          <w:b w:val="0"/>
          <w:i/>
          <w:sz w:val="20"/>
        </w:rPr>
        <w:t>D. Advanced ML branch</w:t>
      </w:r>
    </w:p>
    <w:p>
      <w:pPr>
        <w:keepNext w:val="0"/>
        <w:widowControl/>
        <w:spacing w:after="0" w:before="0"/>
        <w:ind w:firstLine="245"/>
        <w:jc w:val="both"/>
      </w:pPr>
      <w:r>
        <w:rPr>
          <w:rFonts w:ascii="Times New Roman" w:hAnsi="Times New Roman" w:eastAsia="Times New Roman"/>
          <w:b w:val="0"/>
          <w:i/>
          <w:sz w:val="20"/>
        </w:rPr>
        <w:t xml:space="preserve">Helpfulness prediction. </w:t>
      </w:r>
      <w:r>
        <w:rPr>
          <w:rFonts w:ascii="Times New Roman" w:hAnsi="Times New Roman" w:eastAsia="Times New Roman"/>
          <w:b w:val="0"/>
          <w:i w:val="0"/>
          <w:sz w:val="20"/>
        </w:rPr>
        <w:t xml:space="preserve">The target is whether a review received at least one helpful vote. Ten engineered features are used: rating, length in words, title length, verified-purchase flag, exclamation and question-mark counts, capital-letter ratio, VADER compound score, review age in days, and the number of distinct aspects mentioned (taken from the ABSA output). An XGBoost classifier [15] is tuned with 15 randomised-search candidates under 3-fold cross-validation optimising F1, with </w:t>
      </w:r>
      <w:r>
        <w:rPr>
          <w:rFonts w:ascii="Courier New" w:hAnsi="Courier New" w:eastAsia="Courier New"/>
          <w:b w:val="0"/>
          <w:i w:val="0"/>
          <w:sz w:val="18"/>
        </w:rPr>
        <w:t>scale_pos_weight</w:t>
      </w:r>
      <w:r>
        <w:rPr>
          <w:rFonts w:ascii="Times New Roman" w:hAnsi="Times New Roman" w:eastAsia="Times New Roman"/>
          <w:b w:val="0"/>
          <w:i w:val="0"/>
          <w:sz w:val="20"/>
        </w:rPr>
        <w:t xml:space="preserve"> set for the imbalance.</w:t>
      </w:r>
    </w:p>
    <w:p>
      <w:pPr>
        <w:keepNext w:val="0"/>
        <w:widowControl/>
        <w:spacing w:after="0" w:before="0"/>
        <w:ind w:firstLine="245"/>
        <w:jc w:val="both"/>
      </w:pPr>
      <w:r>
        <w:rPr>
          <w:rFonts w:ascii="Times New Roman" w:hAnsi="Times New Roman" w:eastAsia="Times New Roman"/>
          <w:b w:val="0"/>
          <w:i/>
          <w:sz w:val="20"/>
        </w:rPr>
        <w:t xml:space="preserve">Clustering. </w:t>
      </w:r>
      <w:r>
        <w:rPr>
          <w:rFonts w:ascii="Times New Roman" w:hAnsi="Times New Roman" w:eastAsia="Times New Roman"/>
          <w:b w:val="0"/>
          <w:i w:val="0"/>
          <w:sz w:val="20"/>
        </w:rPr>
        <w:t xml:space="preserve">MiniBatchKMeans with </w:t>
      </w:r>
      <w:r>
        <w:rPr>
          <w:rFonts w:ascii="Times New Roman" w:hAnsi="Times New Roman" w:eastAsia="Times New Roman"/>
          <w:b w:val="0"/>
          <w:i/>
          <w:sz w:val="20"/>
        </w:rPr>
        <w:t>k</w:t>
      </w:r>
      <w:r>
        <w:rPr>
          <w:rFonts w:ascii="Times New Roman" w:hAnsi="Times New Roman" w:eastAsia="Times New Roman"/>
          <w:b w:val="0"/>
          <w:i w:val="0"/>
          <w:sz w:val="20"/>
        </w:rPr>
        <w:t>=6 is run on a separate TF-IDF representation (5,000 features, stop words removed) so that function words do not dominate the clusters.</w:t>
      </w:r>
    </w:p>
    <w:p>
      <w:pPr>
        <w:keepNext w:val="0"/>
        <w:widowControl/>
        <w:spacing w:after="0" w:before="0"/>
        <w:ind w:firstLine="245"/>
        <w:jc w:val="both"/>
      </w:pPr>
      <w:r>
        <w:rPr>
          <w:rFonts w:ascii="Times New Roman" w:hAnsi="Times New Roman" w:eastAsia="Times New Roman"/>
          <w:b w:val="0"/>
          <w:i/>
          <w:sz w:val="20"/>
        </w:rPr>
        <w:t xml:space="preserve">Suspicious-review detection. </w:t>
      </w:r>
      <w:r>
        <w:rPr>
          <w:rFonts w:ascii="Times New Roman" w:hAnsi="Times New Roman" w:eastAsia="Times New Roman"/>
          <w:b w:val="0"/>
          <w:i w:val="0"/>
          <w:sz w:val="20"/>
        </w:rPr>
        <w:t xml:space="preserve">With no labelled fake/genuine data, we frame this as unsupervised anomaly detection. Features are: a binary indicator for very short reviews (&lt;10 words), capital-letter ratio, exclamation count, verified-purchase flag, the logarithm of the number of reviews the same account has in the sample, and the maximum cosine similarity to another review of the same product (computed per product on sentence embeddings). After standardisation, an Isolation Forest [16] with contamination 0.10 produces an anomaly score </w:t>
      </w:r>
      <w:r>
        <w:rPr>
          <w:rFonts w:ascii="Times New Roman" w:hAnsi="Times New Roman" w:eastAsia="Times New Roman"/>
          <w:b w:val="0"/>
          <w:i/>
          <w:sz w:val="20"/>
        </w:rPr>
        <w:t>s</w:t>
      </w:r>
      <w:r>
        <w:rPr>
          <w:rFonts w:ascii="Times New Roman" w:hAnsi="Times New Roman" w:eastAsia="Times New Roman"/>
          <w:b w:val="0"/>
          <w:i w:val="0"/>
          <w:sz w:val="20"/>
        </w:rPr>
        <w:t>(</w:t>
      </w:r>
      <w:r>
        <w:rPr>
          <w:rFonts w:ascii="Times New Roman" w:hAnsi="Times New Roman" w:eastAsia="Times New Roman"/>
          <w:b w:val="0"/>
          <w:i/>
          <w:sz w:val="20"/>
        </w:rPr>
        <w:t>x</w:t>
      </w:r>
      <w:r>
        <w:rPr>
          <w:rFonts w:ascii="Times New Roman" w:hAnsi="Times New Roman" w:eastAsia="Times New Roman"/>
          <w:b w:val="0"/>
          <w:i w:val="0"/>
          <w:sz w:val="20"/>
        </w:rPr>
        <w:t>)=2</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E</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h</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x</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c</w:t>
      </w:r>
      <w:r>
        <w:rPr>
          <w:rFonts w:ascii="Times New Roman" w:hAnsi="Times New Roman" w:eastAsia="Times New Roman"/>
          <w:b w:val="0"/>
          <w:i w:val="0"/>
          <w:sz w:val="20"/>
          <w:vertAlign w:val="superscript"/>
        </w:rPr>
        <w:t>(</w:t>
      </w:r>
      <w:r>
        <w:rPr>
          <w:rFonts w:ascii="Times New Roman" w:hAnsi="Times New Roman" w:eastAsia="Times New Roman"/>
          <w:b w:val="0"/>
          <w:i w:val="0"/>
          <w:sz w:val="20"/>
          <w:vertAlign w:val="superscript"/>
        </w:rPr>
        <w:t>n</w:t>
      </w:r>
      <w:r>
        <w:rPr>
          <w:rFonts w:ascii="Times New Roman" w:hAnsi="Times New Roman" w:eastAsia="Times New Roman"/>
          <w:b w:val="0"/>
          <w:i w:val="0"/>
          <w:sz w:val="20"/>
          <w:vertAlign w:val="superscript"/>
        </w:rPr>
        <w:t>)</w:t>
      </w:r>
      <w:r>
        <w:rPr>
          <w:rFonts w:ascii="Times New Roman" w:hAnsi="Times New Roman" w:eastAsia="Times New Roman"/>
          <w:b w:val="0"/>
          <w:i w:val="0"/>
          <w:sz w:val="20"/>
        </w:rPr>
        <w:t xml:space="preserve"> that is rescaled to [0,1]. Rule-based reason strings accompany each flag for transparency. The interface describes flagged reviews only as </w:t>
      </w:r>
      <w:r>
        <w:rPr>
          <w:rFonts w:ascii="Times New Roman" w:hAnsi="Times New Roman" w:eastAsia="Times New Roman"/>
          <w:b w:val="0"/>
          <w:i/>
          <w:sz w:val="20"/>
        </w:rPr>
        <w:t>potentially suspicious based on automated pattern analysis</w:t>
      </w:r>
      <w:r>
        <w:rPr>
          <w:rFonts w:ascii="Times New Roman" w:hAnsi="Times New Roman" w:eastAsia="Times New Roman"/>
          <w:b w:val="0"/>
          <w:i w:val="0"/>
          <w:sz w:val="20"/>
        </w:rPr>
        <w:t>.</w:t>
      </w:r>
    </w:p>
    <w:p>
      <w:pPr>
        <w:keepNext/>
        <w:widowControl/>
        <w:spacing w:after="40" w:before="100"/>
        <w:jc w:val="left"/>
      </w:pPr>
      <w:r>
        <w:rPr>
          <w:rFonts w:ascii="Times New Roman" w:hAnsi="Times New Roman" w:eastAsia="Times New Roman"/>
          <w:b w:val="0"/>
          <w:i/>
          <w:sz w:val="20"/>
        </w:rPr>
        <w:t>E. Semantic search and grounded question answering</w:t>
      </w:r>
    </w:p>
    <w:p>
      <w:pPr>
        <w:keepNext w:val="0"/>
        <w:widowControl/>
        <w:spacing w:after="0" w:before="0"/>
        <w:ind w:firstLine="245"/>
        <w:jc w:val="both"/>
      </w:pPr>
      <w:r>
        <w:rPr>
          <w:rFonts w:ascii="Times New Roman" w:hAnsi="Times New Roman" w:eastAsia="Times New Roman"/>
          <w:b w:val="0"/>
          <w:i w:val="0"/>
          <w:sz w:val="20"/>
        </w:rPr>
        <w:t xml:space="preserve">All reviews are encoded once with a MiniLM sentence encoder [18], [17] into 384-dimensional unit vectors, so cosine similarity is a dot product. For a question </w:t>
      </w:r>
      <w:r>
        <w:rPr>
          <w:rFonts w:ascii="Times New Roman" w:hAnsi="Times New Roman" w:eastAsia="Times New Roman"/>
          <w:b w:val="0"/>
          <w:i/>
          <w:sz w:val="20"/>
        </w:rPr>
        <w:t>q</w:t>
      </w:r>
      <w:r>
        <w:rPr>
          <w:rFonts w:ascii="Times New Roman" w:hAnsi="Times New Roman" w:eastAsia="Times New Roman"/>
          <w:b w:val="0"/>
          <w:i w:val="0"/>
          <w:sz w:val="20"/>
        </w:rPr>
        <w:t xml:space="preserve"> about product </w:t>
      </w:r>
      <w:r>
        <w:rPr>
          <w:rFonts w:ascii="Times New Roman" w:hAnsi="Times New Roman" w:eastAsia="Times New Roman"/>
          <w:b w:val="0"/>
          <w:i/>
          <w:sz w:val="20"/>
        </w:rPr>
        <w:t>p</w:t>
      </w:r>
      <w:r>
        <w:rPr>
          <w:rFonts w:ascii="Times New Roman" w:hAnsi="Times New Roman" w:eastAsia="Times New Roman"/>
          <w:b w:val="0"/>
          <w:i w:val="0"/>
          <w:sz w:val="20"/>
        </w:rPr>
        <w:t xml:space="preserve">, retrieval is restricted to the reviews of </w:t>
      </w:r>
      <w:r>
        <w:rPr>
          <w:rFonts w:ascii="Times New Roman" w:hAnsi="Times New Roman" w:eastAsia="Times New Roman"/>
          <w:b w:val="0"/>
          <w:i/>
          <w:sz w:val="20"/>
        </w:rPr>
        <w:t>p</w:t>
      </w:r>
      <w:r>
        <w:rPr>
          <w:rFonts w:ascii="Times New Roman" w:hAnsi="Times New Roman" w:eastAsia="Times New Roman"/>
          <w:b w:val="0"/>
          <w:i w:val="0"/>
          <w:sz w:val="20"/>
        </w:rPr>
        <w:t xml:space="preserve"> (parent-ASIN scoping) and the top five by cosine similarity are returned. A FLAN-T5-base generator [21] is prompted with the question and the retrieved review text (each truncated to 300 characters) and asked to answer in one or two sentences using only that text. Because small generators do not reliably follow “say you do not know” instructions, we add a hard </w:t>
      </w:r>
      <w:r>
        <w:rPr>
          <w:rFonts w:ascii="Times New Roman" w:hAnsi="Times New Roman" w:eastAsia="Times New Roman"/>
          <w:b w:val="0"/>
          <w:i/>
          <w:sz w:val="20"/>
        </w:rPr>
        <w:t>similarity floor</w:t>
      </w:r>
      <w:r>
        <w:rPr>
          <w:rFonts w:ascii="Times New Roman" w:hAnsi="Times New Roman" w:eastAsia="Times New Roman"/>
          <w:b w:val="0"/>
          <w:i w:val="0"/>
          <w:sz w:val="20"/>
        </w:rPr>
        <w:t xml:space="preserve">: if </w:t>
      </w:r>
      <w:r>
        <w:rPr>
          <w:rFonts w:ascii="Times New Roman" w:hAnsi="Times New Roman" w:eastAsia="Times New Roman"/>
          <w:b w:val="0"/>
          <w:i w:val="0"/>
          <w:sz w:val="20"/>
        </w:rPr>
        <w:t>max</w:t>
      </w:r>
      <w:r>
        <w:rPr>
          <w:rFonts w:ascii="Times New Roman" w:hAnsi="Times New Roman" w:eastAsia="Times New Roman"/>
          <w:b w:val="0"/>
          <w:i/>
          <w:sz w:val="20"/>
          <w:vertAlign w:val="subscript"/>
        </w:rPr>
        <w:t>i</w:t>
      </w:r>
      <w:r>
        <w:rPr>
          <w:rFonts w:ascii="Times New Roman" w:hAnsi="Times New Roman" w:eastAsia="Times New Roman"/>
          <w:b w:val="0"/>
          <w:i w:val="0"/>
          <w:sz w:val="20"/>
        </w:rPr>
        <w:t>cos</w:t>
      </w:r>
      <w:r>
        <w:rPr>
          <w:rFonts w:ascii="Times New Roman" w:hAnsi="Times New Roman" w:eastAsia="Times New Roman"/>
          <w:b w:val="0"/>
          <w:i w:val="0"/>
          <w:sz w:val="20"/>
        </w:rPr>
        <w:t>(</w:t>
      </w:r>
      <w:r>
        <w:rPr>
          <w:rFonts w:ascii="Times New Roman" w:hAnsi="Times New Roman" w:eastAsia="Times New Roman"/>
          <w:b w:val="0"/>
          <w:i/>
          <w:sz w:val="20"/>
        </w:rPr>
        <w:t>q</w:t>
      </w:r>
      <w:r>
        <w:rPr>
          <w:rFonts w:ascii="Times New Roman" w:hAnsi="Times New Roman" w:eastAsia="Times New Roman"/>
          <w:b w:val="0"/>
          <w:i w:val="0"/>
          <w:sz w:val="20"/>
        </w:rPr>
        <w:t>,</w:t>
      </w:r>
      <w:r>
        <w:rPr>
          <w:rFonts w:ascii="Times New Roman" w:hAnsi="Times New Roman" w:eastAsia="Times New Roman"/>
          <w:b w:val="0"/>
          <w:i/>
          <w:sz w:val="20"/>
        </w:rPr>
        <w:t>r</w:t>
      </w:r>
      <w:r>
        <w:rPr>
          <w:rFonts w:ascii="Times New Roman" w:hAnsi="Times New Roman" w:eastAsia="Times New Roman"/>
          <w:b w:val="0"/>
          <w:i/>
          <w:sz w:val="20"/>
          <w:vertAlign w:val="subscript"/>
        </w:rPr>
        <w:t>i</w:t>
      </w:r>
      <w:r>
        <w:rPr>
          <w:rFonts w:ascii="Times New Roman" w:hAnsi="Times New Roman" w:eastAsia="Times New Roman"/>
          <w:b w:val="0"/>
          <w:i w:val="0"/>
          <w:sz w:val="20"/>
        </w:rPr>
        <w:t>)&lt;</w:t>
      </w:r>
      <w:r>
        <w:rPr>
          <w:rFonts w:ascii="Times New Roman" w:hAnsi="Times New Roman" w:eastAsia="Times New Roman"/>
          <w:b w:val="0"/>
          <w:i w:val="0"/>
          <w:sz w:val="20"/>
        </w:rPr>
        <w:t>τ</w:t>
      </w:r>
      <w:r>
        <w:rPr>
          <w:rFonts w:ascii="Times New Roman" w:hAnsi="Times New Roman" w:eastAsia="Times New Roman"/>
          <w:b w:val="0"/>
          <w:i w:val="0"/>
          <w:sz w:val="20"/>
        </w:rPr>
        <w:t xml:space="preserve"> with </w:t>
      </w:r>
      <w:r>
        <w:rPr>
          <w:rFonts w:ascii="Times New Roman" w:hAnsi="Times New Roman" w:eastAsia="Times New Roman"/>
          <w:b w:val="0"/>
          <w:i w:val="0"/>
          <w:sz w:val="20"/>
        </w:rPr>
        <w:t>τ</w:t>
      </w:r>
      <w:r>
        <w:rPr>
          <w:rFonts w:ascii="Times New Roman" w:hAnsi="Times New Roman" w:eastAsia="Times New Roman"/>
          <w:b w:val="0"/>
          <w:i w:val="0"/>
          <w:sz w:val="20"/>
        </w:rPr>
        <w:t>=0.30, the system answers that the reviews do not provide enough information and does not call the generator. The retrieved reviews and their similarities are always displayed.</w:t>
      </w:r>
    </w:p>
    <w:p>
      <w:pPr>
        <w:keepNext/>
        <w:widowControl/>
        <w:spacing w:after="40" w:before="100"/>
        <w:jc w:val="left"/>
      </w:pPr>
      <w:r>
        <w:rPr>
          <w:rFonts w:ascii="Times New Roman" w:hAnsi="Times New Roman" w:eastAsia="Times New Roman"/>
          <w:b w:val="0"/>
          <w:i/>
          <w:sz w:val="20"/>
        </w:rPr>
        <w:t>F. Implementation</w:t>
      </w:r>
    </w:p>
    <w:p>
      <w:pPr>
        <w:keepNext w:val="0"/>
        <w:widowControl/>
        <w:spacing w:after="0" w:before="0"/>
        <w:ind w:firstLine="245"/>
        <w:jc w:val="both"/>
      </w:pPr>
      <w:r>
        <w:rPr>
          <w:rFonts w:ascii="Times New Roman" w:hAnsi="Times New Roman" w:eastAsia="Times New Roman"/>
          <w:b w:val="0"/>
          <w:i w:val="0"/>
          <w:sz w:val="20"/>
        </w:rPr>
        <w:t>The system is implemented in Python with PyTorch [24], scikit-learn [25], XGBoost, Transformers [26] and Streamlit. The dashboard offers buyer-oriented product pages (summaries, aspect evidence, filterable reviews, trust analysis, comparison, question answering), business views (complaint ranking, topics, review quality) and a live classifier that runs the LSTM, DistilBERT and SVM side by side with attention highlighting. Summaries and comparisons are generated from computed statistics by templates, never by a language model, so they cannot add unsupported claims.</w:t>
      </w:r>
    </w:p>
    <w:p>
      <w:pPr>
        <w:keepNext/>
        <w:widowControl/>
        <w:spacing w:after="80" w:before="160"/>
        <w:jc w:val="center"/>
      </w:pPr>
      <w:r>
        <w:rPr>
          <w:rFonts w:ascii="Times New Roman" w:hAnsi="Times New Roman" w:eastAsia="Times New Roman"/>
          <w:b w:val="0"/>
          <w:i w:val="0"/>
          <w:sz w:val="20"/>
        </w:rPr>
        <w:t>V. EXPERIMENTAL SETUP</w:t>
      </w:r>
    </w:p>
    <w:p>
      <w:pPr>
        <w:keepNext/>
        <w:widowControl/>
        <w:spacing w:after="40" w:before="100"/>
        <w:jc w:val="left"/>
      </w:pPr>
      <w:r>
        <w:rPr>
          <w:rFonts w:ascii="Times New Roman" w:hAnsi="Times New Roman" w:eastAsia="Times New Roman"/>
          <w:b w:val="0"/>
          <w:i/>
          <w:sz w:val="20"/>
        </w:rPr>
        <w:t>A. Protocol</w:t>
      </w:r>
    </w:p>
    <w:p>
      <w:pPr>
        <w:keepNext w:val="0"/>
        <w:widowControl/>
        <w:spacing w:after="0" w:before="0"/>
        <w:ind w:firstLine="245"/>
        <w:jc w:val="both"/>
      </w:pPr>
      <w:r>
        <w:rPr>
          <w:rFonts w:ascii="Times New Roman" w:hAnsi="Times New Roman" w:eastAsia="Times New Roman"/>
          <w:b w:val="0"/>
          <w:i w:val="0"/>
          <w:sz w:val="20"/>
        </w:rPr>
        <w:t>All sentiment models are evaluated on one stratified 80/20 split (random seed 42), giving 40,000 training and 10,000 test reviews. For the LSTM, 10% of the training portion (4,000 reviews) is held out for early stopping, leaving 36,000 for gradient updates; the test set is never used for model selection. VADER needs no training and is scored on the same 10,000 test reviews. We report accuracy and macro-F1 with 95% percentile bootstrap confidence intervals (2,000 resamples of the test set) [27], and paired bootstrap differences between models computed on the same resamples.</w:t>
      </w:r>
    </w:p>
    <w:p>
      <w:pPr>
        <w:keepNext/>
        <w:widowControl/>
        <w:spacing w:after="40" w:before="100"/>
        <w:jc w:val="left"/>
      </w:pPr>
      <w:r>
        <w:rPr>
          <w:rFonts w:ascii="Times New Roman" w:hAnsi="Times New Roman" w:eastAsia="Times New Roman"/>
          <w:b w:val="0"/>
          <w:i/>
          <w:sz w:val="20"/>
        </w:rPr>
        <w:t>B. Training details</w:t>
      </w:r>
    </w:p>
    <w:p>
      <w:pPr>
        <w:keepNext w:val="0"/>
        <w:widowControl/>
        <w:spacing w:after="0" w:before="0"/>
        <w:ind w:firstLine="245"/>
        <w:jc w:val="both"/>
      </w:pPr>
      <w:r>
        <w:rPr>
          <w:rFonts w:ascii="Times New Roman" w:hAnsi="Times New Roman" w:eastAsia="Times New Roman"/>
          <w:b w:val="0"/>
          <w:i w:val="0"/>
          <w:sz w:val="20"/>
        </w:rPr>
        <w:t>The LSTM is trained with Adam [23] (learning rate 2</w:t>
      </w:r>
      <w:r>
        <w:rPr>
          <w:rFonts w:ascii="Times New Roman" w:hAnsi="Times New Roman" w:eastAsia="Times New Roman"/>
          <w:b w:val="0"/>
          <w:i w:val="0"/>
          <w:sz w:val="20"/>
        </w:rPr>
        <w:t>×</w:t>
      </w:r>
      <w:r>
        <w:rPr>
          <w:rFonts w:ascii="Times New Roman" w:hAnsi="Times New Roman" w:eastAsia="Times New Roman"/>
          <w:b w:val="0"/>
          <w:i w:val="0"/>
          <w:sz w:val="20"/>
        </w:rPr>
        <w:t>10</w:t>
      </w:r>
      <w:r>
        <w:rPr>
          <w:rFonts w:ascii="Times New Roman" w:hAnsi="Times New Roman" w:eastAsia="Times New Roman"/>
          <w:b w:val="0"/>
          <w:i w:val="0"/>
          <w:sz w:val="20"/>
          <w:vertAlign w:val="superscript"/>
        </w:rPr>
        <w:t>−3</w:t>
      </w:r>
      <w:r>
        <w:rPr>
          <w:rFonts w:ascii="Times New Roman" w:hAnsi="Times New Roman" w:eastAsia="Times New Roman"/>
          <w:b w:val="0"/>
          <w:i w:val="0"/>
          <w:sz w:val="20"/>
        </w:rPr>
        <w:t>, weight decay 10</w:t>
      </w:r>
      <w:r>
        <w:rPr>
          <w:rFonts w:ascii="Times New Roman" w:hAnsi="Times New Roman" w:eastAsia="Times New Roman"/>
          <w:b w:val="0"/>
          <w:i w:val="0"/>
          <w:sz w:val="20"/>
          <w:vertAlign w:val="superscript"/>
        </w:rPr>
        <w:t>−5</w:t>
      </w:r>
      <w:r>
        <w:rPr>
          <w:rFonts w:ascii="Times New Roman" w:hAnsi="Times New Roman" w:eastAsia="Times New Roman"/>
          <w:b w:val="0"/>
          <w:i w:val="0"/>
          <w:sz w:val="20"/>
        </w:rPr>
        <w:t>), batch size 128, gradient clipping at 1.0, for at most 12 epochs with early stopping (patience 3). Training took about seven minutes on an NVIDIA RTX 4050 laptop GPU. DistilBERT was fine-tuned on CPU in about 60 minutes. Software versions for the LSTM and evaluation runs were PyTorch 2.13, scikit-learn 1.9, XGBoost 3.4 and Transformers 5.16 on Python 3.12; the DistilBERT fine-tuning run used the same code on an earlier installation.</w:t>
      </w:r>
    </w:p>
    <w:p>
      <w:pPr>
        <w:keepNext/>
        <w:widowControl/>
        <w:spacing w:after="40" w:before="100"/>
        <w:jc w:val="left"/>
      </w:pPr>
      <w:r>
        <w:rPr>
          <w:rFonts w:ascii="Times New Roman" w:hAnsi="Times New Roman" w:eastAsia="Times New Roman"/>
          <w:b w:val="0"/>
          <w:i/>
          <w:sz w:val="20"/>
        </w:rPr>
        <w:t>C. Ablation protocol</w:t>
      </w:r>
    </w:p>
    <w:p>
      <w:pPr>
        <w:keepNext w:val="0"/>
        <w:widowControl/>
        <w:spacing w:after="0" w:before="0"/>
        <w:ind w:firstLine="245"/>
        <w:jc w:val="both"/>
      </w:pPr>
      <w:r>
        <w:rPr>
          <w:rFonts w:ascii="Times New Roman" w:hAnsi="Times New Roman" w:eastAsia="Times New Roman"/>
          <w:b w:val="0"/>
          <w:i w:val="0"/>
          <w:sz w:val="20"/>
        </w:rPr>
        <w:t>To separate the contribution of the architecture from that of the loss weighting, we trained three LSTM variants with three random seeds each (42, 43, 44): the full model; the same model with an unweighted cross-entropy loss; and a variant that replaces attention pooling with masked mean pooling over the LSTM outputs (weighted loss retained). Only the seed changes between runs; the data split, vocabulary and test set are identical to the main experiment. We report mean and standard deviation over seeds.</w:t>
      </w:r>
    </w:p>
    <w:p>
      <w:pPr>
        <w:keepNext/>
        <w:widowControl/>
        <w:spacing w:after="40" w:before="100"/>
        <w:jc w:val="left"/>
      </w:pPr>
      <w:r>
        <w:rPr>
          <w:rFonts w:ascii="Times New Roman" w:hAnsi="Times New Roman" w:eastAsia="Times New Roman"/>
          <w:b w:val="0"/>
          <w:i/>
          <w:sz w:val="20"/>
        </w:rPr>
        <w:t>D. Metrics</w:t>
      </w:r>
    </w:p>
    <w:p>
      <w:pPr>
        <w:keepNext w:val="0"/>
        <w:widowControl/>
        <w:spacing w:after="0" w:before="0"/>
        <w:ind w:firstLine="245"/>
        <w:jc w:val="both"/>
      </w:pPr>
      <w:r>
        <w:rPr>
          <w:rFonts w:ascii="Times New Roman" w:hAnsi="Times New Roman" w:eastAsia="Times New Roman"/>
          <w:b w:val="0"/>
          <w:i w:val="0"/>
          <w:sz w:val="20"/>
        </w:rPr>
        <w:t xml:space="preserve">For class </w:t>
      </w:r>
      <w:r>
        <w:rPr>
          <w:rFonts w:ascii="Times New Roman" w:hAnsi="Times New Roman" w:eastAsia="Times New Roman"/>
          <w:b w:val="0"/>
          <w:i/>
          <w:sz w:val="20"/>
        </w:rPr>
        <w:t>c</w:t>
      </w:r>
      <w:r>
        <w:rPr>
          <w:rFonts w:ascii="Times New Roman" w:hAnsi="Times New Roman" w:eastAsia="Times New Roman"/>
          <w:b w:val="0"/>
          <w:i w:val="0"/>
          <w:sz w:val="20"/>
        </w:rPr>
        <w:t xml:space="preserve"> with precision </w:t>
      </w:r>
      <w:r>
        <w:rPr>
          <w:rFonts w:ascii="Times New Roman" w:hAnsi="Times New Roman" w:eastAsia="Times New Roman"/>
          <w:b w:val="0"/>
          <w:i/>
          <w:sz w:val="20"/>
        </w:rPr>
        <w:t>P</w:t>
      </w:r>
      <w:r>
        <w:rPr>
          <w:rFonts w:ascii="Times New Roman" w:hAnsi="Times New Roman" w:eastAsia="Times New Roman"/>
          <w:b w:val="0"/>
          <w:i/>
          <w:sz w:val="20"/>
          <w:vertAlign w:val="subscript"/>
        </w:rPr>
        <w:t>c</w:t>
      </w:r>
      <w:r>
        <w:rPr>
          <w:rFonts w:ascii="Times New Roman" w:hAnsi="Times New Roman" w:eastAsia="Times New Roman"/>
          <w:b w:val="0"/>
          <w:i w:val="0"/>
          <w:sz w:val="20"/>
        </w:rPr>
        <w:t xml:space="preserve"> and recall </w:t>
      </w:r>
      <w:r>
        <w:rPr>
          <w:rFonts w:ascii="Times New Roman" w:hAnsi="Times New Roman" w:eastAsia="Times New Roman"/>
          <w:b w:val="0"/>
          <w:i/>
          <w:sz w:val="20"/>
        </w:rPr>
        <w:t>R</w:t>
      </w:r>
      <w:r>
        <w:rPr>
          <w:rFonts w:ascii="Times New Roman" w:hAnsi="Times New Roman" w:eastAsia="Times New Roman"/>
          <w:b w:val="0"/>
          <w:i/>
          <w:sz w:val="20"/>
          <w:vertAlign w:val="subscript"/>
        </w:rPr>
        <w:t>c</w:t>
      </w:r>
      <w:r>
        <w:rPr>
          <w:rFonts w:ascii="Times New Roman" w:hAnsi="Times New Roman" w:eastAsia="Times New Roman"/>
          <w:b w:val="0"/>
          <w:i w:val="0"/>
          <w:sz w:val="20"/>
        </w:rPr>
        <w:t xml:space="preserve">, </w:t>
      </w:r>
      <w:r>
        <w:rPr>
          <w:rFonts w:ascii="Times New Roman" w:hAnsi="Times New Roman" w:eastAsia="Times New Roman"/>
          <w:b w:val="0"/>
          <w:i/>
          <w:sz w:val="20"/>
        </w:rPr>
        <w:t>F</w:t>
      </w:r>
      <w:r>
        <w:rPr>
          <w:rFonts w:ascii="Times New Roman" w:hAnsi="Times New Roman" w:eastAsia="Times New Roman"/>
          <w:b w:val="0"/>
          <w:i w:val="0"/>
          <w:sz w:val="20"/>
        </w:rPr>
        <w:t>1</w:t>
      </w:r>
      <w:r>
        <w:rPr>
          <w:rFonts w:ascii="Times New Roman" w:hAnsi="Times New Roman" w:eastAsia="Times New Roman"/>
          <w:b w:val="0"/>
          <w:i/>
          <w:sz w:val="20"/>
          <w:vertAlign w:val="subscript"/>
        </w:rPr>
        <w:t>c</w:t>
      </w:r>
      <w:r>
        <w:rPr>
          <w:rFonts w:ascii="Times New Roman" w:hAnsi="Times New Roman" w:eastAsia="Times New Roman"/>
          <w:b w:val="0"/>
          <w:i w:val="0"/>
          <w:sz w:val="20"/>
        </w:rPr>
        <w:t>=2</w:t>
      </w:r>
      <w:r>
        <w:rPr>
          <w:rFonts w:ascii="Times New Roman" w:hAnsi="Times New Roman" w:eastAsia="Times New Roman"/>
          <w:b w:val="0"/>
          <w:i/>
          <w:sz w:val="20"/>
        </w:rPr>
        <w:t>P</w:t>
      </w:r>
      <w:r>
        <w:rPr>
          <w:rFonts w:ascii="Times New Roman" w:hAnsi="Times New Roman" w:eastAsia="Times New Roman"/>
          <w:b w:val="0"/>
          <w:i/>
          <w:sz w:val="20"/>
          <w:vertAlign w:val="subscript"/>
        </w:rPr>
        <w:t>c</w:t>
      </w:r>
      <w:r>
        <w:rPr>
          <w:rFonts w:ascii="Times New Roman" w:hAnsi="Times New Roman" w:eastAsia="Times New Roman"/>
          <w:b w:val="0"/>
          <w:i/>
          <w:sz w:val="20"/>
        </w:rPr>
        <w:t>R</w:t>
      </w:r>
      <w:r>
        <w:rPr>
          <w:rFonts w:ascii="Times New Roman" w:hAnsi="Times New Roman" w:eastAsia="Times New Roman"/>
          <w:b w:val="0"/>
          <w:i/>
          <w:sz w:val="20"/>
          <w:vertAlign w:val="subscript"/>
        </w:rPr>
        <w:t>c</w:t>
      </w:r>
      <w:r>
        <w:rPr>
          <w:rFonts w:ascii="Times New Roman" w:hAnsi="Times New Roman" w:eastAsia="Times New Roman"/>
          <w:b w:val="0"/>
          <w:i w:val="0"/>
          <w:sz w:val="20"/>
        </w:rPr>
        <w:t>/(</w:t>
      </w:r>
      <w:r>
        <w:rPr>
          <w:rFonts w:ascii="Times New Roman" w:hAnsi="Times New Roman" w:eastAsia="Times New Roman"/>
          <w:b w:val="0"/>
          <w:i/>
          <w:sz w:val="20"/>
        </w:rPr>
        <w:t>P</w:t>
      </w:r>
      <w:r>
        <w:rPr>
          <w:rFonts w:ascii="Times New Roman" w:hAnsi="Times New Roman" w:eastAsia="Times New Roman"/>
          <w:b w:val="0"/>
          <w:i/>
          <w:sz w:val="20"/>
          <w:vertAlign w:val="subscript"/>
        </w:rPr>
        <w:t>c</w:t>
      </w:r>
      <w:r>
        <w:rPr>
          <w:rFonts w:ascii="Times New Roman" w:hAnsi="Times New Roman" w:eastAsia="Times New Roman"/>
          <w:b w:val="0"/>
          <w:i w:val="0"/>
          <w:sz w:val="20"/>
        </w:rPr>
        <w:t>+</w:t>
      </w:r>
      <w:r>
        <w:rPr>
          <w:rFonts w:ascii="Times New Roman" w:hAnsi="Times New Roman" w:eastAsia="Times New Roman"/>
          <w:b w:val="0"/>
          <w:i/>
          <w:sz w:val="20"/>
        </w:rPr>
        <w:t>R</w:t>
      </w:r>
      <w:r>
        <w:rPr>
          <w:rFonts w:ascii="Times New Roman" w:hAnsi="Times New Roman" w:eastAsia="Times New Roman"/>
          <w:b w:val="0"/>
          <w:i/>
          <w:sz w:val="20"/>
          <w:vertAlign w:val="subscript"/>
        </w:rPr>
        <w:t>c</w:t>
      </w:r>
      <w:r>
        <w:rPr>
          <w:rFonts w:ascii="Times New Roman" w:hAnsi="Times New Roman" w:eastAsia="Times New Roman"/>
          <w:b w:val="0"/>
          <w:i w:val="0"/>
          <w:sz w:val="20"/>
        </w:rPr>
        <w:t>) and macro-F1 is 1/3</w:t>
      </w:r>
      <w:r>
        <w:rPr>
          <w:rFonts w:ascii="Times New Roman" w:hAnsi="Times New Roman" w:eastAsia="Times New Roman"/>
          <w:b w:val="0"/>
          <w:i w:val="0"/>
          <w:sz w:val="20"/>
        </w:rPr>
        <w:t>∑</w:t>
      </w:r>
      <w:r>
        <w:rPr>
          <w:rFonts w:ascii="Times New Roman" w:hAnsi="Times New Roman" w:eastAsia="Times New Roman"/>
          <w:b w:val="0"/>
          <w:i/>
          <w:sz w:val="20"/>
          <w:vertAlign w:val="subscript"/>
        </w:rPr>
        <w:t>c</w:t>
      </w:r>
      <w:r>
        <w:rPr>
          <w:rFonts w:ascii="Times New Roman" w:hAnsi="Times New Roman" w:eastAsia="Times New Roman"/>
          <w:b w:val="0"/>
          <w:i/>
          <w:sz w:val="20"/>
        </w:rPr>
        <w:t>F</w:t>
      </w:r>
      <w:r>
        <w:rPr>
          <w:rFonts w:ascii="Times New Roman" w:hAnsi="Times New Roman" w:eastAsia="Times New Roman"/>
          <w:b w:val="0"/>
          <w:i w:val="0"/>
          <w:sz w:val="20"/>
        </w:rPr>
        <w:t>1</w:t>
      </w:r>
      <w:r>
        <w:rPr>
          <w:rFonts w:ascii="Times New Roman" w:hAnsi="Times New Roman" w:eastAsia="Times New Roman"/>
          <w:b w:val="0"/>
          <w:i/>
          <w:sz w:val="20"/>
          <w:vertAlign w:val="subscript"/>
        </w:rPr>
        <w:t>c</w:t>
      </w:r>
      <w:r>
        <w:rPr>
          <w:rFonts w:ascii="Times New Roman" w:hAnsi="Times New Roman" w:eastAsia="Times New Roman"/>
          <w:b w:val="0"/>
          <w:i w:val="0"/>
          <w:sz w:val="20"/>
        </w:rPr>
        <w:t>, which weights the 7% neutral class equally with the 80% positive class.</w:t>
      </w:r>
    </w:p>
    <w:p>
      <w:pPr>
        <w:keepNext/>
        <w:widowControl/>
        <w:spacing w:after="40" w:before="100"/>
        <w:jc w:val="left"/>
      </w:pPr>
      <w:r>
        <w:rPr>
          <w:rFonts w:ascii="Times New Roman" w:hAnsi="Times New Roman" w:eastAsia="Times New Roman"/>
          <w:b w:val="0"/>
          <w:i/>
          <w:sz w:val="20"/>
        </w:rPr>
        <w:t>E. Reproducibility</w:t>
      </w:r>
    </w:p>
    <w:p>
      <w:pPr>
        <w:keepNext w:val="0"/>
        <w:widowControl/>
        <w:spacing w:after="0" w:before="0"/>
        <w:ind w:firstLine="245"/>
        <w:jc w:val="both"/>
      </w:pPr>
      <w:r>
        <w:rPr>
          <w:rFonts w:ascii="Times New Roman" w:hAnsi="Times New Roman" w:eastAsia="Times New Roman"/>
          <w:b w:val="0"/>
          <w:i w:val="0"/>
          <w:sz w:val="20"/>
        </w:rPr>
        <w:t>All reported numbers are regenerated from saved artefacts by scripts (data preparation, per-model training, the ablation runner and a shared evaluation script) with fixed seeds: 42 for the splits and the reported LSTM, and 42, 43 and 44 for the ablation.</w:t>
      </w:r>
    </w:p>
    <w:p>
      <w:pPr>
        <w:keepNext/>
        <w:widowControl/>
        <w:spacing w:after="80" w:before="160"/>
        <w:jc w:val="center"/>
      </w:pPr>
      <w:r>
        <w:rPr>
          <w:rFonts w:ascii="Times New Roman" w:hAnsi="Times New Roman" w:eastAsia="Times New Roman"/>
          <w:b w:val="0"/>
          <w:i w:val="0"/>
          <w:sz w:val="20"/>
        </w:rPr>
        <w:t>VI. RESULTS AND DISCUSSION</w:t>
      </w:r>
    </w:p>
    <w:p>
      <w:pPr>
        <w:keepNext/>
        <w:widowControl/>
        <w:spacing w:after="40" w:before="100"/>
        <w:jc w:val="left"/>
      </w:pPr>
      <w:r>
        <w:rPr>
          <w:rFonts w:ascii="Times New Roman" w:hAnsi="Times New Roman" w:eastAsia="Times New Roman"/>
          <w:b w:val="0"/>
          <w:i/>
          <w:sz w:val="20"/>
        </w:rPr>
        <w:t>A. Sentiment classification</w:t>
      </w:r>
    </w:p>
    <w:p>
      <w:pPr>
        <w:keepNext w:val="0"/>
        <w:widowControl/>
        <w:spacing w:after="0" w:before="0"/>
        <w:ind w:firstLine="245"/>
        <w:jc w:val="both"/>
      </w:pPr>
      <w:r>
        <w:rPr>
          <w:rFonts w:ascii="Times New Roman" w:hAnsi="Times New Roman" w:eastAsia="Times New Roman"/>
          <w:b w:val="0"/>
          <w:i w:val="0"/>
          <w:sz w:val="20"/>
        </w:rPr>
        <w:t>Table II and Fig. 3 give the main comparison. Every trained model clearly outperforms the lexicon baseline, whose neutral-class F1 is only 0.08: VADER assigns the neutral label to few reviews, whereas “neutral” in rating space often means mixed or lukewarm text.</w:t>
      </w:r>
    </w:p>
    <w:p>
      <w:pPr>
        <w:keepNext/>
        <w:widowControl/>
        <w:spacing w:after="0" w:before="120"/>
        <w:jc w:val="center"/>
      </w:pPr>
      <w:r>
        <w:rPr>
          <w:rFonts w:ascii="Times New Roman" w:hAnsi="Times New Roman" w:eastAsia="Times New Roman"/>
          <w:b w:val="0"/>
          <w:i w:val="0"/>
          <w:smallCaps/>
          <w:sz w:val="16"/>
        </w:rPr>
        <w:t>TABLE II</w:t>
      </w:r>
    </w:p>
    <w:p>
      <w:pPr>
        <w:keepNext/>
        <w:widowControl/>
        <w:spacing w:after="60" w:before="0"/>
        <w:jc w:val="center"/>
      </w:pPr>
      <w:r>
        <w:rPr>
          <w:rFonts w:ascii="Times New Roman" w:hAnsi="Times New Roman" w:eastAsia="Times New Roman"/>
          <w:b w:val="0"/>
          <w:i w:val="0"/>
          <w:smallCaps/>
          <w:sz w:val="16"/>
        </w:rPr>
        <w:t>Sentiment results on the shared 10,000-review test set. Accuracy and macro-F1 are given with the half-width of the 95% bootstrap CI; best value per column in bold.</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1740"/>
        <w:gridCol w:w="1740"/>
        <w:gridCol w:w="1740"/>
        <w:gridCol w:w="1740"/>
        <w:gridCol w:w="1740"/>
        <w:gridCol w:w="1740"/>
      </w:tblGrid>
      <w:tr>
        <w:tc>
          <w:tcPr>
            <w:tcW w:type="dxa" w:w="1080"/>
            <w:tcBorders>
              <w:top w:val="single" w:sz="12" w:color="000000"/>
              <w:bottom w:val="single" w:sz="6" w:color="000000"/>
            </w:tcBorders>
          </w:tcPr>
          <w:p>
            <w:pPr>
              <w:jc w:val="left"/>
            </w:pPr>
            <w:r>
              <w:rPr>
                <w:rFonts w:ascii="Times New Roman" w:hAnsi="Times New Roman" w:eastAsia="Times New Roman"/>
                <w:b w:val="0"/>
                <w:i w:val="0"/>
                <w:sz w:val="14"/>
              </w:rPr>
              <w:t>Model</w:t>
            </w:r>
          </w:p>
        </w:tc>
        <w:tc>
          <w:tcPr>
            <w:tcW w:type="dxa" w:w="864"/>
            <w:tcBorders>
              <w:top w:val="single" w:sz="12" w:color="000000"/>
              <w:bottom w:val="single" w:sz="6" w:color="000000"/>
            </w:tcBorders>
          </w:tcPr>
          <w:p>
            <w:pPr>
              <w:jc w:val="center"/>
            </w:pPr>
            <w:r>
              <w:rPr>
                <w:rFonts w:ascii="Times New Roman" w:hAnsi="Times New Roman" w:eastAsia="Times New Roman"/>
                <w:b w:val="0"/>
                <w:i w:val="0"/>
                <w:sz w:val="14"/>
              </w:rPr>
              <w:t>Accuracy</w:t>
            </w:r>
          </w:p>
        </w:tc>
        <w:tc>
          <w:tcPr>
            <w:tcW w:type="dxa" w:w="864"/>
            <w:tcBorders>
              <w:top w:val="single" w:sz="12" w:color="000000"/>
              <w:bottom w:val="single" w:sz="6" w:color="000000"/>
            </w:tcBorders>
          </w:tcPr>
          <w:p>
            <w:pPr>
              <w:jc w:val="center"/>
            </w:pPr>
            <w:r>
              <w:rPr>
                <w:rFonts w:ascii="Times New Roman" w:hAnsi="Times New Roman" w:eastAsia="Times New Roman"/>
                <w:b w:val="0"/>
                <w:i w:val="0"/>
                <w:sz w:val="14"/>
              </w:rPr>
              <w:t>Macro-F1</w:t>
            </w:r>
          </w:p>
        </w:tc>
        <w:tc>
          <w:tcPr>
            <w:tcW w:type="dxa" w:w="749"/>
            <w:tcBorders>
              <w:top w:val="single" w:sz="12" w:color="000000"/>
              <w:bottom w:val="single" w:sz="6" w:color="000000"/>
            </w:tcBorders>
          </w:tcPr>
          <w:p>
            <w:pPr>
              <w:jc w:val="center"/>
            </w:pPr>
            <w:r>
              <w:rPr>
                <w:rFonts w:ascii="Times New Roman" w:hAnsi="Times New Roman" w:eastAsia="Times New Roman"/>
                <w:b w:val="0"/>
                <w:i w:val="0"/>
                <w:sz w:val="14"/>
              </w:rPr>
              <w:t>F1</w:t>
            </w:r>
            <w:r>
              <w:rPr>
                <w:rFonts w:ascii="Times New Roman" w:hAnsi="Times New Roman" w:eastAsia="Times New Roman"/>
                <w:b w:val="0"/>
                <w:i w:val="0"/>
                <w:sz w:val="14"/>
                <w:vertAlign w:val="subscript"/>
              </w:rPr>
              <w:t>neg</w:t>
            </w:r>
          </w:p>
        </w:tc>
        <w:tc>
          <w:tcPr>
            <w:tcW w:type="dxa" w:w="749"/>
            <w:tcBorders>
              <w:top w:val="single" w:sz="12" w:color="000000"/>
              <w:bottom w:val="single" w:sz="6" w:color="000000"/>
            </w:tcBorders>
          </w:tcPr>
          <w:p>
            <w:pPr>
              <w:jc w:val="center"/>
            </w:pPr>
            <w:r>
              <w:rPr>
                <w:rFonts w:ascii="Times New Roman" w:hAnsi="Times New Roman" w:eastAsia="Times New Roman"/>
                <w:b w:val="0"/>
                <w:i w:val="0"/>
                <w:sz w:val="14"/>
              </w:rPr>
              <w:t>F1</w:t>
            </w:r>
            <w:r>
              <w:rPr>
                <w:rFonts w:ascii="Times New Roman" w:hAnsi="Times New Roman" w:eastAsia="Times New Roman"/>
                <w:b w:val="0"/>
                <w:i w:val="0"/>
                <w:sz w:val="14"/>
                <w:vertAlign w:val="subscript"/>
              </w:rPr>
              <w:t>neu</w:t>
            </w:r>
          </w:p>
        </w:tc>
        <w:tc>
          <w:tcPr>
            <w:tcW w:type="dxa" w:w="734"/>
            <w:tcBorders>
              <w:top w:val="single" w:sz="12" w:color="000000"/>
              <w:bottom w:val="single" w:sz="6" w:color="000000"/>
            </w:tcBorders>
          </w:tcPr>
          <w:p>
            <w:pPr>
              <w:jc w:val="center"/>
            </w:pPr>
            <w:r>
              <w:rPr>
                <w:rFonts w:ascii="Times New Roman" w:hAnsi="Times New Roman" w:eastAsia="Times New Roman"/>
                <w:b w:val="0"/>
                <w:i w:val="0"/>
                <w:sz w:val="14"/>
              </w:rPr>
              <w:t>F1</w:t>
            </w:r>
            <w:r>
              <w:rPr>
                <w:rFonts w:ascii="Times New Roman" w:hAnsi="Times New Roman" w:eastAsia="Times New Roman"/>
                <w:b w:val="0"/>
                <w:i w:val="0"/>
                <w:sz w:val="14"/>
                <w:vertAlign w:val="subscript"/>
              </w:rPr>
              <w:t>pos</w:t>
            </w:r>
          </w:p>
        </w:tc>
      </w:tr>
      <w:tr>
        <w:tc>
          <w:tcPr>
            <w:tcW w:type="dxa" w:w="1080"/>
          </w:tcPr>
          <w:p>
            <w:pPr>
              <w:jc w:val="left"/>
            </w:pPr>
            <w:r>
              <w:rPr>
                <w:rFonts w:ascii="Times New Roman" w:hAnsi="Times New Roman" w:eastAsia="Times New Roman"/>
                <w:b w:val="0"/>
                <w:i w:val="0"/>
                <w:sz w:val="14"/>
              </w:rPr>
              <w:t>VADER</w:t>
            </w:r>
          </w:p>
        </w:tc>
        <w:tc>
          <w:tcPr>
            <w:tcW w:type="dxa" w:w="864"/>
          </w:tcPr>
          <w:p>
            <w:pPr>
              <w:jc w:val="center"/>
            </w:pPr>
            <w:r>
              <w:rPr>
                <w:rFonts w:ascii="Times New Roman" w:hAnsi="Times New Roman" w:eastAsia="Times New Roman"/>
                <w:b w:val="0"/>
                <w:i w:val="0"/>
                <w:sz w:val="14"/>
              </w:rPr>
              <w:t>.813</w:t>
            </w:r>
            <w:r>
              <w:rPr>
                <w:rFonts w:ascii="Times New Roman" w:hAnsi="Times New Roman" w:eastAsia="Times New Roman"/>
                <w:b w:val="0"/>
                <w:i w:val="0"/>
                <w:sz w:val="14"/>
              </w:rPr>
              <w:t>±</w:t>
            </w:r>
            <w:r>
              <w:rPr>
                <w:rFonts w:ascii="Times New Roman" w:hAnsi="Times New Roman" w:eastAsia="Times New Roman"/>
                <w:b w:val="0"/>
                <w:i w:val="0"/>
                <w:sz w:val="14"/>
              </w:rPr>
              <w:t>.008</w:t>
            </w:r>
          </w:p>
        </w:tc>
        <w:tc>
          <w:tcPr>
            <w:tcW w:type="dxa" w:w="864"/>
          </w:tcPr>
          <w:p>
            <w:pPr>
              <w:jc w:val="center"/>
            </w:pPr>
            <w:r>
              <w:rPr>
                <w:rFonts w:ascii="Times New Roman" w:hAnsi="Times New Roman" w:eastAsia="Times New Roman"/>
                <w:b w:val="0"/>
                <w:i w:val="0"/>
                <w:sz w:val="14"/>
              </w:rPr>
              <w:t>.512</w:t>
            </w:r>
            <w:r>
              <w:rPr>
                <w:rFonts w:ascii="Times New Roman" w:hAnsi="Times New Roman" w:eastAsia="Times New Roman"/>
                <w:b w:val="0"/>
                <w:i w:val="0"/>
                <w:sz w:val="14"/>
              </w:rPr>
              <w:t>±</w:t>
            </w:r>
            <w:r>
              <w:rPr>
                <w:rFonts w:ascii="Times New Roman" w:hAnsi="Times New Roman" w:eastAsia="Times New Roman"/>
                <w:b w:val="0"/>
                <w:i w:val="0"/>
                <w:sz w:val="14"/>
              </w:rPr>
              <w:t>.012</w:t>
            </w:r>
          </w:p>
        </w:tc>
        <w:tc>
          <w:tcPr>
            <w:tcW w:type="dxa" w:w="749"/>
          </w:tcPr>
          <w:p>
            <w:pPr>
              <w:jc w:val="center"/>
            </w:pPr>
            <w:r>
              <w:rPr>
                <w:rFonts w:ascii="Times New Roman" w:hAnsi="Times New Roman" w:eastAsia="Times New Roman"/>
                <w:b w:val="0"/>
                <w:i w:val="0"/>
                <w:sz w:val="14"/>
              </w:rPr>
              <w:t>.551</w:t>
            </w:r>
          </w:p>
        </w:tc>
        <w:tc>
          <w:tcPr>
            <w:tcW w:type="dxa" w:w="749"/>
          </w:tcPr>
          <w:p>
            <w:pPr>
              <w:jc w:val="center"/>
            </w:pPr>
            <w:r>
              <w:rPr>
                <w:rFonts w:ascii="Times New Roman" w:hAnsi="Times New Roman" w:eastAsia="Times New Roman"/>
                <w:b w:val="0"/>
                <w:i w:val="0"/>
                <w:sz w:val="14"/>
              </w:rPr>
              <w:t>.080</w:t>
            </w:r>
          </w:p>
        </w:tc>
        <w:tc>
          <w:tcPr>
            <w:tcW w:type="dxa" w:w="734"/>
          </w:tcPr>
          <w:p>
            <w:pPr>
              <w:jc w:val="center"/>
            </w:pPr>
            <w:r>
              <w:rPr>
                <w:rFonts w:ascii="Times New Roman" w:hAnsi="Times New Roman" w:eastAsia="Times New Roman"/>
                <w:b w:val="0"/>
                <w:i w:val="0"/>
                <w:sz w:val="14"/>
              </w:rPr>
              <w:t>.906</w:t>
            </w:r>
          </w:p>
        </w:tc>
      </w:tr>
      <w:tr>
        <w:tc>
          <w:tcPr>
            <w:tcW w:type="dxa" w:w="1080"/>
          </w:tcPr>
          <w:p>
            <w:pPr>
              <w:jc w:val="left"/>
            </w:pPr>
            <w:r>
              <w:rPr>
                <w:rFonts w:ascii="Times New Roman" w:hAnsi="Times New Roman" w:eastAsia="Times New Roman"/>
                <w:b w:val="0"/>
                <w:i w:val="0"/>
                <w:sz w:val="14"/>
              </w:rPr>
              <w:t>TF-IDF + LR</w:t>
            </w:r>
          </w:p>
        </w:tc>
        <w:tc>
          <w:tcPr>
            <w:tcW w:type="dxa" w:w="864"/>
          </w:tcPr>
          <w:p>
            <w:pPr>
              <w:jc w:val="center"/>
            </w:pPr>
            <w:r>
              <w:rPr>
                <w:rFonts w:ascii="Times New Roman" w:hAnsi="Times New Roman" w:eastAsia="Times New Roman"/>
                <w:b w:val="0"/>
                <w:i w:val="0"/>
                <w:sz w:val="14"/>
              </w:rPr>
              <w:t>.860</w:t>
            </w:r>
            <w:r>
              <w:rPr>
                <w:rFonts w:ascii="Times New Roman" w:hAnsi="Times New Roman" w:eastAsia="Times New Roman"/>
                <w:b w:val="0"/>
                <w:i w:val="0"/>
                <w:sz w:val="14"/>
              </w:rPr>
              <w:t>±</w:t>
            </w:r>
            <w:r>
              <w:rPr>
                <w:rFonts w:ascii="Times New Roman" w:hAnsi="Times New Roman" w:eastAsia="Times New Roman"/>
                <w:b w:val="0"/>
                <w:i w:val="0"/>
                <w:sz w:val="14"/>
              </w:rPr>
              <w:t>.007</w:t>
            </w:r>
          </w:p>
        </w:tc>
        <w:tc>
          <w:tcPr>
            <w:tcW w:type="dxa" w:w="864"/>
          </w:tcPr>
          <w:p>
            <w:pPr>
              <w:jc w:val="center"/>
            </w:pPr>
            <w:r>
              <w:rPr>
                <w:rFonts w:ascii="Times New Roman" w:hAnsi="Times New Roman" w:eastAsia="Times New Roman"/>
                <w:b w:val="0"/>
                <w:i w:val="0"/>
                <w:sz w:val="14"/>
              </w:rPr>
              <w:t>.689</w:t>
            </w:r>
            <w:r>
              <w:rPr>
                <w:rFonts w:ascii="Times New Roman" w:hAnsi="Times New Roman" w:eastAsia="Times New Roman"/>
                <w:b w:val="0"/>
                <w:i w:val="0"/>
                <w:sz w:val="14"/>
              </w:rPr>
              <w:t>±</w:t>
            </w:r>
            <w:r>
              <w:rPr>
                <w:rFonts w:ascii="Times New Roman" w:hAnsi="Times New Roman" w:eastAsia="Times New Roman"/>
                <w:b w:val="0"/>
                <w:i w:val="0"/>
                <w:sz w:val="14"/>
              </w:rPr>
              <w:t>.013</w:t>
            </w:r>
          </w:p>
        </w:tc>
        <w:tc>
          <w:tcPr>
            <w:tcW w:type="dxa" w:w="749"/>
          </w:tcPr>
          <w:p>
            <w:pPr>
              <w:jc w:val="center"/>
            </w:pPr>
            <w:r>
              <w:rPr>
                <w:rFonts w:ascii="Times New Roman" w:hAnsi="Times New Roman" w:eastAsia="Times New Roman"/>
                <w:b w:val="0"/>
                <w:i w:val="0"/>
                <w:sz w:val="14"/>
              </w:rPr>
              <w:t>.733</w:t>
            </w:r>
          </w:p>
        </w:tc>
        <w:tc>
          <w:tcPr>
            <w:tcW w:type="dxa" w:w="749"/>
          </w:tcPr>
          <w:p>
            <w:pPr>
              <w:jc w:val="center"/>
            </w:pPr>
            <w:r>
              <w:rPr>
                <w:rFonts w:ascii="Times New Roman" w:hAnsi="Times New Roman" w:eastAsia="Times New Roman"/>
                <w:b w:val="0"/>
                <w:i w:val="0"/>
                <w:sz w:val="14"/>
              </w:rPr>
              <w:t>.400</w:t>
            </w:r>
          </w:p>
        </w:tc>
        <w:tc>
          <w:tcPr>
            <w:tcW w:type="dxa" w:w="734"/>
          </w:tcPr>
          <w:p>
            <w:pPr>
              <w:jc w:val="center"/>
            </w:pPr>
            <w:r>
              <w:rPr>
                <w:rFonts w:ascii="Times New Roman" w:hAnsi="Times New Roman" w:eastAsia="Times New Roman"/>
                <w:b w:val="0"/>
                <w:i w:val="0"/>
                <w:sz w:val="14"/>
              </w:rPr>
              <w:t>.935</w:t>
            </w:r>
          </w:p>
        </w:tc>
      </w:tr>
      <w:tr>
        <w:tc>
          <w:tcPr>
            <w:tcW w:type="dxa" w:w="1080"/>
          </w:tcPr>
          <w:p>
            <w:pPr>
              <w:jc w:val="left"/>
            </w:pPr>
            <w:r>
              <w:rPr>
                <w:rFonts w:ascii="Times New Roman" w:hAnsi="Times New Roman" w:eastAsia="Times New Roman"/>
                <w:b w:val="0"/>
                <w:i w:val="0"/>
                <w:sz w:val="14"/>
              </w:rPr>
              <w:t>TF-IDF + SVM</w:t>
            </w:r>
          </w:p>
        </w:tc>
        <w:tc>
          <w:tcPr>
            <w:tcW w:type="dxa" w:w="864"/>
          </w:tcPr>
          <w:p>
            <w:pPr>
              <w:jc w:val="center"/>
            </w:pPr>
            <w:r>
              <w:rPr>
                <w:rFonts w:ascii="Times New Roman" w:hAnsi="Times New Roman" w:eastAsia="Times New Roman"/>
                <w:b w:val="0"/>
                <w:i w:val="0"/>
                <w:sz w:val="14"/>
              </w:rPr>
              <w:t>.888</w:t>
            </w:r>
            <w:r>
              <w:rPr>
                <w:rFonts w:ascii="Times New Roman" w:hAnsi="Times New Roman" w:eastAsia="Times New Roman"/>
                <w:b w:val="0"/>
                <w:i w:val="0"/>
                <w:sz w:val="14"/>
              </w:rPr>
              <w:t>±</w:t>
            </w:r>
            <w:r>
              <w:rPr>
                <w:rFonts w:ascii="Times New Roman" w:hAnsi="Times New Roman" w:eastAsia="Times New Roman"/>
                <w:b w:val="0"/>
                <w:i w:val="0"/>
                <w:sz w:val="14"/>
              </w:rPr>
              <w:t>.006</w:t>
            </w:r>
          </w:p>
        </w:tc>
        <w:tc>
          <w:tcPr>
            <w:tcW w:type="dxa" w:w="864"/>
          </w:tcPr>
          <w:p>
            <w:pPr>
              <w:jc w:val="center"/>
            </w:pPr>
            <w:r>
              <w:rPr>
                <w:rFonts w:ascii="Times New Roman" w:hAnsi="Times New Roman" w:eastAsia="Times New Roman"/>
                <w:b w:val="0"/>
                <w:i w:val="0"/>
                <w:sz w:val="14"/>
              </w:rPr>
              <w:t>.693</w:t>
            </w:r>
            <w:r>
              <w:rPr>
                <w:rFonts w:ascii="Times New Roman" w:hAnsi="Times New Roman" w:eastAsia="Times New Roman"/>
                <w:b w:val="0"/>
                <w:i w:val="0"/>
                <w:sz w:val="14"/>
              </w:rPr>
              <w:t>±</w:t>
            </w:r>
            <w:r>
              <w:rPr>
                <w:rFonts w:ascii="Times New Roman" w:hAnsi="Times New Roman" w:eastAsia="Times New Roman"/>
                <w:b w:val="0"/>
                <w:i w:val="0"/>
                <w:sz w:val="14"/>
              </w:rPr>
              <w:t>.014</w:t>
            </w:r>
          </w:p>
        </w:tc>
        <w:tc>
          <w:tcPr>
            <w:tcW w:type="dxa" w:w="749"/>
          </w:tcPr>
          <w:p>
            <w:pPr>
              <w:jc w:val="center"/>
            </w:pPr>
            <w:r>
              <w:rPr>
                <w:rFonts w:ascii="Times New Roman" w:hAnsi="Times New Roman" w:eastAsia="Times New Roman"/>
                <w:b w:val="0"/>
                <w:i w:val="0"/>
                <w:sz w:val="14"/>
              </w:rPr>
              <w:t>.747</w:t>
            </w:r>
          </w:p>
        </w:tc>
        <w:tc>
          <w:tcPr>
            <w:tcW w:type="dxa" w:w="749"/>
          </w:tcPr>
          <w:p>
            <w:pPr>
              <w:jc w:val="center"/>
            </w:pPr>
            <w:r>
              <w:rPr>
                <w:rFonts w:ascii="Times New Roman" w:hAnsi="Times New Roman" w:eastAsia="Times New Roman"/>
                <w:b w:val="0"/>
                <w:i w:val="0"/>
                <w:sz w:val="14"/>
              </w:rPr>
              <w:t>.382</w:t>
            </w:r>
          </w:p>
        </w:tc>
        <w:tc>
          <w:tcPr>
            <w:tcW w:type="dxa" w:w="734"/>
          </w:tcPr>
          <w:p>
            <w:pPr>
              <w:jc w:val="center"/>
            </w:pPr>
            <w:r>
              <w:rPr>
                <w:rFonts w:ascii="Times New Roman" w:hAnsi="Times New Roman" w:eastAsia="Times New Roman"/>
                <w:b w:val="0"/>
                <w:i w:val="0"/>
                <w:sz w:val="14"/>
              </w:rPr>
              <w:t>.950</w:t>
            </w:r>
          </w:p>
        </w:tc>
      </w:tr>
      <w:tr>
        <w:tc>
          <w:tcPr>
            <w:tcW w:type="dxa" w:w="1080"/>
          </w:tcPr>
          <w:p>
            <w:pPr>
              <w:jc w:val="left"/>
            </w:pPr>
            <w:r>
              <w:rPr>
                <w:rFonts w:ascii="Times New Roman" w:hAnsi="Times New Roman" w:eastAsia="Times New Roman"/>
                <w:b w:val="0"/>
                <w:i w:val="0"/>
                <w:sz w:val="14"/>
              </w:rPr>
              <w:t>BiLSTM + Attn.</w:t>
            </w:r>
          </w:p>
        </w:tc>
        <w:tc>
          <w:tcPr>
            <w:tcW w:type="dxa" w:w="864"/>
          </w:tcPr>
          <w:p>
            <w:pPr>
              <w:jc w:val="center"/>
            </w:pPr>
            <w:r>
              <w:rPr>
                <w:rFonts w:ascii="Times New Roman" w:hAnsi="Times New Roman" w:eastAsia="Times New Roman"/>
                <w:b w:val="0"/>
                <w:i w:val="0"/>
                <w:sz w:val="14"/>
              </w:rPr>
              <w:t>.888</w:t>
            </w:r>
            <w:r>
              <w:rPr>
                <w:rFonts w:ascii="Times New Roman" w:hAnsi="Times New Roman" w:eastAsia="Times New Roman"/>
                <w:b w:val="0"/>
                <w:i w:val="0"/>
                <w:sz w:val="14"/>
              </w:rPr>
              <w:t>±</w:t>
            </w:r>
            <w:r>
              <w:rPr>
                <w:rFonts w:ascii="Times New Roman" w:hAnsi="Times New Roman" w:eastAsia="Times New Roman"/>
                <w:b w:val="0"/>
                <w:i w:val="0"/>
                <w:sz w:val="14"/>
              </w:rPr>
              <w:t>.006</w:t>
            </w:r>
          </w:p>
        </w:tc>
        <w:tc>
          <w:tcPr>
            <w:tcW w:type="dxa" w:w="864"/>
          </w:tcPr>
          <w:p>
            <w:pPr>
              <w:jc w:val="center"/>
            </w:pPr>
            <w:r>
              <w:rPr>
                <w:rFonts w:ascii="Times New Roman" w:hAnsi="Times New Roman" w:eastAsia="Times New Roman"/>
                <w:b/>
                <w:i w:val="0"/>
                <w:sz w:val="14"/>
              </w:rPr>
              <w:t>.718</w:t>
            </w:r>
            <w:r>
              <w:rPr>
                <w:rFonts w:ascii="Times New Roman" w:hAnsi="Times New Roman" w:eastAsia="Times New Roman"/>
                <w:b w:val="0"/>
                <w:i w:val="0"/>
                <w:sz w:val="14"/>
              </w:rPr>
              <w:t>±</w:t>
            </w:r>
            <w:r>
              <w:rPr>
                <w:rFonts w:ascii="Times New Roman" w:hAnsi="Times New Roman" w:eastAsia="Times New Roman"/>
                <w:b w:val="0"/>
                <w:i w:val="0"/>
                <w:sz w:val="14"/>
              </w:rPr>
              <w:t>.013</w:t>
            </w:r>
          </w:p>
        </w:tc>
        <w:tc>
          <w:tcPr>
            <w:tcW w:type="dxa" w:w="749"/>
          </w:tcPr>
          <w:p>
            <w:pPr>
              <w:jc w:val="center"/>
            </w:pPr>
            <w:r>
              <w:rPr>
                <w:rFonts w:ascii="Times New Roman" w:hAnsi="Times New Roman" w:eastAsia="Times New Roman"/>
                <w:b w:val="0"/>
                <w:i w:val="0"/>
                <w:sz w:val="14"/>
              </w:rPr>
              <w:t>.754</w:t>
            </w:r>
          </w:p>
        </w:tc>
        <w:tc>
          <w:tcPr>
            <w:tcW w:type="dxa" w:w="749"/>
          </w:tcPr>
          <w:p>
            <w:pPr>
              <w:jc w:val="center"/>
            </w:pPr>
            <w:r>
              <w:rPr>
                <w:rFonts w:ascii="Times New Roman" w:hAnsi="Times New Roman" w:eastAsia="Times New Roman"/>
                <w:b/>
                <w:i w:val="0"/>
                <w:sz w:val="14"/>
              </w:rPr>
              <w:t>.446</w:t>
            </w:r>
          </w:p>
        </w:tc>
        <w:tc>
          <w:tcPr>
            <w:tcW w:type="dxa" w:w="734"/>
          </w:tcPr>
          <w:p>
            <w:pPr>
              <w:jc w:val="center"/>
            </w:pPr>
            <w:r>
              <w:rPr>
                <w:rFonts w:ascii="Times New Roman" w:hAnsi="Times New Roman" w:eastAsia="Times New Roman"/>
                <w:b w:val="0"/>
                <w:i w:val="0"/>
                <w:sz w:val="14"/>
              </w:rPr>
              <w:t>.954</w:t>
            </w:r>
          </w:p>
        </w:tc>
      </w:tr>
      <w:tr>
        <w:tc>
          <w:tcPr>
            <w:tcW w:type="dxa" w:w="1080"/>
            <w:tcBorders>
              <w:bottom w:val="single" w:sz="12" w:color="000000"/>
            </w:tcBorders>
          </w:tcPr>
          <w:p>
            <w:pPr>
              <w:jc w:val="left"/>
            </w:pPr>
            <w:r>
              <w:rPr>
                <w:rFonts w:ascii="Times New Roman" w:hAnsi="Times New Roman" w:eastAsia="Times New Roman"/>
                <w:b w:val="0"/>
                <w:i w:val="0"/>
                <w:sz w:val="14"/>
              </w:rPr>
              <w:t>DistilBERT</w:t>
            </w:r>
          </w:p>
        </w:tc>
        <w:tc>
          <w:tcPr>
            <w:tcW w:type="dxa" w:w="864"/>
            <w:tcBorders>
              <w:bottom w:val="single" w:sz="12" w:color="000000"/>
            </w:tcBorders>
          </w:tcPr>
          <w:p>
            <w:pPr>
              <w:jc w:val="center"/>
            </w:pPr>
            <w:r>
              <w:rPr>
                <w:rFonts w:ascii="Times New Roman" w:hAnsi="Times New Roman" w:eastAsia="Times New Roman"/>
                <w:b/>
                <w:i w:val="0"/>
                <w:sz w:val="14"/>
              </w:rPr>
              <w:t>.899</w:t>
            </w:r>
            <w:r>
              <w:rPr>
                <w:rFonts w:ascii="Times New Roman" w:hAnsi="Times New Roman" w:eastAsia="Times New Roman"/>
                <w:b w:val="0"/>
                <w:i w:val="0"/>
                <w:sz w:val="14"/>
              </w:rPr>
              <w:t>±</w:t>
            </w:r>
            <w:r>
              <w:rPr>
                <w:rFonts w:ascii="Times New Roman" w:hAnsi="Times New Roman" w:eastAsia="Times New Roman"/>
                <w:b w:val="0"/>
                <w:i w:val="0"/>
                <w:sz w:val="14"/>
              </w:rPr>
              <w:t>.006</w:t>
            </w:r>
          </w:p>
        </w:tc>
        <w:tc>
          <w:tcPr>
            <w:tcW w:type="dxa" w:w="864"/>
            <w:tcBorders>
              <w:bottom w:val="single" w:sz="12" w:color="000000"/>
            </w:tcBorders>
          </w:tcPr>
          <w:p>
            <w:pPr>
              <w:jc w:val="center"/>
            </w:pPr>
            <w:r>
              <w:rPr>
                <w:rFonts w:ascii="Times New Roman" w:hAnsi="Times New Roman" w:eastAsia="Times New Roman"/>
                <w:b w:val="0"/>
                <w:i w:val="0"/>
                <w:sz w:val="14"/>
              </w:rPr>
              <w:t>.702</w:t>
            </w:r>
            <w:r>
              <w:rPr>
                <w:rFonts w:ascii="Times New Roman" w:hAnsi="Times New Roman" w:eastAsia="Times New Roman"/>
                <w:b w:val="0"/>
                <w:i w:val="0"/>
                <w:sz w:val="14"/>
              </w:rPr>
              <w:t>±</w:t>
            </w:r>
            <w:r>
              <w:rPr>
                <w:rFonts w:ascii="Times New Roman" w:hAnsi="Times New Roman" w:eastAsia="Times New Roman"/>
                <w:b w:val="0"/>
                <w:i w:val="0"/>
                <w:sz w:val="14"/>
              </w:rPr>
              <w:t>.015</w:t>
            </w:r>
          </w:p>
        </w:tc>
        <w:tc>
          <w:tcPr>
            <w:tcW w:type="dxa" w:w="749"/>
            <w:tcBorders>
              <w:bottom w:val="single" w:sz="12" w:color="000000"/>
            </w:tcBorders>
          </w:tcPr>
          <w:p>
            <w:pPr>
              <w:jc w:val="center"/>
            </w:pPr>
            <w:r>
              <w:rPr>
                <w:rFonts w:ascii="Times New Roman" w:hAnsi="Times New Roman" w:eastAsia="Times New Roman"/>
                <w:b/>
                <w:i w:val="0"/>
                <w:sz w:val="14"/>
              </w:rPr>
              <w:t>.780</w:t>
            </w:r>
          </w:p>
        </w:tc>
        <w:tc>
          <w:tcPr>
            <w:tcW w:type="dxa" w:w="749"/>
            <w:tcBorders>
              <w:bottom w:val="single" w:sz="12" w:color="000000"/>
            </w:tcBorders>
          </w:tcPr>
          <w:p>
            <w:pPr>
              <w:jc w:val="center"/>
            </w:pPr>
            <w:r>
              <w:rPr>
                <w:rFonts w:ascii="Times New Roman" w:hAnsi="Times New Roman" w:eastAsia="Times New Roman"/>
                <w:b w:val="0"/>
                <w:i w:val="0"/>
                <w:sz w:val="14"/>
              </w:rPr>
              <w:t>.368</w:t>
            </w:r>
          </w:p>
        </w:tc>
        <w:tc>
          <w:tcPr>
            <w:tcW w:type="dxa" w:w="734"/>
            <w:tcBorders>
              <w:bottom w:val="single" w:sz="12" w:color="000000"/>
            </w:tcBorders>
          </w:tcPr>
          <w:p>
            <w:pPr>
              <w:jc w:val="center"/>
            </w:pPr>
            <w:r>
              <w:rPr>
                <w:rFonts w:ascii="Times New Roman" w:hAnsi="Times New Roman" w:eastAsia="Times New Roman"/>
                <w:b/>
                <w:i w:val="0"/>
                <w:sz w:val="14"/>
              </w:rPr>
              <w:t>.958</w:t>
            </w:r>
          </w:p>
        </w:tc>
      </w:tr>
    </w:tbl>
    <w:p>
      <w:pPr>
        <w:keepNext w:val="0"/>
        <w:widowControl/>
        <w:spacing w:after="0" w:before="0"/>
        <w:jc w:val="both"/>
      </w:pPr>
      <w:r>
        <w:rPr>
          <w:rFonts w:ascii="Times New Roman" w:hAnsi="Times New Roman" w:eastAsia="Times New Roman"/>
          <w:b w:val="0"/>
          <w:i w:val="0"/>
          <w:sz w:val="8"/>
        </w:rPr>
      </w:r>
    </w:p>
    <w:p>
      <w:pPr>
        <w:keepNext/>
        <w:spacing w:before="80"/>
        <w:jc w:val="center"/>
      </w:pPr>
      <w:r>
        <w:drawing>
          <wp:inline xmlns:a="http://schemas.openxmlformats.org/drawingml/2006/main" xmlns:pic="http://schemas.openxmlformats.org/drawingml/2006/picture">
            <wp:extent cx="3108960" cy="1659938"/>
            <wp:docPr id="3" name="Picture 3"/>
            <wp:cNvGraphicFramePr>
              <a:graphicFrameLocks noChangeAspect="1"/>
            </wp:cNvGraphicFramePr>
            <a:graphic>
              <a:graphicData uri="http://schemas.openxmlformats.org/drawingml/2006/picture">
                <pic:pic>
                  <pic:nvPicPr>
                    <pic:cNvPr id="0" name="fig_model_ci.png"/>
                    <pic:cNvPicPr/>
                  </pic:nvPicPr>
                  <pic:blipFill>
                    <a:blip r:embed="rId11"/>
                    <a:stretch>
                      <a:fillRect/>
                    </a:stretch>
                  </pic:blipFill>
                  <pic:spPr>
                    <a:xfrm>
                      <a:off x="0" y="0"/>
                      <a:ext cx="3108960" cy="1659938"/>
                    </a:xfrm>
                    <a:prstGeom prst="rect"/>
                  </pic:spPr>
                </pic:pic>
              </a:graphicData>
            </a:graphic>
          </wp:inline>
        </w:drawing>
      </w:r>
    </w:p>
    <w:p>
      <w:pPr>
        <w:keepNext w:val="0"/>
        <w:widowControl/>
        <w:spacing w:after="120" w:before="0"/>
        <w:jc w:val="both"/>
      </w:pPr>
      <w:r>
        <w:rPr>
          <w:rFonts w:ascii="Times New Roman" w:hAnsi="Times New Roman" w:eastAsia="Times New Roman"/>
          <w:b w:val="0"/>
          <w:i w:val="0"/>
          <w:sz w:val="16"/>
        </w:rPr>
        <w:t xml:space="preserve">Fig. 3. </w:t>
      </w:r>
      <w:r>
        <w:rPr>
          <w:rFonts w:ascii="Times New Roman" w:hAnsi="Times New Roman" w:eastAsia="Times New Roman"/>
          <w:b w:val="0"/>
          <w:i w:val="0"/>
          <w:sz w:val="16"/>
        </w:rPr>
        <w:t>Accuracy and macro-F1 with 95% bootstrap confidence intervals on the shared test set. Deep models are shown in orange.</w:t>
      </w:r>
    </w:p>
    <w:p>
      <w:pPr>
        <w:keepNext w:val="0"/>
        <w:widowControl/>
        <w:spacing w:after="0" w:before="0"/>
        <w:ind w:firstLine="245"/>
        <w:jc w:val="both"/>
      </w:pPr>
      <w:r>
        <w:rPr>
          <w:rFonts w:ascii="Times New Roman" w:hAnsi="Times New Roman" w:eastAsia="Times New Roman"/>
          <w:b w:val="0"/>
          <w:i w:val="0"/>
          <w:sz w:val="20"/>
        </w:rPr>
        <w:t>The two neural models are the strongest, but in different ways. DistilBERT has the highest accuracy and negative/positive F1, while the BiLSTM has the highest macro-F1 because it recovers the neutral class better (F1 0.446 versus 0.368 for DistilBERT and 0.382 for the SVM). Paired bootstrap tests (Table III) qualify these statements: the BiLSTM’s macro-F1 advantage over the SVM is significant, its advantage over DistilBERT is borderline and not significant at the 95% level, and DistilBERT’s accuracy advantage over both is significant. Notably, the BiLSTM and the SVM are indistinguishable in accuracy; the neural model’s gain is concentrated on minority classes.</w:t>
      </w:r>
    </w:p>
    <w:p>
      <w:pPr>
        <w:keepNext/>
        <w:widowControl/>
        <w:spacing w:after="0" w:before="120"/>
        <w:jc w:val="center"/>
      </w:pPr>
      <w:r>
        <w:rPr>
          <w:rFonts w:ascii="Times New Roman" w:hAnsi="Times New Roman" w:eastAsia="Times New Roman"/>
          <w:b w:val="0"/>
          <w:i w:val="0"/>
          <w:smallCaps/>
          <w:sz w:val="16"/>
        </w:rPr>
        <w:t>TABLE III</w:t>
      </w:r>
    </w:p>
    <w:p>
      <w:pPr>
        <w:keepNext/>
        <w:widowControl/>
        <w:spacing w:after="60" w:before="0"/>
        <w:jc w:val="center"/>
      </w:pPr>
      <w:r>
        <w:rPr>
          <w:rFonts w:ascii="Times New Roman" w:hAnsi="Times New Roman" w:eastAsia="Times New Roman"/>
          <w:b w:val="0"/>
          <w:i w:val="0"/>
          <w:smallCaps/>
          <w:sz w:val="16"/>
        </w:rPr>
        <w:t>Paired bootstrap differences (first model minus second) with 95% intervals, 2,000 resamples. Intervals excluding zero are significant.</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3480"/>
        <w:gridCol w:w="3480"/>
        <w:gridCol w:w="3480"/>
      </w:tblGrid>
      <w:tr>
        <w:tc>
          <w:tcPr>
            <w:tcW w:type="dxa" w:w="1728"/>
            <w:tcBorders>
              <w:top w:val="single" w:sz="12" w:color="000000"/>
              <w:bottom w:val="single" w:sz="6" w:color="000000"/>
            </w:tcBorders>
          </w:tcPr>
          <w:p>
            <w:pPr>
              <w:jc w:val="left"/>
            </w:pPr>
            <w:r>
              <w:rPr>
                <w:rFonts w:ascii="Times New Roman" w:hAnsi="Times New Roman" w:eastAsia="Times New Roman"/>
                <w:b w:val="0"/>
                <w:i w:val="0"/>
                <w:sz w:val="16"/>
              </w:rPr>
              <w:t>Comparison</w:t>
            </w:r>
          </w:p>
        </w:tc>
        <w:tc>
          <w:tcPr>
            <w:tcW w:type="dxa" w:w="1656"/>
            <w:tcBorders>
              <w:top w:val="single" w:sz="12" w:color="000000"/>
              <w:bottom w:val="single" w:sz="6" w:color="000000"/>
            </w:tcBorders>
          </w:tcPr>
          <w:p>
            <w:pPr>
              <w:jc w:val="center"/>
            </w:pPr>
            <w:r>
              <w:rPr>
                <w:rFonts w:ascii="Times New Roman" w:hAnsi="Times New Roman" w:eastAsia="Times New Roman"/>
                <w:b w:val="0"/>
                <w:i w:val="0"/>
                <w:sz w:val="16"/>
              </w:rPr>
              <w:t>Δ</w:t>
            </w:r>
            <w:r>
              <w:rPr>
                <w:rFonts w:ascii="Times New Roman" w:hAnsi="Times New Roman" w:eastAsia="Times New Roman"/>
                <w:b w:val="0"/>
                <w:i w:val="0"/>
                <w:sz w:val="16"/>
              </w:rPr>
              <w:t xml:space="preserve"> Macro-F1 [CI]</w:t>
            </w:r>
          </w:p>
        </w:tc>
        <w:tc>
          <w:tcPr>
            <w:tcW w:type="dxa" w:w="1656"/>
            <w:tcBorders>
              <w:top w:val="single" w:sz="12" w:color="000000"/>
              <w:bottom w:val="single" w:sz="6" w:color="000000"/>
            </w:tcBorders>
          </w:tcPr>
          <w:p>
            <w:pPr>
              <w:jc w:val="center"/>
            </w:pPr>
            <w:r>
              <w:rPr>
                <w:rFonts w:ascii="Times New Roman" w:hAnsi="Times New Roman" w:eastAsia="Times New Roman"/>
                <w:b w:val="0"/>
                <w:i w:val="0"/>
                <w:sz w:val="16"/>
              </w:rPr>
              <w:t>Δ</w:t>
            </w:r>
            <w:r>
              <w:rPr>
                <w:rFonts w:ascii="Times New Roman" w:hAnsi="Times New Roman" w:eastAsia="Times New Roman"/>
                <w:b w:val="0"/>
                <w:i w:val="0"/>
                <w:sz w:val="16"/>
              </w:rPr>
              <w:t xml:space="preserve"> Accuracy [CI]</w:t>
            </w:r>
          </w:p>
        </w:tc>
      </w:tr>
      <w:tr>
        <w:tc>
          <w:tcPr>
            <w:tcW w:type="dxa" w:w="1728"/>
          </w:tcPr>
          <w:p>
            <w:pPr>
              <w:jc w:val="left"/>
            </w:pPr>
            <w:r>
              <w:rPr>
                <w:rFonts w:ascii="Times New Roman" w:hAnsi="Times New Roman" w:eastAsia="Times New Roman"/>
                <w:b w:val="0"/>
                <w:i w:val="0"/>
                <w:sz w:val="16"/>
              </w:rPr>
              <w:t>BiLSTM − SVM</w:t>
            </w:r>
          </w:p>
        </w:tc>
        <w:tc>
          <w:tcPr>
            <w:tcW w:type="dxa" w:w="1656"/>
          </w:tcPr>
          <w:p>
            <w:pPr>
              <w:jc w:val="center"/>
            </w:pPr>
            <w:r>
              <w:rPr>
                <w:rFonts w:ascii="Times New Roman" w:hAnsi="Times New Roman" w:eastAsia="Times New Roman"/>
                <w:b w:val="0"/>
                <w:i w:val="0"/>
                <w:sz w:val="16"/>
              </w:rPr>
              <w:t>+.025 [+.010,+.039]</w:t>
            </w:r>
          </w:p>
        </w:tc>
        <w:tc>
          <w:tcPr>
            <w:tcW w:type="dxa" w:w="1656"/>
          </w:tcPr>
          <w:p>
            <w:pPr>
              <w:jc w:val="center"/>
            </w:pPr>
            <w:r>
              <w:rPr>
                <w:rFonts w:ascii="Times New Roman" w:hAnsi="Times New Roman" w:eastAsia="Times New Roman"/>
                <w:b w:val="0"/>
                <w:i w:val="0"/>
                <w:sz w:val="16"/>
              </w:rPr>
              <w:t>+.001 [−.005,+.006]</w:t>
            </w:r>
          </w:p>
        </w:tc>
      </w:tr>
      <w:tr>
        <w:tc>
          <w:tcPr>
            <w:tcW w:type="dxa" w:w="1728"/>
          </w:tcPr>
          <w:p>
            <w:pPr>
              <w:jc w:val="left"/>
            </w:pPr>
            <w:r>
              <w:rPr>
                <w:rFonts w:ascii="Times New Roman" w:hAnsi="Times New Roman" w:eastAsia="Times New Roman"/>
                <w:b w:val="0"/>
                <w:i w:val="0"/>
                <w:sz w:val="16"/>
              </w:rPr>
              <w:t>BiLSTM − DistilBERT</w:t>
            </w:r>
          </w:p>
        </w:tc>
        <w:tc>
          <w:tcPr>
            <w:tcW w:type="dxa" w:w="1656"/>
          </w:tcPr>
          <w:p>
            <w:pPr>
              <w:jc w:val="center"/>
            </w:pPr>
            <w:r>
              <w:rPr>
                <w:rFonts w:ascii="Times New Roman" w:hAnsi="Times New Roman" w:eastAsia="Times New Roman"/>
                <w:b w:val="0"/>
                <w:i w:val="0"/>
                <w:sz w:val="16"/>
              </w:rPr>
              <w:t>+.016 [−.000,+.031]</w:t>
            </w:r>
          </w:p>
        </w:tc>
        <w:tc>
          <w:tcPr>
            <w:tcW w:type="dxa" w:w="1656"/>
          </w:tcPr>
          <w:p>
            <w:pPr>
              <w:jc w:val="center"/>
            </w:pPr>
            <w:r>
              <w:rPr>
                <w:rFonts w:ascii="Times New Roman" w:hAnsi="Times New Roman" w:eastAsia="Times New Roman"/>
                <w:b w:val="0"/>
                <w:i w:val="0"/>
                <w:sz w:val="16"/>
              </w:rPr>
              <w:t>−.011 [−.016,−.005]</w:t>
            </w:r>
          </w:p>
        </w:tc>
      </w:tr>
      <w:tr>
        <w:tc>
          <w:tcPr>
            <w:tcW w:type="dxa" w:w="1728"/>
            <w:tcBorders>
              <w:bottom w:val="single" w:sz="12" w:color="000000"/>
            </w:tcBorders>
          </w:tcPr>
          <w:p>
            <w:pPr>
              <w:jc w:val="left"/>
            </w:pPr>
            <w:r>
              <w:rPr>
                <w:rFonts w:ascii="Times New Roman" w:hAnsi="Times New Roman" w:eastAsia="Times New Roman"/>
                <w:b w:val="0"/>
                <w:i w:val="0"/>
                <w:sz w:val="16"/>
              </w:rPr>
              <w:t>DistilBERT − SVM</w:t>
            </w:r>
          </w:p>
        </w:tc>
        <w:tc>
          <w:tcPr>
            <w:tcW w:type="dxa" w:w="1656"/>
            <w:tcBorders>
              <w:bottom w:val="single" w:sz="12" w:color="000000"/>
            </w:tcBorders>
          </w:tcPr>
          <w:p>
            <w:pPr>
              <w:jc w:val="center"/>
            </w:pPr>
            <w:r>
              <w:rPr>
                <w:rFonts w:ascii="Times New Roman" w:hAnsi="Times New Roman" w:eastAsia="Times New Roman"/>
                <w:b w:val="0"/>
                <w:i w:val="0"/>
                <w:sz w:val="16"/>
              </w:rPr>
              <w:t>+.009 [−.008,+.026]</w:t>
            </w:r>
          </w:p>
        </w:tc>
        <w:tc>
          <w:tcPr>
            <w:tcW w:type="dxa" w:w="1656"/>
            <w:tcBorders>
              <w:bottom w:val="single" w:sz="12" w:color="000000"/>
            </w:tcBorders>
          </w:tcPr>
          <w:p>
            <w:pPr>
              <w:jc w:val="center"/>
            </w:pPr>
            <w:r>
              <w:rPr>
                <w:rFonts w:ascii="Times New Roman" w:hAnsi="Times New Roman" w:eastAsia="Times New Roman"/>
                <w:b w:val="0"/>
                <w:i w:val="0"/>
                <w:sz w:val="16"/>
              </w:rPr>
              <w:t>+.011 [+.005,+.017]</w:t>
            </w:r>
          </w:p>
        </w:tc>
      </w:tr>
    </w:tbl>
    <w:p>
      <w:pPr>
        <w:keepNext w:val="0"/>
        <w:widowControl/>
        <w:spacing w:after="0" w:before="0"/>
        <w:jc w:val="both"/>
      </w:pPr>
      <w:r>
        <w:rPr>
          <w:rFonts w:ascii="Times New Roman" w:hAnsi="Times New Roman" w:eastAsia="Times New Roman"/>
          <w:b w:val="0"/>
          <w:i w:val="0"/>
          <w:sz w:val="8"/>
        </w:rPr>
      </w:r>
    </w:p>
    <w:p>
      <w:pPr>
        <w:keepNext w:val="0"/>
        <w:widowControl/>
        <w:spacing w:after="0" w:before="0"/>
        <w:ind w:firstLine="245"/>
        <w:jc w:val="both"/>
      </w:pPr>
      <w:r>
        <w:rPr>
          <w:rFonts w:ascii="Times New Roman" w:hAnsi="Times New Roman" w:eastAsia="Times New Roman"/>
          <w:b w:val="0"/>
          <w:i w:val="0"/>
          <w:sz w:val="20"/>
        </w:rPr>
        <w:t>Two caveats prevent over-interpretation. First, the TF-IDF models and the LSTM all use class weighting, which is known to raise macro-F1 at some cost to accuracy, whereas DistilBERT was trained without it; the ablation in Section VI-C quantifies this effect for the LSTM. Second, DistilBERT saw 6,000 training reviews against 36,000 for the LSTM, so its numbers are best read as a lower bound on what a fully fine-tuned transformer would achieve. The ranking should therefore be taken as a statement about these specific training budgets and loss functions, not about the architectures in general.</w:t>
      </w:r>
    </w:p>
    <w:p>
      <w:pPr>
        <w:keepNext w:val="0"/>
        <w:widowControl/>
        <w:spacing w:after="0" w:before="0"/>
        <w:ind w:firstLine="245"/>
        <w:jc w:val="both"/>
      </w:pPr>
      <w:r>
        <w:rPr>
          <w:rFonts w:ascii="Times New Roman" w:hAnsi="Times New Roman" w:eastAsia="Times New Roman"/>
          <w:b w:val="0"/>
          <w:i w:val="0"/>
          <w:sz w:val="20"/>
        </w:rPr>
        <w:t>Fig. 4 shows the BiLSTM’s training dynamics and confusion matrix. Training loss falls monotonically while validation macro-F1 plateaus after epoch three and peaks at epoch six, after which the validation metrics stop improving while training loss keeps falling and early stopping triggers. Most errors involve the neutral class: 191 of the 701 neutral reviews are predicted positive and 148 negative, while 331 of the 8,041 positive reviews are predicted neutral, reflecting how ambiguous text is pulled towards the dominant positive class.</w:t>
      </w:r>
    </w:p>
    <w:p>
      <w:pPr>
        <w:spacing w:after="0" w:line="20" w:lineRule="exact"/>
        <w:sectPr>
          <w:type w:val="continuous"/>
          <w:pgSz w:w="12240" w:h="15840"/>
          <w:pgMar w:top="1080" w:right="900" w:bottom="108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5568696" cy="1631316"/>
            <wp:docPr id="4" name="Picture 4"/>
            <wp:cNvGraphicFramePr>
              <a:graphicFrameLocks noChangeAspect="1"/>
            </wp:cNvGraphicFramePr>
            <a:graphic>
              <a:graphicData uri="http://schemas.openxmlformats.org/drawingml/2006/picture">
                <pic:pic>
                  <pic:nvPicPr>
                    <pic:cNvPr id="0" name="fig_dl_results.png"/>
                    <pic:cNvPicPr/>
                  </pic:nvPicPr>
                  <pic:blipFill>
                    <a:blip r:embed="rId12"/>
                    <a:stretch>
                      <a:fillRect/>
                    </a:stretch>
                  </pic:blipFill>
                  <pic:spPr>
                    <a:xfrm>
                      <a:off x="0" y="0"/>
                      <a:ext cx="5568696" cy="1631316"/>
                    </a:xfrm>
                    <a:prstGeom prst="rect"/>
                  </pic:spPr>
                </pic:pic>
              </a:graphicData>
            </a:graphic>
          </wp:inline>
        </w:drawing>
      </w:r>
    </w:p>
    <w:p>
      <w:pPr>
        <w:keepNext w:val="0"/>
        <w:widowControl/>
        <w:spacing w:after="120" w:before="0"/>
        <w:jc w:val="center"/>
      </w:pPr>
      <w:r>
        <w:rPr>
          <w:rFonts w:ascii="Times New Roman" w:hAnsi="Times New Roman" w:eastAsia="Times New Roman"/>
          <w:b w:val="0"/>
          <w:i w:val="0"/>
          <w:sz w:val="16"/>
        </w:rPr>
        <w:t xml:space="preserve">Fig. 4. </w:t>
      </w:r>
      <w:r>
        <w:rPr>
          <w:rFonts w:ascii="Times New Roman" w:hAnsi="Times New Roman" w:eastAsia="Times New Roman"/>
          <w:b w:val="0"/>
          <w:i w:val="0"/>
          <w:sz w:val="16"/>
        </w:rPr>
        <w:t>BiLSTM training dynamics (left, middle) and test-set confusion matrix (right). Validation macro-F1 peaks at epoch six, after which early stopping ends training.</w:t>
      </w:r>
    </w:p>
    <w:p>
      <w:pPr>
        <w:spacing w:after="0" w:line="20" w:lineRule="exact"/>
        <w:sectPr>
          <w:type w:val="continuous"/>
          <w:pgSz w:w="12240" w:h="15840"/>
          <w:pgMar w:top="1080" w:right="900" w:bottom="1080" w:left="900" w:header="720" w:footer="720" w:gutter="0"/>
          <w:cols w:space="360" w:num="1"/>
          <w:docGrid w:linePitch="360"/>
        </w:sectPr>
      </w:pPr>
    </w:p>
    <w:p>
      <w:pPr>
        <w:keepNext/>
        <w:widowControl/>
        <w:spacing w:after="40" w:before="100"/>
        <w:jc w:val="left"/>
      </w:pPr>
      <w:r>
        <w:rPr>
          <w:rFonts w:ascii="Times New Roman" w:hAnsi="Times New Roman" w:eastAsia="Times New Roman"/>
          <w:b w:val="0"/>
          <w:i/>
          <w:sz w:val="20"/>
        </w:rPr>
        <w:t>B. Error analysis</w:t>
      </w:r>
    </w:p>
    <w:p>
      <w:pPr>
        <w:keepNext w:val="0"/>
        <w:widowControl/>
        <w:spacing w:after="0" w:before="0"/>
        <w:ind w:firstLine="245"/>
        <w:jc w:val="both"/>
      </w:pPr>
      <w:r>
        <w:rPr>
          <w:rFonts w:ascii="Times New Roman" w:hAnsi="Times New Roman" w:eastAsia="Times New Roman"/>
          <w:b w:val="0"/>
          <w:i w:val="0"/>
          <w:sz w:val="20"/>
        </w:rPr>
        <w:t>The reported BiLSTM makes 1,116 errors on the 10,000 test reviews (11.2%), of which 155 are confident (predicted probability of at least 0.90). Of these, 98 involve the neutral class (75 neutral reviews read as positive, 23 as negative), 48 are polar opposites (36 negative reviews predicted positive and 12 positive reviews predicted negative), and 9 are other mixes. Table IV shows illustrative cases that we selected from the confident polar-opposite errors; we did not audit them systematically. In these cases the star rating contradicts the text, so a part of the apparent error is label noise rather than model failure, and the measured accuracy and macro-F1 understate how well the model tracks what reviewers actually wrote.</w:t>
      </w:r>
    </w:p>
    <w:p>
      <w:pPr>
        <w:keepNext/>
        <w:widowControl/>
        <w:spacing w:after="0" w:before="120"/>
        <w:jc w:val="center"/>
      </w:pPr>
      <w:r>
        <w:rPr>
          <w:rFonts w:ascii="Times New Roman" w:hAnsi="Times New Roman" w:eastAsia="Times New Roman"/>
          <w:b w:val="0"/>
          <w:i w:val="0"/>
          <w:smallCaps/>
          <w:sz w:val="16"/>
        </w:rPr>
        <w:t>TABLE IV</w:t>
      </w:r>
    </w:p>
    <w:p>
      <w:pPr>
        <w:keepNext/>
        <w:widowControl/>
        <w:spacing w:after="60" w:before="0"/>
        <w:jc w:val="center"/>
      </w:pPr>
      <w:r>
        <w:rPr>
          <w:rFonts w:ascii="Times New Roman" w:hAnsi="Times New Roman" w:eastAsia="Times New Roman"/>
          <w:b w:val="0"/>
          <w:i w:val="0"/>
          <w:smallCaps/>
          <w:sz w:val="16"/>
        </w:rPr>
        <w:t>Confident disagreements between star rating and the BiLSTM (probability in brackets). Excerpts are verbatim.</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5220"/>
        <w:gridCol w:w="5220"/>
      </w:tblGrid>
      <w:tr>
        <w:tc>
          <w:tcPr>
            <w:tcW w:type="dxa" w:w="1368"/>
            <w:tcBorders>
              <w:top w:val="single" w:sz="12" w:color="000000"/>
              <w:bottom w:val="single" w:sz="6" w:color="000000"/>
            </w:tcBorders>
          </w:tcPr>
          <w:p>
            <w:pPr>
              <w:jc w:val="left"/>
            </w:pPr>
            <w:r>
              <w:rPr>
                <w:rFonts w:ascii="Times New Roman" w:hAnsi="Times New Roman" w:eastAsia="Times New Roman"/>
                <w:b w:val="0"/>
                <w:i w:val="0"/>
                <w:sz w:val="16"/>
              </w:rPr>
              <w:t>Stars / predicted</w:t>
            </w:r>
          </w:p>
        </w:tc>
        <w:tc>
          <w:tcPr>
            <w:tcW w:type="dxa" w:w="3672"/>
            <w:tcBorders>
              <w:top w:val="single" w:sz="12" w:color="000000"/>
              <w:bottom w:val="single" w:sz="6" w:color="000000"/>
            </w:tcBorders>
          </w:tcPr>
          <w:p>
            <w:pPr>
              <w:jc w:val="left"/>
            </w:pPr>
            <w:r>
              <w:rPr>
                <w:rFonts w:ascii="Times New Roman" w:hAnsi="Times New Roman" w:eastAsia="Times New Roman"/>
                <w:b w:val="0"/>
                <w:i w:val="0"/>
                <w:sz w:val="16"/>
              </w:rPr>
              <w:t>Review excerpt</w:t>
            </w:r>
          </w:p>
        </w:tc>
      </w:tr>
      <w:tr>
        <w:tc>
          <w:tcPr>
            <w:tcW w:type="dxa" w:w="1368"/>
          </w:tcPr>
          <w:p>
            <w:pPr>
              <w:jc w:val="left"/>
            </w:pPr>
            <w:r>
              <w:rPr>
                <w:rFonts w:ascii="Times New Roman" w:hAnsi="Times New Roman" w:eastAsia="Times New Roman"/>
                <w:b w:val="0"/>
                <w:i w:val="0"/>
                <w:sz w:val="16"/>
              </w:rPr>
              <w:t>5 / negative (.99)</w:t>
            </w:r>
          </w:p>
        </w:tc>
        <w:tc>
          <w:tcPr>
            <w:tcW w:type="dxa" w:w="3672"/>
          </w:tcPr>
          <w:p>
            <w:pPr>
              <w:jc w:val="left"/>
            </w:pPr>
            <w:r>
              <w:rPr>
                <w:rFonts w:ascii="Times New Roman" w:hAnsi="Times New Roman" w:eastAsia="Times New Roman"/>
                <w:b w:val="0"/>
                <w:i w:val="0"/>
                <w:sz w:val="16"/>
              </w:rPr>
              <w:t>“Piece of junk !!! Poor quality, high price .. it lasted 10weeks”</w:t>
            </w:r>
          </w:p>
        </w:tc>
      </w:tr>
      <w:tr>
        <w:tc>
          <w:tcPr>
            <w:tcW w:type="dxa" w:w="1368"/>
          </w:tcPr>
          <w:p>
            <w:pPr>
              <w:jc w:val="left"/>
            </w:pPr>
            <w:r>
              <w:rPr>
                <w:rFonts w:ascii="Times New Roman" w:hAnsi="Times New Roman" w:eastAsia="Times New Roman"/>
                <w:b w:val="0"/>
                <w:i w:val="0"/>
                <w:sz w:val="16"/>
              </w:rPr>
              <w:t>5 / negative (.98)</w:t>
            </w:r>
          </w:p>
        </w:tc>
        <w:tc>
          <w:tcPr>
            <w:tcW w:type="dxa" w:w="3672"/>
          </w:tcPr>
          <w:p>
            <w:pPr>
              <w:jc w:val="left"/>
            </w:pPr>
            <w:r>
              <w:rPr>
                <w:rFonts w:ascii="Times New Roman" w:hAnsi="Times New Roman" w:eastAsia="Times New Roman"/>
                <w:b w:val="0"/>
                <w:i w:val="0"/>
                <w:sz w:val="16"/>
              </w:rPr>
              <w:t>“Poor quality ties. Dont waste your money. Small and wont latch at all”</w:t>
            </w:r>
          </w:p>
        </w:tc>
      </w:tr>
      <w:tr>
        <w:tc>
          <w:tcPr>
            <w:tcW w:type="dxa" w:w="1368"/>
          </w:tcPr>
          <w:p>
            <w:pPr>
              <w:jc w:val="left"/>
            </w:pPr>
            <w:r>
              <w:rPr>
                <w:rFonts w:ascii="Times New Roman" w:hAnsi="Times New Roman" w:eastAsia="Times New Roman"/>
                <w:b w:val="0"/>
                <w:i w:val="0"/>
                <w:sz w:val="16"/>
              </w:rPr>
              <w:t>2 / positive (1.00)</w:t>
            </w:r>
          </w:p>
        </w:tc>
        <w:tc>
          <w:tcPr>
            <w:tcW w:type="dxa" w:w="3672"/>
          </w:tcPr>
          <w:p>
            <w:pPr>
              <w:jc w:val="left"/>
            </w:pPr>
            <w:r>
              <w:rPr>
                <w:rFonts w:ascii="Times New Roman" w:hAnsi="Times New Roman" w:eastAsia="Times New Roman"/>
                <w:b w:val="0"/>
                <w:i w:val="0"/>
                <w:sz w:val="16"/>
              </w:rPr>
              <w:t>“This was an excellent remote. Excellent remote”</w:t>
            </w:r>
          </w:p>
        </w:tc>
      </w:tr>
      <w:tr>
        <w:tc>
          <w:tcPr>
            <w:tcW w:type="dxa" w:w="1368"/>
            <w:tcBorders>
              <w:bottom w:val="single" w:sz="12" w:color="000000"/>
            </w:tcBorders>
          </w:tcPr>
          <w:p>
            <w:pPr>
              <w:jc w:val="left"/>
            </w:pPr>
            <w:r>
              <w:rPr>
                <w:rFonts w:ascii="Times New Roman" w:hAnsi="Times New Roman" w:eastAsia="Times New Roman"/>
                <w:b w:val="0"/>
                <w:i w:val="0"/>
                <w:sz w:val="16"/>
              </w:rPr>
              <w:t>1 / positive (1.00)</w:t>
            </w:r>
          </w:p>
        </w:tc>
        <w:tc>
          <w:tcPr>
            <w:tcW w:type="dxa" w:w="3672"/>
            <w:tcBorders>
              <w:bottom w:val="single" w:sz="12" w:color="000000"/>
            </w:tcBorders>
          </w:tcPr>
          <w:p>
            <w:pPr>
              <w:jc w:val="left"/>
            </w:pPr>
            <w:r>
              <w:rPr>
                <w:rFonts w:ascii="Times New Roman" w:hAnsi="Times New Roman" w:eastAsia="Times New Roman"/>
                <w:b w:val="0"/>
                <w:i w:val="0"/>
                <w:sz w:val="16"/>
              </w:rPr>
              <w:t>“Worked out of the box. love it”</w:t>
            </w:r>
          </w:p>
        </w:tc>
      </w:tr>
    </w:tbl>
    <w:p>
      <w:pPr>
        <w:keepNext w:val="0"/>
        <w:widowControl/>
        <w:spacing w:after="0" w:before="0"/>
        <w:jc w:val="both"/>
      </w:pPr>
      <w:r>
        <w:rPr>
          <w:rFonts w:ascii="Times New Roman" w:hAnsi="Times New Roman" w:eastAsia="Times New Roman"/>
          <w:b w:val="0"/>
          <w:i w:val="0"/>
          <w:sz w:val="8"/>
        </w:rPr>
      </w:r>
    </w:p>
    <w:p>
      <w:pPr>
        <w:keepNext/>
        <w:widowControl/>
        <w:spacing w:after="40" w:before="100"/>
        <w:jc w:val="left"/>
      </w:pPr>
      <w:r>
        <w:rPr>
          <w:rFonts w:ascii="Times New Roman" w:hAnsi="Times New Roman" w:eastAsia="Times New Roman"/>
          <w:b w:val="0"/>
          <w:i/>
          <w:sz w:val="20"/>
        </w:rPr>
        <w:t>C. Ablation: what drives the BiLSTM's gain?</w:t>
      </w:r>
    </w:p>
    <w:p>
      <w:pPr>
        <w:keepNext w:val="0"/>
        <w:widowControl/>
        <w:spacing w:after="0" w:before="0"/>
        <w:ind w:firstLine="245"/>
        <w:jc w:val="both"/>
      </w:pPr>
      <w:r>
        <w:rPr>
          <w:rFonts w:ascii="Times New Roman" w:hAnsi="Times New Roman" w:eastAsia="Times New Roman"/>
          <w:b w:val="0"/>
          <w:i w:val="0"/>
          <w:sz w:val="20"/>
        </w:rPr>
        <w:t>Two design choices could explain the BiLSTM’s macro-F1 advantage: attention pooling and the class-weighted loss. Table V reports the three variants over three seeds.</w:t>
      </w:r>
    </w:p>
    <w:p>
      <w:pPr>
        <w:keepNext/>
        <w:widowControl/>
        <w:spacing w:after="0" w:before="120"/>
        <w:jc w:val="center"/>
      </w:pPr>
      <w:r>
        <w:rPr>
          <w:rFonts w:ascii="Times New Roman" w:hAnsi="Times New Roman" w:eastAsia="Times New Roman"/>
          <w:b w:val="0"/>
          <w:i w:val="0"/>
          <w:smallCaps/>
          <w:sz w:val="16"/>
        </w:rPr>
        <w:t>TABLE V</w:t>
      </w:r>
    </w:p>
    <w:p>
      <w:pPr>
        <w:keepNext/>
        <w:widowControl/>
        <w:spacing w:after="60" w:before="0"/>
        <w:jc w:val="center"/>
      </w:pPr>
      <w:r>
        <w:rPr>
          <w:rFonts w:ascii="Times New Roman" w:hAnsi="Times New Roman" w:eastAsia="Times New Roman"/>
          <w:b w:val="0"/>
          <w:i w:val="0"/>
          <w:smallCaps/>
          <w:sz w:val="16"/>
        </w:rPr>
        <w:t xml:space="preserve">LSTM ablation on the shared test set (mean </w:t>
      </w:r>
      <w:r>
        <w:rPr>
          <w:rFonts w:ascii="Times New Roman" w:hAnsi="Times New Roman" w:eastAsia="Times New Roman"/>
          <w:b w:val="0"/>
          <w:i w:val="0"/>
          <w:smallCaps/>
          <w:sz w:val="16"/>
        </w:rPr>
        <w:t>±</w:t>
      </w:r>
      <w:r>
        <w:rPr>
          <w:rFonts w:ascii="Times New Roman" w:hAnsi="Times New Roman" w:eastAsia="Times New Roman"/>
          <w:b w:val="0"/>
          <w:i w:val="0"/>
          <w:smallCaps/>
          <w:sz w:val="16"/>
        </w:rPr>
        <w:t xml:space="preserve"> std over three seeds). The DistilBERT row is a single run for reference.</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2610"/>
        <w:gridCol w:w="2610"/>
        <w:gridCol w:w="2610"/>
        <w:gridCol w:w="2610"/>
      </w:tblGrid>
      <w:tr>
        <w:tc>
          <w:tcPr>
            <w:tcW w:type="dxa" w:w="2232"/>
            <w:tcBorders>
              <w:top w:val="single" w:sz="12" w:color="000000"/>
              <w:bottom w:val="single" w:sz="6" w:color="000000"/>
            </w:tcBorders>
          </w:tcPr>
          <w:p>
            <w:pPr>
              <w:jc w:val="left"/>
            </w:pPr>
            <w:r>
              <w:rPr>
                <w:rFonts w:ascii="Times New Roman" w:hAnsi="Times New Roman" w:eastAsia="Times New Roman"/>
                <w:b w:val="0"/>
                <w:i w:val="0"/>
                <w:sz w:val="16"/>
              </w:rPr>
              <w:t>Variant</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Accuracy</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Macro-F1</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F1</w:t>
            </w:r>
            <w:r>
              <w:rPr>
                <w:rFonts w:ascii="Times New Roman" w:hAnsi="Times New Roman" w:eastAsia="Times New Roman"/>
                <w:b w:val="0"/>
                <w:i w:val="0"/>
                <w:sz w:val="16"/>
                <w:vertAlign w:val="subscript"/>
              </w:rPr>
              <w:t>neu</w:t>
            </w:r>
          </w:p>
        </w:tc>
      </w:tr>
      <w:tr>
        <w:tc>
          <w:tcPr>
            <w:tcW w:type="dxa" w:w="2232"/>
          </w:tcPr>
          <w:p>
            <w:pPr>
              <w:jc w:val="left"/>
            </w:pPr>
            <w:r>
              <w:rPr>
                <w:rFonts w:ascii="Times New Roman" w:hAnsi="Times New Roman" w:eastAsia="Times New Roman"/>
                <w:b w:val="0"/>
                <w:i w:val="0"/>
                <w:sz w:val="16"/>
              </w:rPr>
              <w:t>Full (attention + class weights)</w:t>
            </w:r>
          </w:p>
        </w:tc>
        <w:tc>
          <w:tcPr>
            <w:tcW w:type="dxa" w:w="936"/>
          </w:tcPr>
          <w:p>
            <w:pPr>
              <w:jc w:val="center"/>
            </w:pPr>
            <w:r>
              <w:rPr>
                <w:rFonts w:ascii="Times New Roman" w:hAnsi="Times New Roman" w:eastAsia="Times New Roman"/>
                <w:b w:val="0"/>
                <w:i w:val="0"/>
                <w:sz w:val="16"/>
              </w:rPr>
              <w:t>.891</w:t>
            </w:r>
            <w:r>
              <w:rPr>
                <w:rFonts w:ascii="Times New Roman" w:hAnsi="Times New Roman" w:eastAsia="Times New Roman"/>
                <w:b w:val="0"/>
                <w:i w:val="0"/>
                <w:sz w:val="16"/>
              </w:rPr>
              <w:t>±</w:t>
            </w:r>
            <w:r>
              <w:rPr>
                <w:rFonts w:ascii="Times New Roman" w:hAnsi="Times New Roman" w:eastAsia="Times New Roman"/>
                <w:b w:val="0"/>
                <w:i w:val="0"/>
                <w:sz w:val="16"/>
              </w:rPr>
              <w:t>.003</w:t>
            </w:r>
          </w:p>
        </w:tc>
        <w:tc>
          <w:tcPr>
            <w:tcW w:type="dxa" w:w="936"/>
          </w:tcPr>
          <w:p>
            <w:pPr>
              <w:jc w:val="center"/>
            </w:pPr>
            <w:r>
              <w:rPr>
                <w:rFonts w:ascii="Times New Roman" w:hAnsi="Times New Roman" w:eastAsia="Times New Roman"/>
                <w:b/>
                <w:i w:val="0"/>
                <w:sz w:val="16"/>
              </w:rPr>
              <w:t>.722</w:t>
            </w:r>
            <w:r>
              <w:rPr>
                <w:rFonts w:ascii="Times New Roman" w:hAnsi="Times New Roman" w:eastAsia="Times New Roman"/>
                <w:b w:val="0"/>
                <w:i w:val="0"/>
                <w:sz w:val="16"/>
              </w:rPr>
              <w:t>±</w:t>
            </w:r>
            <w:r>
              <w:rPr>
                <w:rFonts w:ascii="Times New Roman" w:hAnsi="Times New Roman" w:eastAsia="Times New Roman"/>
                <w:b w:val="0"/>
                <w:i w:val="0"/>
                <w:sz w:val="16"/>
              </w:rPr>
              <w:t>.004</w:t>
            </w:r>
          </w:p>
        </w:tc>
        <w:tc>
          <w:tcPr>
            <w:tcW w:type="dxa" w:w="936"/>
          </w:tcPr>
          <w:p>
            <w:pPr>
              <w:jc w:val="center"/>
            </w:pPr>
            <w:r>
              <w:rPr>
                <w:rFonts w:ascii="Times New Roman" w:hAnsi="Times New Roman" w:eastAsia="Times New Roman"/>
                <w:b/>
                <w:i w:val="0"/>
                <w:sz w:val="16"/>
              </w:rPr>
              <w:t>.445</w:t>
            </w:r>
            <w:r>
              <w:rPr>
                <w:rFonts w:ascii="Times New Roman" w:hAnsi="Times New Roman" w:eastAsia="Times New Roman"/>
                <w:b w:val="0"/>
                <w:i w:val="0"/>
                <w:sz w:val="16"/>
              </w:rPr>
              <w:t>±</w:t>
            </w:r>
            <w:r>
              <w:rPr>
                <w:rFonts w:ascii="Times New Roman" w:hAnsi="Times New Roman" w:eastAsia="Times New Roman"/>
                <w:b w:val="0"/>
                <w:i w:val="0"/>
                <w:sz w:val="16"/>
              </w:rPr>
              <w:t>.000</w:t>
            </w:r>
          </w:p>
        </w:tc>
      </w:tr>
      <w:tr>
        <w:tc>
          <w:tcPr>
            <w:tcW w:type="dxa" w:w="2232"/>
          </w:tcPr>
          <w:p>
            <w:pPr>
              <w:jc w:val="left"/>
            </w:pPr>
            <w:r>
              <w:rPr>
                <w:rFonts w:ascii="Times New Roman" w:hAnsi="Times New Roman" w:eastAsia="Times New Roman"/>
                <w:b w:val="0"/>
                <w:i w:val="0"/>
                <w:sz w:val="16"/>
              </w:rPr>
              <w:t>No class weights</w:t>
            </w:r>
          </w:p>
        </w:tc>
        <w:tc>
          <w:tcPr>
            <w:tcW w:type="dxa" w:w="936"/>
          </w:tcPr>
          <w:p>
            <w:pPr>
              <w:jc w:val="center"/>
            </w:pPr>
            <w:r>
              <w:rPr>
                <w:rFonts w:ascii="Times New Roman" w:hAnsi="Times New Roman" w:eastAsia="Times New Roman"/>
                <w:b/>
                <w:i w:val="0"/>
                <w:sz w:val="16"/>
              </w:rPr>
              <w:t>.899</w:t>
            </w:r>
            <w:r>
              <w:rPr>
                <w:rFonts w:ascii="Times New Roman" w:hAnsi="Times New Roman" w:eastAsia="Times New Roman"/>
                <w:b w:val="0"/>
                <w:i w:val="0"/>
                <w:sz w:val="16"/>
              </w:rPr>
              <w:t>±</w:t>
            </w:r>
            <w:r>
              <w:rPr>
                <w:rFonts w:ascii="Times New Roman" w:hAnsi="Times New Roman" w:eastAsia="Times New Roman"/>
                <w:b w:val="0"/>
                <w:i w:val="0"/>
                <w:sz w:val="16"/>
              </w:rPr>
              <w:t>.001</w:t>
            </w:r>
          </w:p>
        </w:tc>
        <w:tc>
          <w:tcPr>
            <w:tcW w:type="dxa" w:w="936"/>
          </w:tcPr>
          <w:p>
            <w:pPr>
              <w:jc w:val="center"/>
            </w:pPr>
            <w:r>
              <w:rPr>
                <w:rFonts w:ascii="Times New Roman" w:hAnsi="Times New Roman" w:eastAsia="Times New Roman"/>
                <w:b w:val="0"/>
                <w:i w:val="0"/>
                <w:sz w:val="16"/>
              </w:rPr>
              <w:t>.709</w:t>
            </w:r>
            <w:r>
              <w:rPr>
                <w:rFonts w:ascii="Times New Roman" w:hAnsi="Times New Roman" w:eastAsia="Times New Roman"/>
                <w:b w:val="0"/>
                <w:i w:val="0"/>
                <w:sz w:val="16"/>
              </w:rPr>
              <w:t>±</w:t>
            </w:r>
            <w:r>
              <w:rPr>
                <w:rFonts w:ascii="Times New Roman" w:hAnsi="Times New Roman" w:eastAsia="Times New Roman"/>
                <w:b w:val="0"/>
                <w:i w:val="0"/>
                <w:sz w:val="16"/>
              </w:rPr>
              <w:t>.008</w:t>
            </w:r>
          </w:p>
        </w:tc>
        <w:tc>
          <w:tcPr>
            <w:tcW w:type="dxa" w:w="936"/>
          </w:tcPr>
          <w:p>
            <w:pPr>
              <w:jc w:val="center"/>
            </w:pPr>
            <w:r>
              <w:rPr>
                <w:rFonts w:ascii="Times New Roman" w:hAnsi="Times New Roman" w:eastAsia="Times New Roman"/>
                <w:b w:val="0"/>
                <w:i w:val="0"/>
                <w:sz w:val="16"/>
              </w:rPr>
              <w:t>.405</w:t>
            </w:r>
            <w:r>
              <w:rPr>
                <w:rFonts w:ascii="Times New Roman" w:hAnsi="Times New Roman" w:eastAsia="Times New Roman"/>
                <w:b w:val="0"/>
                <w:i w:val="0"/>
                <w:sz w:val="16"/>
              </w:rPr>
              <w:t>±</w:t>
            </w:r>
            <w:r>
              <w:rPr>
                <w:rFonts w:ascii="Times New Roman" w:hAnsi="Times New Roman" w:eastAsia="Times New Roman"/>
                <w:b w:val="0"/>
                <w:i w:val="0"/>
                <w:sz w:val="16"/>
              </w:rPr>
              <w:t>.013</w:t>
            </w:r>
          </w:p>
        </w:tc>
      </w:tr>
      <w:tr>
        <w:tc>
          <w:tcPr>
            <w:tcW w:type="dxa" w:w="2232"/>
            <w:tcBorders>
              <w:bottom w:val="single" w:sz="6" w:color="000000"/>
            </w:tcBorders>
          </w:tcPr>
          <w:p>
            <w:pPr>
              <w:jc w:val="left"/>
            </w:pPr>
            <w:r>
              <w:rPr>
                <w:rFonts w:ascii="Times New Roman" w:hAnsi="Times New Roman" w:eastAsia="Times New Roman"/>
                <w:b w:val="0"/>
                <w:i w:val="0"/>
                <w:sz w:val="16"/>
              </w:rPr>
              <w:t>Mean pooling (class weights)</w:t>
            </w:r>
          </w:p>
        </w:tc>
        <w:tc>
          <w:tcPr>
            <w:tcW w:type="dxa" w:w="936"/>
            <w:tcBorders>
              <w:bottom w:val="single" w:sz="6" w:color="000000"/>
            </w:tcBorders>
          </w:tcPr>
          <w:p>
            <w:pPr>
              <w:jc w:val="center"/>
            </w:pPr>
            <w:r>
              <w:rPr>
                <w:rFonts w:ascii="Times New Roman" w:hAnsi="Times New Roman" w:eastAsia="Times New Roman"/>
                <w:b w:val="0"/>
                <w:i w:val="0"/>
                <w:sz w:val="16"/>
              </w:rPr>
              <w:t>.889</w:t>
            </w:r>
            <w:r>
              <w:rPr>
                <w:rFonts w:ascii="Times New Roman" w:hAnsi="Times New Roman" w:eastAsia="Times New Roman"/>
                <w:b w:val="0"/>
                <w:i w:val="0"/>
                <w:sz w:val="16"/>
              </w:rPr>
              <w:t>±</w:t>
            </w:r>
            <w:r>
              <w:rPr>
                <w:rFonts w:ascii="Times New Roman" w:hAnsi="Times New Roman" w:eastAsia="Times New Roman"/>
                <w:b w:val="0"/>
                <w:i w:val="0"/>
                <w:sz w:val="16"/>
              </w:rPr>
              <w:t>.003</w:t>
            </w:r>
          </w:p>
        </w:tc>
        <w:tc>
          <w:tcPr>
            <w:tcW w:type="dxa" w:w="936"/>
            <w:tcBorders>
              <w:bottom w:val="single" w:sz="6" w:color="000000"/>
            </w:tcBorders>
          </w:tcPr>
          <w:p>
            <w:pPr>
              <w:jc w:val="center"/>
            </w:pPr>
            <w:r>
              <w:rPr>
                <w:rFonts w:ascii="Times New Roman" w:hAnsi="Times New Roman" w:eastAsia="Times New Roman"/>
                <w:b w:val="0"/>
                <w:i w:val="0"/>
                <w:sz w:val="16"/>
              </w:rPr>
              <w:t>.715</w:t>
            </w:r>
            <w:r>
              <w:rPr>
                <w:rFonts w:ascii="Times New Roman" w:hAnsi="Times New Roman" w:eastAsia="Times New Roman"/>
                <w:b w:val="0"/>
                <w:i w:val="0"/>
                <w:sz w:val="16"/>
              </w:rPr>
              <w:t>±</w:t>
            </w:r>
            <w:r>
              <w:rPr>
                <w:rFonts w:ascii="Times New Roman" w:hAnsi="Times New Roman" w:eastAsia="Times New Roman"/>
                <w:b w:val="0"/>
                <w:i w:val="0"/>
                <w:sz w:val="16"/>
              </w:rPr>
              <w:t>.005</w:t>
            </w:r>
          </w:p>
        </w:tc>
        <w:tc>
          <w:tcPr>
            <w:tcW w:type="dxa" w:w="936"/>
            <w:tcBorders>
              <w:bottom w:val="single" w:sz="6" w:color="000000"/>
            </w:tcBorders>
          </w:tcPr>
          <w:p>
            <w:pPr>
              <w:jc w:val="center"/>
            </w:pPr>
            <w:r>
              <w:rPr>
                <w:rFonts w:ascii="Times New Roman" w:hAnsi="Times New Roman" w:eastAsia="Times New Roman"/>
                <w:b w:val="0"/>
                <w:i w:val="0"/>
                <w:sz w:val="16"/>
              </w:rPr>
              <w:t>.430</w:t>
            </w:r>
            <w:r>
              <w:rPr>
                <w:rFonts w:ascii="Times New Roman" w:hAnsi="Times New Roman" w:eastAsia="Times New Roman"/>
                <w:b w:val="0"/>
                <w:i w:val="0"/>
                <w:sz w:val="16"/>
              </w:rPr>
              <w:t>±</w:t>
            </w:r>
            <w:r>
              <w:rPr>
                <w:rFonts w:ascii="Times New Roman" w:hAnsi="Times New Roman" w:eastAsia="Times New Roman"/>
                <w:b w:val="0"/>
                <w:i w:val="0"/>
                <w:sz w:val="16"/>
              </w:rPr>
              <w:t>.004</w:t>
            </w:r>
          </w:p>
        </w:tc>
      </w:tr>
      <w:tr>
        <w:tc>
          <w:tcPr>
            <w:tcW w:type="dxa" w:w="2232"/>
            <w:tcBorders>
              <w:bottom w:val="single" w:sz="12" w:color="000000"/>
            </w:tcBorders>
          </w:tcPr>
          <w:p>
            <w:pPr>
              <w:jc w:val="left"/>
            </w:pPr>
            <w:r>
              <w:rPr>
                <w:rFonts w:ascii="Times New Roman" w:hAnsi="Times New Roman" w:eastAsia="Times New Roman"/>
                <w:b w:val="0"/>
                <w:i w:val="0"/>
                <w:sz w:val="16"/>
              </w:rPr>
              <w:t>DistilBERT (reference)</w:t>
            </w:r>
          </w:p>
        </w:tc>
        <w:tc>
          <w:tcPr>
            <w:tcW w:type="dxa" w:w="936"/>
            <w:tcBorders>
              <w:bottom w:val="single" w:sz="12" w:color="000000"/>
            </w:tcBorders>
          </w:tcPr>
          <w:p>
            <w:pPr>
              <w:jc w:val="center"/>
            </w:pPr>
            <w:r>
              <w:rPr>
                <w:rFonts w:ascii="Times New Roman" w:hAnsi="Times New Roman" w:eastAsia="Times New Roman"/>
                <w:b w:val="0"/>
                <w:i w:val="0"/>
                <w:sz w:val="16"/>
              </w:rPr>
              <w:t>.899</w:t>
            </w:r>
          </w:p>
        </w:tc>
        <w:tc>
          <w:tcPr>
            <w:tcW w:type="dxa" w:w="936"/>
            <w:tcBorders>
              <w:bottom w:val="single" w:sz="12" w:color="000000"/>
            </w:tcBorders>
          </w:tcPr>
          <w:p>
            <w:pPr>
              <w:jc w:val="center"/>
            </w:pPr>
            <w:r>
              <w:rPr>
                <w:rFonts w:ascii="Times New Roman" w:hAnsi="Times New Roman" w:eastAsia="Times New Roman"/>
                <w:b w:val="0"/>
                <w:i w:val="0"/>
                <w:sz w:val="16"/>
              </w:rPr>
              <w:t>.702</w:t>
            </w:r>
          </w:p>
        </w:tc>
        <w:tc>
          <w:tcPr>
            <w:tcW w:type="dxa" w:w="936"/>
            <w:tcBorders>
              <w:bottom w:val="single" w:sz="12" w:color="000000"/>
            </w:tcBorders>
          </w:tcPr>
          <w:p>
            <w:pPr>
              <w:jc w:val="center"/>
            </w:pPr>
            <w:r>
              <w:rPr>
                <w:rFonts w:ascii="Times New Roman" w:hAnsi="Times New Roman" w:eastAsia="Times New Roman"/>
                <w:b w:val="0"/>
                <w:i w:val="0"/>
                <w:sz w:val="16"/>
              </w:rPr>
              <w:t>.368</w:t>
            </w:r>
          </w:p>
        </w:tc>
      </w:tr>
    </w:tbl>
    <w:p>
      <w:pPr>
        <w:keepNext w:val="0"/>
        <w:widowControl/>
        <w:spacing w:after="0" w:before="0"/>
        <w:jc w:val="both"/>
      </w:pPr>
      <w:r>
        <w:rPr>
          <w:rFonts w:ascii="Times New Roman" w:hAnsi="Times New Roman" w:eastAsia="Times New Roman"/>
          <w:b w:val="0"/>
          <w:i w:val="0"/>
          <w:sz w:val="8"/>
        </w:rPr>
      </w:r>
    </w:p>
    <w:p>
      <w:pPr>
        <w:keepNext w:val="0"/>
        <w:widowControl/>
        <w:spacing w:after="0" w:before="0"/>
        <w:ind w:firstLine="245"/>
        <w:jc w:val="both"/>
      </w:pPr>
      <w:r>
        <w:rPr>
          <w:rFonts w:ascii="Times New Roman" w:hAnsi="Times New Roman" w:eastAsia="Times New Roman"/>
          <w:b w:val="0"/>
          <w:i w:val="0"/>
          <w:sz w:val="20"/>
        </w:rPr>
        <w:t>Class weighting is the dominant factor. Removing it lowers macro-F1 by 0.012 on average (by 0.003, 0.011 and 0.023 across the three seeds) and lowers neutral-class F1 from 0.445 to 0.405, but raises accuracy by 0.007 on average, with the same sign in every seed. Replacing attention with mean pooling lowers macro-F1 by 0.007 on average (0.001 to 0.015 across seeds) and leaves accuracy unchanged within noise. Attention therefore contributes a small and less consistent improvement; with three seeds per variant we do not test its significance and report only the sign consistency.</w:t>
      </w:r>
    </w:p>
    <w:p>
      <w:pPr>
        <w:keepNext w:val="0"/>
        <w:widowControl/>
        <w:spacing w:after="0" w:before="0"/>
        <w:ind w:firstLine="245"/>
        <w:jc w:val="both"/>
      </w:pPr>
      <w:r>
        <w:rPr>
          <w:rFonts w:ascii="Times New Roman" w:hAnsi="Times New Roman" w:eastAsia="Times New Roman"/>
          <w:b w:val="0"/>
          <w:i w:val="0"/>
          <w:sz w:val="20"/>
        </w:rPr>
        <w:t>Two consequences follow. First, the seed-to-seed standard deviation of the full model (about 0.004 macro-F1) is much smaller than its gap to the TF-IDF SVM (about 0.03), so that advantage is not a seed artefact. Second, an LSTM trained without class weights matches DistilBERT’s accuracy (0.899 versus 0.899) while still exceeding its macro-F1 on average (0.709 versus 0.702). This suggests that DistilBERT’s apparent accuracy lead in Table II owes more to the choice of operating point on the accuracy/macro-F1 trade-off than to a clear difference in capacity, although DistilBERT was trained only once and on a sixth of the data.</w:t>
      </w:r>
    </w:p>
    <w:p>
      <w:pPr>
        <w:keepNext/>
        <w:widowControl/>
        <w:spacing w:after="40" w:before="100"/>
        <w:jc w:val="left"/>
      </w:pPr>
      <w:r>
        <w:rPr>
          <w:rFonts w:ascii="Times New Roman" w:hAnsi="Times New Roman" w:eastAsia="Times New Roman"/>
          <w:b w:val="0"/>
          <w:i/>
          <w:sz w:val="20"/>
        </w:rPr>
        <w:t>D. Computational cost</w:t>
      </w:r>
    </w:p>
    <w:p>
      <w:pPr>
        <w:keepNext w:val="0"/>
        <w:widowControl/>
        <w:spacing w:after="0" w:before="0"/>
        <w:ind w:firstLine="245"/>
        <w:jc w:val="both"/>
      </w:pPr>
      <w:r>
        <w:rPr>
          <w:rFonts w:ascii="Times New Roman" w:hAnsi="Times New Roman" w:eastAsia="Times New Roman"/>
          <w:b w:val="0"/>
          <w:i w:val="0"/>
          <w:sz w:val="20"/>
        </w:rPr>
        <w:t>Accuracy is only one axis for a deployed system. Table VI gives parameter counts and measured throughput for the three trained sentiment models on test-split reviews, including tokenisation or vectorisation, after a warm-up run and taking the best of repeated runs. The GPU is the laptop RTX 4050 used for training; CPU figures use the same machine (8 logical cores). DistilBERT was timed on 200 reviews on CPU and 1,000 on GPU.</w:t>
      </w:r>
    </w:p>
    <w:p>
      <w:pPr>
        <w:keepNext/>
        <w:widowControl/>
        <w:spacing w:after="0" w:before="120"/>
        <w:jc w:val="center"/>
      </w:pPr>
      <w:r>
        <w:rPr>
          <w:rFonts w:ascii="Times New Roman" w:hAnsi="Times New Roman" w:eastAsia="Times New Roman"/>
          <w:b w:val="0"/>
          <w:i w:val="0"/>
          <w:smallCaps/>
          <w:sz w:val="16"/>
        </w:rPr>
        <w:t>TABLE VI</w:t>
      </w:r>
    </w:p>
    <w:p>
      <w:pPr>
        <w:keepNext/>
        <w:widowControl/>
        <w:spacing w:after="60" w:before="0"/>
        <w:jc w:val="center"/>
      </w:pPr>
      <w:r>
        <w:rPr>
          <w:rFonts w:ascii="Times New Roman" w:hAnsi="Times New Roman" w:eastAsia="Times New Roman"/>
          <w:b w:val="0"/>
          <w:i w:val="0"/>
          <w:smallCaps/>
          <w:sz w:val="16"/>
        </w:rPr>
        <w:t>Model size and inference throughput (reviews per second).</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2610"/>
        <w:gridCol w:w="2610"/>
        <w:gridCol w:w="2610"/>
        <w:gridCol w:w="2610"/>
      </w:tblGrid>
      <w:tr>
        <w:tc>
          <w:tcPr>
            <w:tcW w:type="dxa" w:w="2232"/>
            <w:tcBorders>
              <w:top w:val="single" w:sz="12" w:color="000000"/>
              <w:bottom w:val="single" w:sz="6" w:color="000000"/>
            </w:tcBorders>
          </w:tcPr>
          <w:p>
            <w:pPr>
              <w:jc w:val="left"/>
            </w:pPr>
            <w:r>
              <w:rPr>
                <w:rFonts w:ascii="Times New Roman" w:hAnsi="Times New Roman" w:eastAsia="Times New Roman"/>
                <w:b w:val="0"/>
                <w:i w:val="0"/>
                <w:sz w:val="16"/>
              </w:rPr>
              <w:t>Model</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Parameters</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CPU</w:t>
            </w:r>
          </w:p>
        </w:tc>
        <w:tc>
          <w:tcPr>
            <w:tcW w:type="dxa" w:w="936"/>
            <w:tcBorders>
              <w:top w:val="single" w:sz="12" w:color="000000"/>
              <w:bottom w:val="single" w:sz="6" w:color="000000"/>
            </w:tcBorders>
          </w:tcPr>
          <w:p>
            <w:pPr>
              <w:jc w:val="center"/>
            </w:pPr>
            <w:r>
              <w:rPr>
                <w:rFonts w:ascii="Times New Roman" w:hAnsi="Times New Roman" w:eastAsia="Times New Roman"/>
                <w:b w:val="0"/>
                <w:i w:val="0"/>
                <w:sz w:val="16"/>
              </w:rPr>
              <w:t>GPU</w:t>
            </w:r>
          </w:p>
        </w:tc>
      </w:tr>
      <w:tr>
        <w:tc>
          <w:tcPr>
            <w:tcW w:type="dxa" w:w="2232"/>
          </w:tcPr>
          <w:p>
            <w:pPr>
              <w:jc w:val="left"/>
            </w:pPr>
            <w:r>
              <w:rPr>
                <w:rFonts w:ascii="Times New Roman" w:hAnsi="Times New Roman" w:eastAsia="Times New Roman"/>
                <w:b w:val="0"/>
                <w:i w:val="0"/>
                <w:sz w:val="16"/>
              </w:rPr>
              <w:t>TF-IDF + SVM</w:t>
            </w:r>
          </w:p>
        </w:tc>
        <w:tc>
          <w:tcPr>
            <w:tcW w:type="dxa" w:w="936"/>
          </w:tcPr>
          <w:p>
            <w:pPr>
              <w:jc w:val="center"/>
            </w:pPr>
            <w:r>
              <w:rPr>
                <w:rFonts w:ascii="Times New Roman" w:hAnsi="Times New Roman" w:eastAsia="Times New Roman"/>
                <w:b w:val="0"/>
                <w:i w:val="0"/>
                <w:sz w:val="16"/>
              </w:rPr>
              <w:t>90 k</w:t>
            </w:r>
          </w:p>
        </w:tc>
        <w:tc>
          <w:tcPr>
            <w:tcW w:type="dxa" w:w="936"/>
          </w:tcPr>
          <w:p>
            <w:pPr>
              <w:jc w:val="center"/>
            </w:pPr>
            <w:r>
              <w:rPr>
                <w:rFonts w:ascii="Times New Roman" w:hAnsi="Times New Roman" w:eastAsia="Times New Roman"/>
                <w:b w:val="0"/>
                <w:i w:val="0"/>
                <w:sz w:val="16"/>
              </w:rPr>
              <w:t>13,550</w:t>
            </w:r>
          </w:p>
        </w:tc>
        <w:tc>
          <w:tcPr>
            <w:tcW w:type="dxa" w:w="936"/>
          </w:tcPr>
          <w:p>
            <w:pPr>
              <w:jc w:val="center"/>
            </w:pPr>
            <w:r>
              <w:rPr>
                <w:rFonts w:ascii="Times New Roman" w:hAnsi="Times New Roman" w:eastAsia="Times New Roman"/>
                <w:b w:val="0"/>
                <w:i w:val="0"/>
                <w:sz w:val="16"/>
              </w:rPr>
              <w:t>n/a</w:t>
            </w:r>
          </w:p>
        </w:tc>
      </w:tr>
      <w:tr>
        <w:tc>
          <w:tcPr>
            <w:tcW w:type="dxa" w:w="2232"/>
          </w:tcPr>
          <w:p>
            <w:pPr>
              <w:jc w:val="left"/>
            </w:pPr>
            <w:r>
              <w:rPr>
                <w:rFonts w:ascii="Times New Roman" w:hAnsi="Times New Roman" w:eastAsia="Times New Roman"/>
                <w:b w:val="0"/>
                <w:i w:val="0"/>
                <w:sz w:val="16"/>
              </w:rPr>
              <w:t>BiLSTM + Attention</w:t>
            </w:r>
          </w:p>
        </w:tc>
        <w:tc>
          <w:tcPr>
            <w:tcW w:type="dxa" w:w="936"/>
          </w:tcPr>
          <w:p>
            <w:pPr>
              <w:jc w:val="center"/>
            </w:pPr>
            <w:r>
              <w:rPr>
                <w:rFonts w:ascii="Times New Roman" w:hAnsi="Times New Roman" w:eastAsia="Times New Roman"/>
                <w:b w:val="0"/>
                <w:i w:val="0"/>
                <w:sz w:val="16"/>
              </w:rPr>
              <w:t>2.57 M</w:t>
            </w:r>
          </w:p>
        </w:tc>
        <w:tc>
          <w:tcPr>
            <w:tcW w:type="dxa" w:w="936"/>
          </w:tcPr>
          <w:p>
            <w:pPr>
              <w:jc w:val="center"/>
            </w:pPr>
            <w:r>
              <w:rPr>
                <w:rFonts w:ascii="Times New Roman" w:hAnsi="Times New Roman" w:eastAsia="Times New Roman"/>
                <w:b w:val="0"/>
                <w:i w:val="0"/>
                <w:sz w:val="16"/>
              </w:rPr>
              <w:t>975</w:t>
            </w:r>
          </w:p>
        </w:tc>
        <w:tc>
          <w:tcPr>
            <w:tcW w:type="dxa" w:w="936"/>
          </w:tcPr>
          <w:p>
            <w:pPr>
              <w:jc w:val="center"/>
            </w:pPr>
            <w:r>
              <w:rPr>
                <w:rFonts w:ascii="Times New Roman" w:hAnsi="Times New Roman" w:eastAsia="Times New Roman"/>
                <w:b w:val="0"/>
                <w:i w:val="0"/>
                <w:sz w:val="16"/>
              </w:rPr>
              <w:t>5,688</w:t>
            </w:r>
          </w:p>
        </w:tc>
      </w:tr>
      <w:tr>
        <w:tc>
          <w:tcPr>
            <w:tcW w:type="dxa" w:w="2232"/>
            <w:tcBorders>
              <w:bottom w:val="single" w:sz="12" w:color="000000"/>
            </w:tcBorders>
          </w:tcPr>
          <w:p>
            <w:pPr>
              <w:jc w:val="left"/>
            </w:pPr>
            <w:r>
              <w:rPr>
                <w:rFonts w:ascii="Times New Roman" w:hAnsi="Times New Roman" w:eastAsia="Times New Roman"/>
                <w:b w:val="0"/>
                <w:i w:val="0"/>
                <w:sz w:val="16"/>
              </w:rPr>
              <w:t>DistilBERT</w:t>
            </w:r>
          </w:p>
        </w:tc>
        <w:tc>
          <w:tcPr>
            <w:tcW w:type="dxa" w:w="936"/>
            <w:tcBorders>
              <w:bottom w:val="single" w:sz="12" w:color="000000"/>
            </w:tcBorders>
          </w:tcPr>
          <w:p>
            <w:pPr>
              <w:jc w:val="center"/>
            </w:pPr>
            <w:r>
              <w:rPr>
                <w:rFonts w:ascii="Times New Roman" w:hAnsi="Times New Roman" w:eastAsia="Times New Roman"/>
                <w:b w:val="0"/>
                <w:i w:val="0"/>
                <w:sz w:val="16"/>
              </w:rPr>
              <w:t>66.96 M</w:t>
            </w:r>
          </w:p>
        </w:tc>
        <w:tc>
          <w:tcPr>
            <w:tcW w:type="dxa" w:w="936"/>
            <w:tcBorders>
              <w:bottom w:val="single" w:sz="12" w:color="000000"/>
            </w:tcBorders>
          </w:tcPr>
          <w:p>
            <w:pPr>
              <w:jc w:val="center"/>
            </w:pPr>
            <w:r>
              <w:rPr>
                <w:rFonts w:ascii="Times New Roman" w:hAnsi="Times New Roman" w:eastAsia="Times New Roman"/>
                <w:b w:val="0"/>
                <w:i w:val="0"/>
                <w:sz w:val="16"/>
              </w:rPr>
              <w:t>17</w:t>
            </w:r>
          </w:p>
        </w:tc>
        <w:tc>
          <w:tcPr>
            <w:tcW w:type="dxa" w:w="936"/>
            <w:tcBorders>
              <w:bottom w:val="single" w:sz="12" w:color="000000"/>
            </w:tcBorders>
          </w:tcPr>
          <w:p>
            <w:pPr>
              <w:jc w:val="center"/>
            </w:pPr>
            <w:r>
              <w:rPr>
                <w:rFonts w:ascii="Times New Roman" w:hAnsi="Times New Roman" w:eastAsia="Times New Roman"/>
                <w:b w:val="0"/>
                <w:i w:val="0"/>
                <w:sz w:val="16"/>
              </w:rPr>
              <w:t>451</w:t>
            </w:r>
          </w:p>
        </w:tc>
      </w:tr>
    </w:tbl>
    <w:p>
      <w:pPr>
        <w:keepNext w:val="0"/>
        <w:widowControl/>
        <w:spacing w:after="0" w:before="0"/>
        <w:jc w:val="both"/>
      </w:pPr>
      <w:r>
        <w:rPr>
          <w:rFonts w:ascii="Times New Roman" w:hAnsi="Times New Roman" w:eastAsia="Times New Roman"/>
          <w:b w:val="0"/>
          <w:i w:val="0"/>
          <w:sz w:val="8"/>
        </w:rPr>
      </w:r>
    </w:p>
    <w:p>
      <w:pPr>
        <w:keepNext w:val="0"/>
        <w:widowControl/>
        <w:spacing w:after="0" w:before="0"/>
        <w:ind w:firstLine="245"/>
        <w:jc w:val="both"/>
      </w:pPr>
      <w:r>
        <w:rPr>
          <w:rFonts w:ascii="Times New Roman" w:hAnsi="Times New Roman" w:eastAsia="Times New Roman"/>
          <w:b w:val="0"/>
          <w:i w:val="0"/>
          <w:sz w:val="20"/>
        </w:rPr>
        <w:t>The BiLSTM has 26 times fewer parameters than DistilBERT and classifies about 57 times faster on CPU (975 versus 17 reviews per second) and 13 times faster on GPU. It trails DistilBERT by about one accuracy point in its class-weighted form and matches it when trained without class weights (Section VI-C), so for batch-scoring large review catalogues or serving on CPU-only hardware it offers a much better balance of cost and accuracy, whereas the SVM is fastest but has the lowest macro-F1 of the three. A transformer fine-tuned on more data would likely narrow the accuracy gap, but not the cost gap.</w:t>
      </w:r>
    </w:p>
    <w:p>
      <w:pPr>
        <w:keepNext/>
        <w:widowControl/>
        <w:spacing w:after="40" w:before="100"/>
        <w:jc w:val="left"/>
      </w:pPr>
      <w:r>
        <w:rPr>
          <w:rFonts w:ascii="Times New Roman" w:hAnsi="Times New Roman" w:eastAsia="Times New Roman"/>
          <w:b w:val="0"/>
          <w:i/>
          <w:sz w:val="20"/>
        </w:rPr>
        <w:t>E. Language of each sentiment</w:t>
      </w:r>
    </w:p>
    <w:p>
      <w:pPr>
        <w:keepNext w:val="0"/>
        <w:widowControl/>
        <w:spacing w:after="0" w:before="0"/>
        <w:ind w:firstLine="245"/>
        <w:jc w:val="both"/>
      </w:pPr>
      <w:r>
        <w:rPr>
          <w:rFonts w:ascii="Times New Roman" w:hAnsi="Times New Roman" w:eastAsia="Times New Roman"/>
          <w:b w:val="0"/>
          <w:i w:val="0"/>
          <w:sz w:val="20"/>
        </w:rPr>
        <w:t>Word clouds (Fig. 5) weight each word by its within-class frequency multiplied by its over-representation relative to the whole corpus, so they show distinctive rather than merely frequent vocabulary. Negative reviews are dominated by return and failure language (“return”, “waste”, “money”, “stopped”, “broke”), positive reviews by ease and satisfaction (“easy”, “love”, “nice”, “perfect”), and neutral reviews by hedged evaluation (“okay”, “fine”, “better”, “bit”) mixed with product nouns, which is consistent with the difficulty of the neutral class.</w:t>
      </w:r>
    </w:p>
    <w:p>
      <w:pPr>
        <w:spacing w:after="0" w:line="20" w:lineRule="exact"/>
        <w:sectPr>
          <w:type w:val="continuous"/>
          <w:pgSz w:w="12240" w:h="15840"/>
          <w:pgMar w:top="1080" w:right="900" w:bottom="108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5303520" cy="1355344"/>
            <wp:docPr id="5" name="Picture 5"/>
            <wp:cNvGraphicFramePr>
              <a:graphicFrameLocks noChangeAspect="1"/>
            </wp:cNvGraphicFramePr>
            <a:graphic>
              <a:graphicData uri="http://schemas.openxmlformats.org/drawingml/2006/picture">
                <pic:pic>
                  <pic:nvPicPr>
                    <pic:cNvPr id="0" name="wordcloud_all_sentiments.png"/>
                    <pic:cNvPicPr/>
                  </pic:nvPicPr>
                  <pic:blipFill>
                    <a:blip r:embed="rId13"/>
                    <a:stretch>
                      <a:fillRect/>
                    </a:stretch>
                  </pic:blipFill>
                  <pic:spPr>
                    <a:xfrm>
                      <a:off x="0" y="0"/>
                      <a:ext cx="5303520" cy="1355344"/>
                    </a:xfrm>
                    <a:prstGeom prst="rect"/>
                  </pic:spPr>
                </pic:pic>
              </a:graphicData>
            </a:graphic>
          </wp:inline>
        </w:drawing>
      </w:r>
    </w:p>
    <w:p>
      <w:pPr>
        <w:keepNext w:val="0"/>
        <w:widowControl/>
        <w:spacing w:after="120" w:before="0"/>
        <w:jc w:val="center"/>
      </w:pPr>
      <w:r>
        <w:rPr>
          <w:rFonts w:ascii="Times New Roman" w:hAnsi="Times New Roman" w:eastAsia="Times New Roman"/>
          <w:b w:val="0"/>
          <w:i w:val="0"/>
          <w:sz w:val="16"/>
        </w:rPr>
        <w:t xml:space="preserve">Fig. 5. </w:t>
      </w:r>
      <w:r>
        <w:rPr>
          <w:rFonts w:ascii="Times New Roman" w:hAnsi="Times New Roman" w:eastAsia="Times New Roman"/>
          <w:b w:val="0"/>
          <w:i w:val="0"/>
          <w:sz w:val="16"/>
        </w:rPr>
        <w:t>Distinctive-vocabulary word clouds for negative, neutral and positive reviews.</w:t>
      </w:r>
    </w:p>
    <w:p>
      <w:pPr>
        <w:spacing w:after="0" w:line="20" w:lineRule="exact"/>
        <w:sectPr>
          <w:type w:val="continuous"/>
          <w:pgSz w:w="12240" w:h="15840"/>
          <w:pgMar w:top="1080" w:right="900" w:bottom="1080" w:left="900" w:header="720" w:footer="720" w:gutter="0"/>
          <w:cols w:space="360" w:num="1"/>
          <w:docGrid w:linePitch="360"/>
        </w:sectPr>
      </w:pPr>
    </w:p>
    <w:p>
      <w:pPr>
        <w:keepNext/>
        <w:widowControl/>
        <w:spacing w:after="40" w:before="100"/>
        <w:jc w:val="left"/>
      </w:pPr>
      <w:r>
        <w:rPr>
          <w:rFonts w:ascii="Times New Roman" w:hAnsi="Times New Roman" w:eastAsia="Times New Roman"/>
          <w:b w:val="0"/>
          <w:i/>
          <w:sz w:val="20"/>
        </w:rPr>
        <w:t>F. Aspect-level intelligence</w:t>
      </w:r>
    </w:p>
    <w:p>
      <w:pPr>
        <w:keepNext w:val="0"/>
        <w:widowControl/>
        <w:spacing w:after="0" w:before="0"/>
        <w:ind w:firstLine="245"/>
        <w:jc w:val="both"/>
      </w:pPr>
      <w:r>
        <w:rPr>
          <w:rFonts w:ascii="Times New Roman" w:hAnsi="Times New Roman" w:eastAsia="Times New Roman"/>
          <w:b w:val="0"/>
          <w:i w:val="0"/>
          <w:sz w:val="20"/>
        </w:rPr>
        <w:t>The lexicon matched 64,134 aspect mentions in 33,257 reviews (66.5%). Table VII ranks aspects by negative share. Battery is the most criticised aspect at 20.2% negative mentions, followed by connectivity (19.3%) and customer service (19.3%), while build quality draws the lowest negative share (8.1%). Because the aspect sentiment is computed on matched sentences rather than whole reviews, a single review can be positive about sound and negative about battery, which a single review-level label cannot express. In the live classifier a sentence such as “the battery is terrible but the sound quality is amazing” receives three different review-level labels from the three classifiers, illustrating why aspect-level analysis is complementary to, not redundant with, sentiment classification.</w:t>
      </w:r>
    </w:p>
    <w:p>
      <w:pPr>
        <w:keepNext/>
        <w:widowControl/>
        <w:spacing w:after="0" w:before="120"/>
        <w:jc w:val="center"/>
      </w:pPr>
      <w:r>
        <w:rPr>
          <w:rFonts w:ascii="Times New Roman" w:hAnsi="Times New Roman" w:eastAsia="Times New Roman"/>
          <w:b w:val="0"/>
          <w:i w:val="0"/>
          <w:smallCaps/>
          <w:sz w:val="16"/>
        </w:rPr>
        <w:t>TABLE VII</w:t>
      </w:r>
    </w:p>
    <w:p>
      <w:pPr>
        <w:keepNext/>
        <w:widowControl/>
        <w:spacing w:after="60" w:before="0"/>
        <w:jc w:val="center"/>
      </w:pPr>
      <w:r>
        <w:rPr>
          <w:rFonts w:ascii="Times New Roman" w:hAnsi="Times New Roman" w:eastAsia="Times New Roman"/>
          <w:b w:val="0"/>
          <w:i w:val="0"/>
          <w:smallCaps/>
          <w:sz w:val="16"/>
        </w:rPr>
        <w:t>Aspect-level sentiment (% of mentions), ranked by negative share.</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2088"/>
        <w:gridCol w:w="2088"/>
        <w:gridCol w:w="2088"/>
        <w:gridCol w:w="2088"/>
        <w:gridCol w:w="2088"/>
      </w:tblGrid>
      <w:tr>
        <w:tc>
          <w:tcPr>
            <w:tcW w:type="dxa" w:w="1440"/>
            <w:tcBorders>
              <w:top w:val="single" w:sz="12" w:color="000000"/>
              <w:bottom w:val="single" w:sz="6" w:color="000000"/>
            </w:tcBorders>
          </w:tcPr>
          <w:p>
            <w:pPr>
              <w:jc w:val="left"/>
            </w:pPr>
            <w:r>
              <w:rPr>
                <w:rFonts w:ascii="Times New Roman" w:hAnsi="Times New Roman" w:eastAsia="Times New Roman"/>
                <w:b w:val="0"/>
                <w:i w:val="0"/>
                <w:sz w:val="16"/>
              </w:rPr>
              <w:t>Aspect</w:t>
            </w:r>
          </w:p>
        </w:tc>
        <w:tc>
          <w:tcPr>
            <w:tcW w:type="dxa" w:w="864"/>
            <w:tcBorders>
              <w:top w:val="single" w:sz="12" w:color="000000"/>
              <w:bottom w:val="single" w:sz="6" w:color="000000"/>
            </w:tcBorders>
          </w:tcPr>
          <w:p>
            <w:pPr>
              <w:jc w:val="right"/>
            </w:pPr>
            <w:r>
              <w:rPr>
                <w:rFonts w:ascii="Times New Roman" w:hAnsi="Times New Roman" w:eastAsia="Times New Roman"/>
                <w:b w:val="0"/>
                <w:i w:val="0"/>
                <w:sz w:val="16"/>
              </w:rPr>
              <w:t>Pos.</w:t>
            </w:r>
          </w:p>
        </w:tc>
        <w:tc>
          <w:tcPr>
            <w:tcW w:type="dxa" w:w="864"/>
            <w:tcBorders>
              <w:top w:val="single" w:sz="12" w:color="000000"/>
              <w:bottom w:val="single" w:sz="6" w:color="000000"/>
            </w:tcBorders>
          </w:tcPr>
          <w:p>
            <w:pPr>
              <w:jc w:val="right"/>
            </w:pPr>
            <w:r>
              <w:rPr>
                <w:rFonts w:ascii="Times New Roman" w:hAnsi="Times New Roman" w:eastAsia="Times New Roman"/>
                <w:b w:val="0"/>
                <w:i w:val="0"/>
                <w:sz w:val="16"/>
              </w:rPr>
              <w:t>Neu.</w:t>
            </w:r>
          </w:p>
        </w:tc>
        <w:tc>
          <w:tcPr>
            <w:tcW w:type="dxa" w:w="864"/>
            <w:tcBorders>
              <w:top w:val="single" w:sz="12" w:color="000000"/>
              <w:bottom w:val="single" w:sz="6" w:color="000000"/>
            </w:tcBorders>
          </w:tcPr>
          <w:p>
            <w:pPr>
              <w:jc w:val="right"/>
            </w:pPr>
            <w:r>
              <w:rPr>
                <w:rFonts w:ascii="Times New Roman" w:hAnsi="Times New Roman" w:eastAsia="Times New Roman"/>
                <w:b w:val="0"/>
                <w:i w:val="0"/>
                <w:sz w:val="16"/>
              </w:rPr>
              <w:t>Neg.</w:t>
            </w:r>
          </w:p>
        </w:tc>
        <w:tc>
          <w:tcPr>
            <w:tcW w:type="dxa" w:w="1008"/>
            <w:tcBorders>
              <w:top w:val="single" w:sz="12" w:color="000000"/>
              <w:bottom w:val="single" w:sz="6" w:color="000000"/>
            </w:tcBorders>
          </w:tcPr>
          <w:p>
            <w:pPr>
              <w:jc w:val="right"/>
            </w:pPr>
            <w:r>
              <w:rPr>
                <w:rFonts w:ascii="Times New Roman" w:hAnsi="Times New Roman" w:eastAsia="Times New Roman"/>
                <w:b w:val="0"/>
                <w:i w:val="0"/>
                <w:sz w:val="16"/>
              </w:rPr>
              <w:t>Mentions</w:t>
            </w:r>
          </w:p>
        </w:tc>
      </w:tr>
      <w:tr>
        <w:tc>
          <w:tcPr>
            <w:tcW w:type="dxa" w:w="1440"/>
          </w:tcPr>
          <w:p>
            <w:pPr>
              <w:jc w:val="left"/>
            </w:pPr>
            <w:r>
              <w:rPr>
                <w:rFonts w:ascii="Times New Roman" w:hAnsi="Times New Roman" w:eastAsia="Times New Roman"/>
                <w:b w:val="0"/>
                <w:i w:val="0"/>
                <w:sz w:val="16"/>
              </w:rPr>
              <w:t>Battery</w:t>
            </w:r>
          </w:p>
        </w:tc>
        <w:tc>
          <w:tcPr>
            <w:tcW w:type="dxa" w:w="864"/>
          </w:tcPr>
          <w:p>
            <w:pPr>
              <w:jc w:val="right"/>
            </w:pPr>
            <w:r>
              <w:rPr>
                <w:rFonts w:ascii="Times New Roman" w:hAnsi="Times New Roman" w:eastAsia="Times New Roman"/>
                <w:b w:val="0"/>
                <w:i w:val="0"/>
                <w:sz w:val="16"/>
              </w:rPr>
              <w:t>56.3</w:t>
            </w:r>
          </w:p>
        </w:tc>
        <w:tc>
          <w:tcPr>
            <w:tcW w:type="dxa" w:w="864"/>
          </w:tcPr>
          <w:p>
            <w:pPr>
              <w:jc w:val="right"/>
            </w:pPr>
            <w:r>
              <w:rPr>
                <w:rFonts w:ascii="Times New Roman" w:hAnsi="Times New Roman" w:eastAsia="Times New Roman"/>
                <w:b w:val="0"/>
                <w:i w:val="0"/>
                <w:sz w:val="16"/>
              </w:rPr>
              <w:t>23.5</w:t>
            </w:r>
          </w:p>
        </w:tc>
        <w:tc>
          <w:tcPr>
            <w:tcW w:type="dxa" w:w="864"/>
          </w:tcPr>
          <w:p>
            <w:pPr>
              <w:jc w:val="right"/>
            </w:pPr>
            <w:r>
              <w:rPr>
                <w:rFonts w:ascii="Times New Roman" w:hAnsi="Times New Roman" w:eastAsia="Times New Roman"/>
                <w:b w:val="0"/>
                <w:i w:val="0"/>
                <w:sz w:val="16"/>
              </w:rPr>
              <w:t>20.2</w:t>
            </w:r>
          </w:p>
        </w:tc>
        <w:tc>
          <w:tcPr>
            <w:tcW w:type="dxa" w:w="1008"/>
          </w:tcPr>
          <w:p>
            <w:pPr>
              <w:jc w:val="right"/>
            </w:pPr>
            <w:r>
              <w:rPr>
                <w:rFonts w:ascii="Times New Roman" w:hAnsi="Times New Roman" w:eastAsia="Times New Roman"/>
                <w:b w:val="0"/>
                <w:i w:val="0"/>
                <w:sz w:val="16"/>
              </w:rPr>
              <w:t>6,968</w:t>
            </w:r>
          </w:p>
        </w:tc>
      </w:tr>
      <w:tr>
        <w:tc>
          <w:tcPr>
            <w:tcW w:type="dxa" w:w="1440"/>
          </w:tcPr>
          <w:p>
            <w:pPr>
              <w:jc w:val="left"/>
            </w:pPr>
            <w:r>
              <w:rPr>
                <w:rFonts w:ascii="Times New Roman" w:hAnsi="Times New Roman" w:eastAsia="Times New Roman"/>
                <w:b w:val="0"/>
                <w:i w:val="0"/>
                <w:sz w:val="16"/>
              </w:rPr>
              <w:t>Connectivity</w:t>
            </w:r>
          </w:p>
        </w:tc>
        <w:tc>
          <w:tcPr>
            <w:tcW w:type="dxa" w:w="864"/>
          </w:tcPr>
          <w:p>
            <w:pPr>
              <w:jc w:val="right"/>
            </w:pPr>
            <w:r>
              <w:rPr>
                <w:rFonts w:ascii="Times New Roman" w:hAnsi="Times New Roman" w:eastAsia="Times New Roman"/>
                <w:b w:val="0"/>
                <w:i w:val="0"/>
                <w:sz w:val="16"/>
              </w:rPr>
              <w:t>56.7</w:t>
            </w:r>
          </w:p>
        </w:tc>
        <w:tc>
          <w:tcPr>
            <w:tcW w:type="dxa" w:w="864"/>
          </w:tcPr>
          <w:p>
            <w:pPr>
              <w:jc w:val="right"/>
            </w:pPr>
            <w:r>
              <w:rPr>
                <w:rFonts w:ascii="Times New Roman" w:hAnsi="Times New Roman" w:eastAsia="Times New Roman"/>
                <w:b w:val="0"/>
                <w:i w:val="0"/>
                <w:sz w:val="16"/>
              </w:rPr>
              <w:t>23.9</w:t>
            </w:r>
          </w:p>
        </w:tc>
        <w:tc>
          <w:tcPr>
            <w:tcW w:type="dxa" w:w="864"/>
          </w:tcPr>
          <w:p>
            <w:pPr>
              <w:jc w:val="right"/>
            </w:pPr>
            <w:r>
              <w:rPr>
                <w:rFonts w:ascii="Times New Roman" w:hAnsi="Times New Roman" w:eastAsia="Times New Roman"/>
                <w:b w:val="0"/>
                <w:i w:val="0"/>
                <w:sz w:val="16"/>
              </w:rPr>
              <w:t>19.3</w:t>
            </w:r>
          </w:p>
        </w:tc>
        <w:tc>
          <w:tcPr>
            <w:tcW w:type="dxa" w:w="1008"/>
          </w:tcPr>
          <w:p>
            <w:pPr>
              <w:jc w:val="right"/>
            </w:pPr>
            <w:r>
              <w:rPr>
                <w:rFonts w:ascii="Times New Roman" w:hAnsi="Times New Roman" w:eastAsia="Times New Roman"/>
                <w:b w:val="0"/>
                <w:i w:val="0"/>
                <w:sz w:val="16"/>
              </w:rPr>
              <w:t>4,166</w:t>
            </w:r>
          </w:p>
        </w:tc>
      </w:tr>
      <w:tr>
        <w:tc>
          <w:tcPr>
            <w:tcW w:type="dxa" w:w="1440"/>
          </w:tcPr>
          <w:p>
            <w:pPr>
              <w:jc w:val="left"/>
            </w:pPr>
            <w:r>
              <w:rPr>
                <w:rFonts w:ascii="Times New Roman" w:hAnsi="Times New Roman" w:eastAsia="Times New Roman"/>
                <w:b w:val="0"/>
                <w:i w:val="0"/>
                <w:sz w:val="16"/>
              </w:rPr>
              <w:t>Customer service</w:t>
            </w:r>
          </w:p>
        </w:tc>
        <w:tc>
          <w:tcPr>
            <w:tcW w:type="dxa" w:w="864"/>
          </w:tcPr>
          <w:p>
            <w:pPr>
              <w:jc w:val="right"/>
            </w:pPr>
            <w:r>
              <w:rPr>
                <w:rFonts w:ascii="Times New Roman" w:hAnsi="Times New Roman" w:eastAsia="Times New Roman"/>
                <w:b w:val="0"/>
                <w:i w:val="0"/>
                <w:sz w:val="16"/>
              </w:rPr>
              <w:t>64.0</w:t>
            </w:r>
          </w:p>
        </w:tc>
        <w:tc>
          <w:tcPr>
            <w:tcW w:type="dxa" w:w="864"/>
          </w:tcPr>
          <w:p>
            <w:pPr>
              <w:jc w:val="right"/>
            </w:pPr>
            <w:r>
              <w:rPr>
                <w:rFonts w:ascii="Times New Roman" w:hAnsi="Times New Roman" w:eastAsia="Times New Roman"/>
                <w:b w:val="0"/>
                <w:i w:val="0"/>
                <w:sz w:val="16"/>
              </w:rPr>
              <w:t>16.7</w:t>
            </w:r>
          </w:p>
        </w:tc>
        <w:tc>
          <w:tcPr>
            <w:tcW w:type="dxa" w:w="864"/>
          </w:tcPr>
          <w:p>
            <w:pPr>
              <w:jc w:val="right"/>
            </w:pPr>
            <w:r>
              <w:rPr>
                <w:rFonts w:ascii="Times New Roman" w:hAnsi="Times New Roman" w:eastAsia="Times New Roman"/>
                <w:b w:val="0"/>
                <w:i w:val="0"/>
                <w:sz w:val="16"/>
              </w:rPr>
              <w:t>19.3</w:t>
            </w:r>
          </w:p>
        </w:tc>
        <w:tc>
          <w:tcPr>
            <w:tcW w:type="dxa" w:w="1008"/>
          </w:tcPr>
          <w:p>
            <w:pPr>
              <w:jc w:val="right"/>
            </w:pPr>
            <w:r>
              <w:rPr>
                <w:rFonts w:ascii="Times New Roman" w:hAnsi="Times New Roman" w:eastAsia="Times New Roman"/>
                <w:b w:val="0"/>
                <w:i w:val="0"/>
                <w:sz w:val="16"/>
              </w:rPr>
              <w:t>2,958</w:t>
            </w:r>
          </w:p>
        </w:tc>
      </w:tr>
      <w:tr>
        <w:tc>
          <w:tcPr>
            <w:tcW w:type="dxa" w:w="1440"/>
          </w:tcPr>
          <w:p>
            <w:pPr>
              <w:jc w:val="left"/>
            </w:pPr>
            <w:r>
              <w:rPr>
                <w:rFonts w:ascii="Times New Roman" w:hAnsi="Times New Roman" w:eastAsia="Times New Roman"/>
                <w:b w:val="0"/>
                <w:i w:val="0"/>
                <w:sz w:val="16"/>
              </w:rPr>
              <w:t>Performance</w:t>
            </w:r>
          </w:p>
        </w:tc>
        <w:tc>
          <w:tcPr>
            <w:tcW w:type="dxa" w:w="864"/>
          </w:tcPr>
          <w:p>
            <w:pPr>
              <w:jc w:val="right"/>
            </w:pPr>
            <w:r>
              <w:rPr>
                <w:rFonts w:ascii="Times New Roman" w:hAnsi="Times New Roman" w:eastAsia="Times New Roman"/>
                <w:b w:val="0"/>
                <w:i w:val="0"/>
                <w:sz w:val="16"/>
              </w:rPr>
              <w:t>58.7</w:t>
            </w:r>
          </w:p>
        </w:tc>
        <w:tc>
          <w:tcPr>
            <w:tcW w:type="dxa" w:w="864"/>
          </w:tcPr>
          <w:p>
            <w:pPr>
              <w:jc w:val="right"/>
            </w:pPr>
            <w:r>
              <w:rPr>
                <w:rFonts w:ascii="Times New Roman" w:hAnsi="Times New Roman" w:eastAsia="Times New Roman"/>
                <w:b w:val="0"/>
                <w:i w:val="0"/>
                <w:sz w:val="16"/>
              </w:rPr>
              <w:t>25.5</w:t>
            </w:r>
          </w:p>
        </w:tc>
        <w:tc>
          <w:tcPr>
            <w:tcW w:type="dxa" w:w="864"/>
          </w:tcPr>
          <w:p>
            <w:pPr>
              <w:jc w:val="right"/>
            </w:pPr>
            <w:r>
              <w:rPr>
                <w:rFonts w:ascii="Times New Roman" w:hAnsi="Times New Roman" w:eastAsia="Times New Roman"/>
                <w:b w:val="0"/>
                <w:i w:val="0"/>
                <w:sz w:val="16"/>
              </w:rPr>
              <w:t>15.8</w:t>
            </w:r>
          </w:p>
        </w:tc>
        <w:tc>
          <w:tcPr>
            <w:tcW w:type="dxa" w:w="1008"/>
          </w:tcPr>
          <w:p>
            <w:pPr>
              <w:jc w:val="right"/>
            </w:pPr>
            <w:r>
              <w:rPr>
                <w:rFonts w:ascii="Times New Roman" w:hAnsi="Times New Roman" w:eastAsia="Times New Roman"/>
                <w:b w:val="0"/>
                <w:i w:val="0"/>
                <w:sz w:val="16"/>
              </w:rPr>
              <w:t>4,726</w:t>
            </w:r>
          </w:p>
        </w:tc>
      </w:tr>
      <w:tr>
        <w:tc>
          <w:tcPr>
            <w:tcW w:type="dxa" w:w="1440"/>
          </w:tcPr>
          <w:p>
            <w:pPr>
              <w:jc w:val="left"/>
            </w:pPr>
            <w:r>
              <w:rPr>
                <w:rFonts w:ascii="Times New Roman" w:hAnsi="Times New Roman" w:eastAsia="Times New Roman"/>
                <w:b w:val="0"/>
                <w:i w:val="0"/>
                <w:sz w:val="16"/>
              </w:rPr>
              <w:t>Display</w:t>
            </w:r>
          </w:p>
        </w:tc>
        <w:tc>
          <w:tcPr>
            <w:tcW w:type="dxa" w:w="864"/>
          </w:tcPr>
          <w:p>
            <w:pPr>
              <w:jc w:val="right"/>
            </w:pPr>
            <w:r>
              <w:rPr>
                <w:rFonts w:ascii="Times New Roman" w:hAnsi="Times New Roman" w:eastAsia="Times New Roman"/>
                <w:b w:val="0"/>
                <w:i w:val="0"/>
                <w:sz w:val="16"/>
              </w:rPr>
              <w:t>64.4</w:t>
            </w:r>
          </w:p>
        </w:tc>
        <w:tc>
          <w:tcPr>
            <w:tcW w:type="dxa" w:w="864"/>
          </w:tcPr>
          <w:p>
            <w:pPr>
              <w:jc w:val="right"/>
            </w:pPr>
            <w:r>
              <w:rPr>
                <w:rFonts w:ascii="Times New Roman" w:hAnsi="Times New Roman" w:eastAsia="Times New Roman"/>
                <w:b w:val="0"/>
                <w:i w:val="0"/>
                <w:sz w:val="16"/>
              </w:rPr>
              <w:t>21.1</w:t>
            </w:r>
          </w:p>
        </w:tc>
        <w:tc>
          <w:tcPr>
            <w:tcW w:type="dxa" w:w="864"/>
          </w:tcPr>
          <w:p>
            <w:pPr>
              <w:jc w:val="right"/>
            </w:pPr>
            <w:r>
              <w:rPr>
                <w:rFonts w:ascii="Times New Roman" w:hAnsi="Times New Roman" w:eastAsia="Times New Roman"/>
                <w:b w:val="0"/>
                <w:i w:val="0"/>
                <w:sz w:val="16"/>
              </w:rPr>
              <w:t>14.5</w:t>
            </w:r>
          </w:p>
        </w:tc>
        <w:tc>
          <w:tcPr>
            <w:tcW w:type="dxa" w:w="1008"/>
          </w:tcPr>
          <w:p>
            <w:pPr>
              <w:jc w:val="right"/>
            </w:pPr>
            <w:r>
              <w:rPr>
                <w:rFonts w:ascii="Times New Roman" w:hAnsi="Times New Roman" w:eastAsia="Times New Roman"/>
                <w:b w:val="0"/>
                <w:i w:val="0"/>
                <w:sz w:val="16"/>
              </w:rPr>
              <w:t>4,540</w:t>
            </w:r>
          </w:p>
        </w:tc>
      </w:tr>
      <w:tr>
        <w:tc>
          <w:tcPr>
            <w:tcW w:type="dxa" w:w="1440"/>
          </w:tcPr>
          <w:p>
            <w:pPr>
              <w:jc w:val="left"/>
            </w:pPr>
            <w:r>
              <w:rPr>
                <w:rFonts w:ascii="Times New Roman" w:hAnsi="Times New Roman" w:eastAsia="Times New Roman"/>
                <w:b w:val="0"/>
                <w:i w:val="0"/>
                <w:sz w:val="16"/>
              </w:rPr>
              <w:t>Sound</w:t>
            </w:r>
          </w:p>
        </w:tc>
        <w:tc>
          <w:tcPr>
            <w:tcW w:type="dxa" w:w="864"/>
          </w:tcPr>
          <w:p>
            <w:pPr>
              <w:jc w:val="right"/>
            </w:pPr>
            <w:r>
              <w:rPr>
                <w:rFonts w:ascii="Times New Roman" w:hAnsi="Times New Roman" w:eastAsia="Times New Roman"/>
                <w:b w:val="0"/>
                <w:i w:val="0"/>
                <w:sz w:val="16"/>
              </w:rPr>
              <w:t>73.4</w:t>
            </w:r>
          </w:p>
        </w:tc>
        <w:tc>
          <w:tcPr>
            <w:tcW w:type="dxa" w:w="864"/>
          </w:tcPr>
          <w:p>
            <w:pPr>
              <w:jc w:val="right"/>
            </w:pPr>
            <w:r>
              <w:rPr>
                <w:rFonts w:ascii="Times New Roman" w:hAnsi="Times New Roman" w:eastAsia="Times New Roman"/>
                <w:b w:val="0"/>
                <w:i w:val="0"/>
                <w:sz w:val="16"/>
              </w:rPr>
              <w:t>13.7</w:t>
            </w:r>
          </w:p>
        </w:tc>
        <w:tc>
          <w:tcPr>
            <w:tcW w:type="dxa" w:w="864"/>
          </w:tcPr>
          <w:p>
            <w:pPr>
              <w:jc w:val="right"/>
            </w:pPr>
            <w:r>
              <w:rPr>
                <w:rFonts w:ascii="Times New Roman" w:hAnsi="Times New Roman" w:eastAsia="Times New Roman"/>
                <w:b w:val="0"/>
                <w:i w:val="0"/>
                <w:sz w:val="16"/>
              </w:rPr>
              <w:t>12.9</w:t>
            </w:r>
          </w:p>
        </w:tc>
        <w:tc>
          <w:tcPr>
            <w:tcW w:type="dxa" w:w="1008"/>
          </w:tcPr>
          <w:p>
            <w:pPr>
              <w:jc w:val="right"/>
            </w:pPr>
            <w:r>
              <w:rPr>
                <w:rFonts w:ascii="Times New Roman" w:hAnsi="Times New Roman" w:eastAsia="Times New Roman"/>
                <w:b w:val="0"/>
                <w:i w:val="0"/>
                <w:sz w:val="16"/>
              </w:rPr>
              <w:t>8,327</w:t>
            </w:r>
          </w:p>
        </w:tc>
      </w:tr>
      <w:tr>
        <w:tc>
          <w:tcPr>
            <w:tcW w:type="dxa" w:w="1440"/>
          </w:tcPr>
          <w:p>
            <w:pPr>
              <w:jc w:val="left"/>
            </w:pPr>
            <w:r>
              <w:rPr>
                <w:rFonts w:ascii="Times New Roman" w:hAnsi="Times New Roman" w:eastAsia="Times New Roman"/>
                <w:b w:val="0"/>
                <w:i w:val="0"/>
                <w:sz w:val="16"/>
              </w:rPr>
              <w:t>Camera</w:t>
            </w:r>
          </w:p>
        </w:tc>
        <w:tc>
          <w:tcPr>
            <w:tcW w:type="dxa" w:w="864"/>
          </w:tcPr>
          <w:p>
            <w:pPr>
              <w:jc w:val="right"/>
            </w:pPr>
            <w:r>
              <w:rPr>
                <w:rFonts w:ascii="Times New Roman" w:hAnsi="Times New Roman" w:eastAsia="Times New Roman"/>
                <w:b w:val="0"/>
                <w:i w:val="0"/>
                <w:sz w:val="16"/>
              </w:rPr>
              <w:t>70.1</w:t>
            </w:r>
          </w:p>
        </w:tc>
        <w:tc>
          <w:tcPr>
            <w:tcW w:type="dxa" w:w="864"/>
          </w:tcPr>
          <w:p>
            <w:pPr>
              <w:jc w:val="right"/>
            </w:pPr>
            <w:r>
              <w:rPr>
                <w:rFonts w:ascii="Times New Roman" w:hAnsi="Times New Roman" w:eastAsia="Times New Roman"/>
                <w:b w:val="0"/>
                <w:i w:val="0"/>
                <w:sz w:val="16"/>
              </w:rPr>
              <w:t>18.6</w:t>
            </w:r>
          </w:p>
        </w:tc>
        <w:tc>
          <w:tcPr>
            <w:tcW w:type="dxa" w:w="864"/>
          </w:tcPr>
          <w:p>
            <w:pPr>
              <w:jc w:val="right"/>
            </w:pPr>
            <w:r>
              <w:rPr>
                <w:rFonts w:ascii="Times New Roman" w:hAnsi="Times New Roman" w:eastAsia="Times New Roman"/>
                <w:b w:val="0"/>
                <w:i w:val="0"/>
                <w:sz w:val="16"/>
              </w:rPr>
              <w:t>11.3</w:t>
            </w:r>
          </w:p>
        </w:tc>
        <w:tc>
          <w:tcPr>
            <w:tcW w:type="dxa" w:w="1008"/>
          </w:tcPr>
          <w:p>
            <w:pPr>
              <w:jc w:val="right"/>
            </w:pPr>
            <w:r>
              <w:rPr>
                <w:rFonts w:ascii="Times New Roman" w:hAnsi="Times New Roman" w:eastAsia="Times New Roman"/>
                <w:b w:val="0"/>
                <w:i w:val="0"/>
                <w:sz w:val="16"/>
              </w:rPr>
              <w:t>5,991</w:t>
            </w:r>
          </w:p>
        </w:tc>
      </w:tr>
      <w:tr>
        <w:tc>
          <w:tcPr>
            <w:tcW w:type="dxa" w:w="1440"/>
          </w:tcPr>
          <w:p>
            <w:pPr>
              <w:jc w:val="left"/>
            </w:pPr>
            <w:r>
              <w:rPr>
                <w:rFonts w:ascii="Times New Roman" w:hAnsi="Times New Roman" w:eastAsia="Times New Roman"/>
                <w:b w:val="0"/>
                <w:i w:val="0"/>
                <w:sz w:val="16"/>
              </w:rPr>
              <w:t>Price/value</w:t>
            </w:r>
          </w:p>
        </w:tc>
        <w:tc>
          <w:tcPr>
            <w:tcW w:type="dxa" w:w="864"/>
          </w:tcPr>
          <w:p>
            <w:pPr>
              <w:jc w:val="right"/>
            </w:pPr>
            <w:r>
              <w:rPr>
                <w:rFonts w:ascii="Times New Roman" w:hAnsi="Times New Roman" w:eastAsia="Times New Roman"/>
                <w:b w:val="0"/>
                <w:i w:val="0"/>
                <w:sz w:val="16"/>
              </w:rPr>
              <w:t>74.2</w:t>
            </w:r>
          </w:p>
        </w:tc>
        <w:tc>
          <w:tcPr>
            <w:tcW w:type="dxa" w:w="864"/>
          </w:tcPr>
          <w:p>
            <w:pPr>
              <w:jc w:val="right"/>
            </w:pPr>
            <w:r>
              <w:rPr>
                <w:rFonts w:ascii="Times New Roman" w:hAnsi="Times New Roman" w:eastAsia="Times New Roman"/>
                <w:b w:val="0"/>
                <w:i w:val="0"/>
                <w:sz w:val="16"/>
              </w:rPr>
              <w:t>15.1</w:t>
            </w:r>
          </w:p>
        </w:tc>
        <w:tc>
          <w:tcPr>
            <w:tcW w:type="dxa" w:w="864"/>
          </w:tcPr>
          <w:p>
            <w:pPr>
              <w:jc w:val="right"/>
            </w:pPr>
            <w:r>
              <w:rPr>
                <w:rFonts w:ascii="Times New Roman" w:hAnsi="Times New Roman" w:eastAsia="Times New Roman"/>
                <w:b w:val="0"/>
                <w:i w:val="0"/>
                <w:sz w:val="16"/>
              </w:rPr>
              <w:t>10.7</w:t>
            </w:r>
          </w:p>
        </w:tc>
        <w:tc>
          <w:tcPr>
            <w:tcW w:type="dxa" w:w="1008"/>
          </w:tcPr>
          <w:p>
            <w:pPr>
              <w:jc w:val="right"/>
            </w:pPr>
            <w:r>
              <w:rPr>
                <w:rFonts w:ascii="Times New Roman" w:hAnsi="Times New Roman" w:eastAsia="Times New Roman"/>
                <w:b w:val="0"/>
                <w:i w:val="0"/>
                <w:sz w:val="16"/>
              </w:rPr>
              <w:t>11,070</w:t>
            </w:r>
          </w:p>
        </w:tc>
      </w:tr>
      <w:tr>
        <w:tc>
          <w:tcPr>
            <w:tcW w:type="dxa" w:w="1440"/>
          </w:tcPr>
          <w:p>
            <w:pPr>
              <w:jc w:val="left"/>
            </w:pPr>
            <w:r>
              <w:rPr>
                <w:rFonts w:ascii="Times New Roman" w:hAnsi="Times New Roman" w:eastAsia="Times New Roman"/>
                <w:b w:val="0"/>
                <w:i w:val="0"/>
                <w:sz w:val="16"/>
              </w:rPr>
              <w:t>Size/comfort</w:t>
            </w:r>
          </w:p>
        </w:tc>
        <w:tc>
          <w:tcPr>
            <w:tcW w:type="dxa" w:w="864"/>
          </w:tcPr>
          <w:p>
            <w:pPr>
              <w:jc w:val="right"/>
            </w:pPr>
            <w:r>
              <w:rPr>
                <w:rFonts w:ascii="Times New Roman" w:hAnsi="Times New Roman" w:eastAsia="Times New Roman"/>
                <w:b w:val="0"/>
                <w:i w:val="0"/>
                <w:sz w:val="16"/>
              </w:rPr>
              <w:t>76.1</w:t>
            </w:r>
          </w:p>
        </w:tc>
        <w:tc>
          <w:tcPr>
            <w:tcW w:type="dxa" w:w="864"/>
          </w:tcPr>
          <w:p>
            <w:pPr>
              <w:jc w:val="right"/>
            </w:pPr>
            <w:r>
              <w:rPr>
                <w:rFonts w:ascii="Times New Roman" w:hAnsi="Times New Roman" w:eastAsia="Times New Roman"/>
                <w:b w:val="0"/>
                <w:i w:val="0"/>
                <w:sz w:val="16"/>
              </w:rPr>
              <w:t>13.5</w:t>
            </w:r>
          </w:p>
        </w:tc>
        <w:tc>
          <w:tcPr>
            <w:tcW w:type="dxa" w:w="864"/>
          </w:tcPr>
          <w:p>
            <w:pPr>
              <w:jc w:val="right"/>
            </w:pPr>
            <w:r>
              <w:rPr>
                <w:rFonts w:ascii="Times New Roman" w:hAnsi="Times New Roman" w:eastAsia="Times New Roman"/>
                <w:b w:val="0"/>
                <w:i w:val="0"/>
                <w:sz w:val="16"/>
              </w:rPr>
              <w:t>10.4</w:t>
            </w:r>
          </w:p>
        </w:tc>
        <w:tc>
          <w:tcPr>
            <w:tcW w:type="dxa" w:w="1008"/>
          </w:tcPr>
          <w:p>
            <w:pPr>
              <w:jc w:val="right"/>
            </w:pPr>
            <w:r>
              <w:rPr>
                <w:rFonts w:ascii="Times New Roman" w:hAnsi="Times New Roman" w:eastAsia="Times New Roman"/>
                <w:b w:val="0"/>
                <w:i w:val="0"/>
                <w:sz w:val="16"/>
              </w:rPr>
              <w:t>10,752</w:t>
            </w:r>
          </w:p>
        </w:tc>
      </w:tr>
      <w:tr>
        <w:tc>
          <w:tcPr>
            <w:tcW w:type="dxa" w:w="1440"/>
            <w:tcBorders>
              <w:bottom w:val="single" w:sz="12" w:color="000000"/>
            </w:tcBorders>
          </w:tcPr>
          <w:p>
            <w:pPr>
              <w:jc w:val="left"/>
            </w:pPr>
            <w:r>
              <w:rPr>
                <w:rFonts w:ascii="Times New Roman" w:hAnsi="Times New Roman" w:eastAsia="Times New Roman"/>
                <w:b w:val="0"/>
                <w:i w:val="0"/>
                <w:sz w:val="16"/>
              </w:rPr>
              <w:t>Build quality</w:t>
            </w:r>
          </w:p>
        </w:tc>
        <w:tc>
          <w:tcPr>
            <w:tcW w:type="dxa" w:w="864"/>
            <w:tcBorders>
              <w:bottom w:val="single" w:sz="12" w:color="000000"/>
            </w:tcBorders>
          </w:tcPr>
          <w:p>
            <w:pPr>
              <w:jc w:val="right"/>
            </w:pPr>
            <w:r>
              <w:rPr>
                <w:rFonts w:ascii="Times New Roman" w:hAnsi="Times New Roman" w:eastAsia="Times New Roman"/>
                <w:b w:val="0"/>
                <w:i w:val="0"/>
                <w:sz w:val="16"/>
              </w:rPr>
              <w:t>66.5</w:t>
            </w:r>
          </w:p>
        </w:tc>
        <w:tc>
          <w:tcPr>
            <w:tcW w:type="dxa" w:w="864"/>
            <w:tcBorders>
              <w:bottom w:val="single" w:sz="12" w:color="000000"/>
            </w:tcBorders>
          </w:tcPr>
          <w:p>
            <w:pPr>
              <w:jc w:val="right"/>
            </w:pPr>
            <w:r>
              <w:rPr>
                <w:rFonts w:ascii="Times New Roman" w:hAnsi="Times New Roman" w:eastAsia="Times New Roman"/>
                <w:b w:val="0"/>
                <w:i w:val="0"/>
                <w:sz w:val="16"/>
              </w:rPr>
              <w:t>25.4</w:t>
            </w:r>
          </w:p>
        </w:tc>
        <w:tc>
          <w:tcPr>
            <w:tcW w:type="dxa" w:w="864"/>
            <w:tcBorders>
              <w:bottom w:val="single" w:sz="12" w:color="000000"/>
            </w:tcBorders>
          </w:tcPr>
          <w:p>
            <w:pPr>
              <w:jc w:val="right"/>
            </w:pPr>
            <w:r>
              <w:rPr>
                <w:rFonts w:ascii="Times New Roman" w:hAnsi="Times New Roman" w:eastAsia="Times New Roman"/>
                <w:b w:val="0"/>
                <w:i w:val="0"/>
                <w:sz w:val="16"/>
              </w:rPr>
              <w:t>8.1</w:t>
            </w:r>
          </w:p>
        </w:tc>
        <w:tc>
          <w:tcPr>
            <w:tcW w:type="dxa" w:w="1008"/>
            <w:tcBorders>
              <w:bottom w:val="single" w:sz="12" w:color="000000"/>
            </w:tcBorders>
          </w:tcPr>
          <w:p>
            <w:pPr>
              <w:jc w:val="right"/>
            </w:pPr>
            <w:r>
              <w:rPr>
                <w:rFonts w:ascii="Times New Roman" w:hAnsi="Times New Roman" w:eastAsia="Times New Roman"/>
                <w:b w:val="0"/>
                <w:i w:val="0"/>
                <w:sz w:val="16"/>
              </w:rPr>
              <w:t>4,636</w:t>
            </w:r>
          </w:p>
        </w:tc>
      </w:tr>
    </w:tbl>
    <w:p>
      <w:pPr>
        <w:keepNext w:val="0"/>
        <w:widowControl/>
        <w:spacing w:after="0" w:before="0"/>
        <w:jc w:val="both"/>
      </w:pPr>
      <w:r>
        <w:rPr>
          <w:rFonts w:ascii="Times New Roman" w:hAnsi="Times New Roman" w:eastAsia="Times New Roman"/>
          <w:b w:val="0"/>
          <w:i w:val="0"/>
          <w:sz w:val="8"/>
        </w:rPr>
      </w:r>
    </w:p>
    <w:p>
      <w:pPr>
        <w:keepNext/>
        <w:widowControl/>
        <w:spacing w:after="40" w:before="100"/>
        <w:jc w:val="left"/>
      </w:pPr>
      <w:r>
        <w:rPr>
          <w:rFonts w:ascii="Times New Roman" w:hAnsi="Times New Roman" w:eastAsia="Times New Roman"/>
          <w:b w:val="0"/>
          <w:i/>
          <w:sz w:val="20"/>
        </w:rPr>
        <w:t>G. Topics and clusters</w:t>
      </w:r>
    </w:p>
    <w:p>
      <w:pPr>
        <w:keepNext w:val="0"/>
        <w:widowControl/>
        <w:spacing w:after="0" w:before="0"/>
        <w:ind w:firstLine="245"/>
        <w:jc w:val="both"/>
      </w:pPr>
      <w:r>
        <w:rPr>
          <w:rFonts w:ascii="Times New Roman" w:hAnsi="Times New Roman" w:eastAsia="Times New Roman"/>
          <w:b w:val="0"/>
          <w:i w:val="0"/>
          <w:sz w:val="20"/>
        </w:rPr>
        <w:t>The eight LDA topics separate along product families: audio and speakers; storage cards and Apple accessories; general praise with computers and drives; USB and power accessories; cameras, televisions and mounts; cases and tablets; headphones and phones; and cables and networking. Clustering is less informative. Of six KMeans clusters, only two are clearly topical (laptop bags and cases, 5,101 reviews; sound and headphones, 5,240 reviews); the remaining four are dominated by generic praise (“works great”, “five stars”, “great product”) and have mean ratings between 4.0 and 4.8. We report this as a negative finding: on short, rating-skewed reviews, TF-IDF clustering mostly recovers sentiment style rather than subject, and LDA is the better tool for discovering topics.</w:t>
      </w:r>
    </w:p>
    <w:p>
      <w:pPr>
        <w:keepNext/>
        <w:widowControl/>
        <w:spacing w:after="40" w:before="100"/>
        <w:jc w:val="left"/>
      </w:pPr>
      <w:r>
        <w:rPr>
          <w:rFonts w:ascii="Times New Roman" w:hAnsi="Times New Roman" w:eastAsia="Times New Roman"/>
          <w:b w:val="0"/>
          <w:i/>
          <w:sz w:val="20"/>
        </w:rPr>
        <w:t>H. Helpfulness prediction</w:t>
      </w:r>
    </w:p>
    <w:p>
      <w:pPr>
        <w:keepNext w:val="0"/>
        <w:widowControl/>
        <w:spacing w:after="0" w:before="0"/>
        <w:ind w:firstLine="245"/>
        <w:jc w:val="both"/>
      </w:pPr>
      <w:r>
        <w:rPr>
          <w:rFonts w:ascii="Times New Roman" w:hAnsi="Times New Roman" w:eastAsia="Times New Roman"/>
          <w:b w:val="0"/>
          <w:i w:val="0"/>
          <w:sz w:val="20"/>
        </w:rPr>
        <w:t>The tuned XGBoost model (best configuration: 200 trees, depth 6, learning rate 0.01, subsample 0.7, column sample 0.7) reaches 70.5% accuracy on the test set with helpful-class precision 0.458, recall 0.702 and F1 0.555. Accuracy is modest in absolute terms; helpfulness is a noisy target that plausibly depends on exposure (how many people saw the review), which no review-level feature captures. Feature importance (Fig. 6b) is led by review length, followed by the number of distinct aspects mentioned and the rating, suggesting that longer, more informative reviews attract more votes; the aspect-count feature, produced by the ABSA module, ranks second, showing how one component feeds another.</w:t>
      </w:r>
    </w:p>
    <w:p>
      <w:pPr>
        <w:spacing w:after="0" w:line="20" w:lineRule="exact"/>
        <w:sectPr>
          <w:type w:val="continuous"/>
          <w:pgSz w:w="12240" w:h="15840"/>
          <w:pgMar w:top="1080" w:right="900" w:bottom="108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5568696" cy="1717324"/>
            <wp:docPr id="6" name="Picture 6"/>
            <wp:cNvGraphicFramePr>
              <a:graphicFrameLocks noChangeAspect="1"/>
            </wp:cNvGraphicFramePr>
            <a:graphic>
              <a:graphicData uri="http://schemas.openxmlformats.org/drawingml/2006/picture">
                <pic:pic>
                  <pic:nvPicPr>
                    <pic:cNvPr id="0" name="fig_aspects_importance.png"/>
                    <pic:cNvPicPr/>
                  </pic:nvPicPr>
                  <pic:blipFill>
                    <a:blip r:embed="rId14"/>
                    <a:stretch>
                      <a:fillRect/>
                    </a:stretch>
                  </pic:blipFill>
                  <pic:spPr>
                    <a:xfrm>
                      <a:off x="0" y="0"/>
                      <a:ext cx="5568696" cy="1717324"/>
                    </a:xfrm>
                    <a:prstGeom prst="rect"/>
                  </pic:spPr>
                </pic:pic>
              </a:graphicData>
            </a:graphic>
          </wp:inline>
        </w:drawing>
      </w:r>
    </w:p>
    <w:p>
      <w:pPr>
        <w:keepNext w:val="0"/>
        <w:widowControl/>
        <w:spacing w:after="120" w:before="0"/>
        <w:jc w:val="center"/>
      </w:pPr>
      <w:r>
        <w:rPr>
          <w:rFonts w:ascii="Times New Roman" w:hAnsi="Times New Roman" w:eastAsia="Times New Roman"/>
          <w:b w:val="0"/>
          <w:i w:val="0"/>
          <w:sz w:val="16"/>
        </w:rPr>
        <w:t xml:space="preserve">Fig. 6. </w:t>
      </w:r>
      <w:r>
        <w:rPr>
          <w:rFonts w:ascii="Times New Roman" w:hAnsi="Times New Roman" w:eastAsia="Times New Roman"/>
          <w:b w:val="0"/>
          <w:i w:val="0"/>
          <w:sz w:val="16"/>
        </w:rPr>
        <w:t>(a) Aspect-level sentiment shares, sorted by negative share. (b) XGBoost feature importance for helpfulness prediction.</w:t>
      </w:r>
    </w:p>
    <w:p>
      <w:pPr>
        <w:spacing w:after="0" w:line="20" w:lineRule="exact"/>
        <w:sectPr>
          <w:type w:val="continuous"/>
          <w:pgSz w:w="12240" w:h="15840"/>
          <w:pgMar w:top="1080" w:right="900" w:bottom="1080" w:left="900" w:header="720" w:footer="720" w:gutter="0"/>
          <w:cols w:space="360" w:num="1"/>
          <w:docGrid w:linePitch="360"/>
        </w:sectPr>
      </w:pPr>
    </w:p>
    <w:p>
      <w:pPr>
        <w:keepNext/>
        <w:widowControl/>
        <w:spacing w:after="40" w:before="100"/>
        <w:jc w:val="left"/>
      </w:pPr>
      <w:r>
        <w:rPr>
          <w:rFonts w:ascii="Times New Roman" w:hAnsi="Times New Roman" w:eastAsia="Times New Roman"/>
          <w:b w:val="0"/>
          <w:i/>
          <w:sz w:val="20"/>
        </w:rPr>
        <w:t>I. Suspicious-review detection</w:t>
      </w:r>
    </w:p>
    <w:p>
      <w:pPr>
        <w:keepNext w:val="0"/>
        <w:widowControl/>
        <w:spacing w:after="0" w:before="0"/>
        <w:ind w:firstLine="245"/>
        <w:jc w:val="both"/>
      </w:pPr>
      <w:r>
        <w:rPr>
          <w:rFonts w:ascii="Times New Roman" w:hAnsi="Times New Roman" w:eastAsia="Times New Roman"/>
          <w:b w:val="0"/>
          <w:i w:val="0"/>
          <w:sz w:val="20"/>
        </w:rPr>
        <w:t xml:space="preserve">With no ground truth we cannot report accuracy, and we do not. The Isolation Forest flags 4,999 reviews (10.0%), of which 36 are near-duplicates (cosine similarity </w:t>
      </w:r>
      <w:r>
        <w:rPr>
          <w:rFonts w:ascii="Times New Roman" w:hAnsi="Times New Roman" w:eastAsia="Times New Roman"/>
          <w:b w:val="0"/>
          <w:i w:val="0"/>
          <w:sz w:val="20"/>
        </w:rPr>
        <w:t>≥</w:t>
      </w:r>
      <w:r>
        <w:rPr>
          <w:rFonts w:ascii="Times New Roman" w:hAnsi="Times New Roman" w:eastAsia="Times New Roman"/>
          <w:b w:val="0"/>
          <w:i w:val="0"/>
          <w:sz w:val="20"/>
        </w:rPr>
        <w:t>0.95 within a product). Inspection of the flagged set is nevertheless instructive. An earlier feature set that fed raw rating and raw length into the forest produced scores correlated +0.55 with length and −0.42 with rating: the model was flagging long, detailed, negative reviews, which are rare but not suspicious. Replacing raw length with a “very short” indicator, removing rating, and adding the per-account review count reversed this; the new scores correlate +0.06 with length and +0.25 with account volume. The highest-scoring reviews are now templated one-liners (“Five Stars. Love it!!!”), all-capitals emotional text, and effusive praise from high-volume unverified accounts. The lesson is general: isolation-based methods flag statistical rarity, so features must be chosen so that rarity aligns with the behaviour of interest.</w:t>
      </w:r>
    </w:p>
    <w:p>
      <w:pPr>
        <w:keepNext/>
        <w:widowControl/>
        <w:spacing w:after="40" w:before="100"/>
        <w:jc w:val="left"/>
      </w:pPr>
      <w:r>
        <w:rPr>
          <w:rFonts w:ascii="Times New Roman" w:hAnsi="Times New Roman" w:eastAsia="Times New Roman"/>
          <w:b w:val="0"/>
          <w:i/>
          <w:sz w:val="20"/>
        </w:rPr>
        <w:t>J. Retrieval and the similarity floor</w:t>
      </w:r>
    </w:p>
    <w:p>
      <w:pPr>
        <w:keepNext w:val="0"/>
        <w:widowControl/>
        <w:spacing w:after="0" w:before="0"/>
        <w:ind w:firstLine="245"/>
        <w:jc w:val="both"/>
      </w:pPr>
      <w:r>
        <w:rPr>
          <w:rFonts w:ascii="Times New Roman" w:hAnsi="Times New Roman" w:eastAsia="Times New Roman"/>
          <w:b w:val="0"/>
          <w:i/>
          <w:sz w:val="20"/>
        </w:rPr>
        <w:t xml:space="preserve">Retrieval. </w:t>
      </w:r>
      <w:r>
        <w:rPr>
          <w:rFonts w:ascii="Times New Roman" w:hAnsi="Times New Roman" w:eastAsia="Times New Roman"/>
          <w:b w:val="0"/>
          <w:i w:val="0"/>
          <w:sz w:val="20"/>
        </w:rPr>
        <w:t>We wrote one paraphrased query per aspect that deliberately avoids every keyword in the aspect lexicon (e.g., “I have to plug it in twice a day or it just dies”) and counted how many of the top five reviews mention the aspect. Dense retrieval achieved a mean aspect-mention rate of 0.54 against 0.32 for TF-IDF retrieval (Table VIII). The advantage is not uniform: dense retrieval was better on seven aspects (camera, sound, performance, build quality, price/value, connectivity, size/comfort), tied on customer service, worse on display, and both methods scored zero on the battery query. With ten queries the difference is indicative, not conclusive, and the lexicon-based relevance proxy under-counts relevant reviews that use other wording, so both rates are lower bounds.</w:t>
      </w:r>
    </w:p>
    <w:p>
      <w:pPr>
        <w:keepNext/>
        <w:widowControl/>
        <w:spacing w:after="0" w:before="120"/>
        <w:jc w:val="center"/>
      </w:pPr>
      <w:r>
        <w:rPr>
          <w:rFonts w:ascii="Times New Roman" w:hAnsi="Times New Roman" w:eastAsia="Times New Roman"/>
          <w:b w:val="0"/>
          <w:i w:val="0"/>
          <w:smallCaps/>
          <w:sz w:val="16"/>
        </w:rPr>
        <w:t>TABLE VIII</w:t>
      </w:r>
    </w:p>
    <w:p>
      <w:pPr>
        <w:keepNext/>
        <w:widowControl/>
        <w:spacing w:after="60" w:before="0"/>
        <w:jc w:val="center"/>
      </w:pPr>
      <w:r>
        <w:rPr>
          <w:rFonts w:ascii="Times New Roman" w:hAnsi="Times New Roman" w:eastAsia="Times New Roman"/>
          <w:b w:val="0"/>
          <w:i w:val="0"/>
          <w:smallCaps/>
          <w:sz w:val="16"/>
        </w:rPr>
        <w:t>Retrieval and guardrail results.</w:t>
      </w:r>
    </w:p>
    <w:tbl>
      <w:tblPr>
        <w:tblW w:type="auto" w:w="0"/>
        <w:jc w:val="center"/>
        <w:tblLayout w:type="fixed"/>
        <w:tblCellMar>
          <w:top w:w="15" w:type="dxa"/>
          <w:left w:w="40" w:type="dxa"/>
          <w:bottom w:w="15" w:type="dxa"/>
          <w:right w:w="40" w:type="dxa"/>
        </w:tblCellMar>
        <w:tblLook w:firstColumn="1" w:firstRow="1" w:lastColumn="0" w:lastRow="0" w:noHBand="0" w:noVBand="1" w:val="04A0"/>
      </w:tblPr>
      <w:tblGrid>
        <w:gridCol w:w="3480"/>
        <w:gridCol w:w="3480"/>
        <w:gridCol w:w="3480"/>
      </w:tblGrid>
      <w:tr>
        <w:tc>
          <w:tcPr>
            <w:tcW w:type="dxa" w:w="5040"/>
            <w:gridSpan w:val="3"/>
            <w:tcBorders>
              <w:top w:val="single" w:sz="12" w:color="000000"/>
              <w:top w:val="single" w:sz="12" w:color="000000"/>
              <w:top w:val="single" w:sz="12" w:color="000000"/>
            </w:tcBorders>
          </w:tcPr>
          <w:p>
            <w:pPr>
              <w:jc w:val="left"/>
            </w:pPr>
            <w:r>
              <w:rPr>
                <w:rFonts w:ascii="Times New Roman" w:hAnsi="Times New Roman" w:eastAsia="Times New Roman"/>
                <w:b w:val="0"/>
                <w:i/>
                <w:sz w:val="16"/>
              </w:rPr>
              <w:t>(a) Aspect-mention rate@5 (10 paraphrased queries)</w:t>
            </w:r>
          </w:p>
        </w:tc>
      </w:tr>
      <w:tr>
        <w:tc>
          <w:tcPr>
            <w:tcW w:type="dxa" w:w="1728"/>
            <w:tcBorders>
              <w:bottom w:val="single" w:sz="6" w:color="000000"/>
            </w:tcBorders>
          </w:tcPr>
          <w:p>
            <w:pPr>
              <w:jc w:val="left"/>
            </w:pPr>
            <w:r>
              <w:rPr>
                <w:rFonts w:ascii="Times New Roman" w:hAnsi="Times New Roman" w:eastAsia="Times New Roman"/>
                <w:b w:val="0"/>
                <w:i w:val="0"/>
                <w:sz w:val="16"/>
              </w:rPr>
              <w:t>Method</w:t>
            </w:r>
          </w:p>
        </w:tc>
        <w:tc>
          <w:tcPr>
            <w:tcW w:type="dxa" w:w="1656"/>
            <w:tcBorders>
              <w:bottom w:val="single" w:sz="6" w:color="000000"/>
            </w:tcBorders>
          </w:tcPr>
          <w:p>
            <w:pPr>
              <w:jc w:val="center"/>
            </w:pPr>
            <w:r>
              <w:rPr>
                <w:rFonts w:ascii="Times New Roman" w:hAnsi="Times New Roman" w:eastAsia="Times New Roman"/>
                <w:b w:val="0"/>
                <w:i w:val="0"/>
                <w:sz w:val="16"/>
              </w:rPr>
              <w:t>Mean</w:t>
            </w:r>
          </w:p>
        </w:tc>
        <w:tc>
          <w:tcPr>
            <w:tcW w:type="dxa" w:w="1656"/>
            <w:tcBorders>
              <w:bottom w:val="single" w:sz="6" w:color="000000"/>
            </w:tcBorders>
          </w:tcPr>
          <w:p>
            <w:pPr>
              <w:jc w:val="center"/>
            </w:pPr>
            <w:r>
              <w:rPr>
                <w:rFonts w:ascii="Times New Roman" w:hAnsi="Times New Roman" w:eastAsia="Times New Roman"/>
                <w:b w:val="0"/>
                <w:i w:val="0"/>
                <w:sz w:val="16"/>
              </w:rPr>
              <w:t xml:space="preserve">Queries </w:t>
            </w:r>
            <w:r>
              <w:rPr>
                <w:rFonts w:ascii="Times New Roman" w:hAnsi="Times New Roman" w:eastAsia="Times New Roman"/>
                <w:b w:val="0"/>
                <w:i w:val="0"/>
                <w:sz w:val="16"/>
              </w:rPr>
              <w:t>≥</w:t>
            </w:r>
            <w:r>
              <w:rPr>
                <w:rFonts w:ascii="Times New Roman" w:hAnsi="Times New Roman" w:eastAsia="Times New Roman"/>
                <w:b w:val="0"/>
                <w:i w:val="0"/>
                <w:sz w:val="16"/>
              </w:rPr>
              <w:t>0.6</w:t>
            </w:r>
          </w:p>
        </w:tc>
      </w:tr>
      <w:tr>
        <w:tc>
          <w:tcPr>
            <w:tcW w:type="dxa" w:w="1728"/>
          </w:tcPr>
          <w:p>
            <w:pPr>
              <w:jc w:val="left"/>
            </w:pPr>
            <w:r>
              <w:rPr>
                <w:rFonts w:ascii="Times New Roman" w:hAnsi="Times New Roman" w:eastAsia="Times New Roman"/>
                <w:b w:val="0"/>
                <w:i w:val="0"/>
                <w:sz w:val="16"/>
              </w:rPr>
              <w:t>TF-IDF cosine</w:t>
            </w:r>
          </w:p>
        </w:tc>
        <w:tc>
          <w:tcPr>
            <w:tcW w:type="dxa" w:w="1656"/>
          </w:tcPr>
          <w:p>
            <w:pPr>
              <w:jc w:val="center"/>
            </w:pPr>
            <w:r>
              <w:rPr>
                <w:rFonts w:ascii="Times New Roman" w:hAnsi="Times New Roman" w:eastAsia="Times New Roman"/>
                <w:b w:val="0"/>
                <w:i w:val="0"/>
                <w:sz w:val="16"/>
              </w:rPr>
              <w:t>0.32</w:t>
            </w:r>
          </w:p>
        </w:tc>
        <w:tc>
          <w:tcPr>
            <w:tcW w:type="dxa" w:w="1656"/>
          </w:tcPr>
          <w:p>
            <w:pPr>
              <w:jc w:val="center"/>
            </w:pPr>
            <w:r>
              <w:rPr>
                <w:rFonts w:ascii="Times New Roman" w:hAnsi="Times New Roman" w:eastAsia="Times New Roman"/>
                <w:b w:val="0"/>
                <w:i w:val="0"/>
                <w:sz w:val="16"/>
              </w:rPr>
              <w:t>3 / 10</w:t>
            </w:r>
          </w:p>
        </w:tc>
      </w:tr>
      <w:tr>
        <w:tc>
          <w:tcPr>
            <w:tcW w:type="dxa" w:w="1728"/>
            <w:tcBorders>
              <w:bottom w:val="single" w:sz="6" w:color="000000"/>
            </w:tcBorders>
          </w:tcPr>
          <w:p>
            <w:pPr>
              <w:jc w:val="left"/>
            </w:pPr>
            <w:r>
              <w:rPr>
                <w:rFonts w:ascii="Times New Roman" w:hAnsi="Times New Roman" w:eastAsia="Times New Roman"/>
                <w:b w:val="0"/>
                <w:i w:val="0"/>
                <w:sz w:val="16"/>
              </w:rPr>
              <w:t>MiniLM dense</w:t>
            </w:r>
          </w:p>
        </w:tc>
        <w:tc>
          <w:tcPr>
            <w:tcW w:type="dxa" w:w="1656"/>
            <w:tcBorders>
              <w:bottom w:val="single" w:sz="6" w:color="000000"/>
            </w:tcBorders>
          </w:tcPr>
          <w:p>
            <w:pPr>
              <w:jc w:val="center"/>
            </w:pPr>
            <w:r>
              <w:rPr>
                <w:rFonts w:ascii="Times New Roman" w:hAnsi="Times New Roman" w:eastAsia="Times New Roman"/>
                <w:b w:val="0"/>
                <w:i w:val="0"/>
                <w:sz w:val="16"/>
              </w:rPr>
              <w:t>0.54</w:t>
            </w:r>
          </w:p>
        </w:tc>
        <w:tc>
          <w:tcPr>
            <w:tcW w:type="dxa" w:w="1656"/>
            <w:tcBorders>
              <w:bottom w:val="single" w:sz="6" w:color="000000"/>
            </w:tcBorders>
          </w:tcPr>
          <w:p>
            <w:pPr>
              <w:jc w:val="center"/>
            </w:pPr>
            <w:r>
              <w:rPr>
                <w:rFonts w:ascii="Times New Roman" w:hAnsi="Times New Roman" w:eastAsia="Times New Roman"/>
                <w:b w:val="0"/>
                <w:i w:val="0"/>
                <w:sz w:val="16"/>
              </w:rPr>
              <w:t>6 / 10</w:t>
            </w:r>
          </w:p>
        </w:tc>
      </w:tr>
      <w:tr>
        <w:tc>
          <w:tcPr>
            <w:tcW w:type="dxa" w:w="5040"/>
            <w:gridSpan w:val="3"/>
          </w:tcPr>
          <w:p>
            <w:pPr>
              <w:jc w:val="left"/>
            </w:pPr>
            <w:r>
              <w:rPr>
                <w:rFonts w:ascii="Times New Roman" w:hAnsi="Times New Roman" w:eastAsia="Times New Roman"/>
                <w:b w:val="0"/>
                <w:i/>
                <w:sz w:val="16"/>
              </w:rPr>
              <w:t xml:space="preserve">(b) Top-1 similarity (9 products </w:t>
            </w:r>
            <w:r>
              <w:rPr>
                <w:rFonts w:ascii="Times New Roman" w:hAnsi="Times New Roman" w:eastAsia="Times New Roman"/>
                <w:b w:val="0"/>
                <w:i w:val="0"/>
                <w:sz w:val="16"/>
              </w:rPr>
              <w:t>×</w:t>
            </w:r>
            <w:r>
              <w:rPr>
                <w:rFonts w:ascii="Times New Roman" w:hAnsi="Times New Roman" w:eastAsia="Times New Roman"/>
                <w:b w:val="0"/>
                <w:i/>
                <w:sz w:val="16"/>
              </w:rPr>
              <w:t xml:space="preserve"> 5 questions)</w:t>
            </w:r>
          </w:p>
        </w:tc>
      </w:tr>
      <w:tr>
        <w:tc>
          <w:tcPr>
            <w:tcW w:type="dxa" w:w="1728"/>
            <w:tcBorders>
              <w:bottom w:val="single" w:sz="6" w:color="000000"/>
            </w:tcBorders>
          </w:tcPr>
          <w:p>
            <w:pPr>
              <w:jc w:val="left"/>
            </w:pPr>
            <w:r>
              <w:rPr>
                <w:rFonts w:ascii="Times New Roman" w:hAnsi="Times New Roman" w:eastAsia="Times New Roman"/>
                <w:b w:val="0"/>
                <w:i w:val="0"/>
                <w:sz w:val="16"/>
              </w:rPr>
              <w:t>Question group</w:t>
            </w:r>
          </w:p>
        </w:tc>
        <w:tc>
          <w:tcPr>
            <w:tcW w:type="dxa" w:w="1656"/>
            <w:tcBorders>
              <w:bottom w:val="single" w:sz="6" w:color="000000"/>
            </w:tcBorders>
          </w:tcPr>
          <w:p>
            <w:pPr>
              <w:jc w:val="center"/>
            </w:pPr>
            <w:r>
              <w:rPr>
                <w:rFonts w:ascii="Times New Roman" w:hAnsi="Times New Roman" w:eastAsia="Times New Roman"/>
                <w:b w:val="0"/>
                <w:i w:val="0"/>
                <w:sz w:val="16"/>
              </w:rPr>
              <w:t>Mean</w:t>
            </w:r>
          </w:p>
        </w:tc>
        <w:tc>
          <w:tcPr>
            <w:tcW w:type="dxa" w:w="1656"/>
            <w:tcBorders>
              <w:bottom w:val="single" w:sz="6" w:color="000000"/>
            </w:tcBorders>
          </w:tcPr>
          <w:p>
            <w:pPr>
              <w:jc w:val="center"/>
            </w:pPr>
            <w:r>
              <w:rPr>
                <w:rFonts w:ascii="Times New Roman" w:hAnsi="Times New Roman" w:eastAsia="Times New Roman"/>
                <w:b w:val="0"/>
                <w:i w:val="0"/>
                <w:sz w:val="16"/>
              </w:rPr>
              <w:t xml:space="preserve">Below </w:t>
            </w:r>
            <w:r>
              <w:rPr>
                <w:rFonts w:ascii="Times New Roman" w:hAnsi="Times New Roman" w:eastAsia="Times New Roman"/>
                <w:b w:val="0"/>
                <w:i w:val="0"/>
                <w:sz w:val="16"/>
              </w:rPr>
              <w:t>τ</w:t>
            </w:r>
          </w:p>
        </w:tc>
      </w:tr>
      <w:tr>
        <w:tc>
          <w:tcPr>
            <w:tcW w:type="dxa" w:w="1728"/>
          </w:tcPr>
          <w:p>
            <w:pPr>
              <w:jc w:val="left"/>
            </w:pPr>
            <w:r>
              <w:rPr>
                <w:rFonts w:ascii="Times New Roman" w:hAnsi="Times New Roman" w:eastAsia="Times New Roman"/>
                <w:b w:val="0"/>
                <w:i w:val="0"/>
                <w:sz w:val="16"/>
              </w:rPr>
              <w:t>Answerable</w:t>
            </w:r>
          </w:p>
        </w:tc>
        <w:tc>
          <w:tcPr>
            <w:tcW w:type="dxa" w:w="1656"/>
          </w:tcPr>
          <w:p>
            <w:pPr>
              <w:jc w:val="center"/>
            </w:pPr>
            <w:r>
              <w:rPr>
                <w:rFonts w:ascii="Times New Roman" w:hAnsi="Times New Roman" w:eastAsia="Times New Roman"/>
                <w:b w:val="0"/>
                <w:i w:val="0"/>
                <w:sz w:val="16"/>
              </w:rPr>
              <w:t>0.455</w:t>
            </w:r>
          </w:p>
        </w:tc>
        <w:tc>
          <w:tcPr>
            <w:tcW w:type="dxa" w:w="1656"/>
          </w:tcPr>
          <w:p>
            <w:pPr>
              <w:jc w:val="center"/>
            </w:pPr>
            <w:r>
              <w:rPr>
                <w:rFonts w:ascii="Times New Roman" w:hAnsi="Times New Roman" w:eastAsia="Times New Roman"/>
                <w:b w:val="0"/>
                <w:i w:val="0"/>
                <w:sz w:val="16"/>
              </w:rPr>
              <w:t>2.2%</w:t>
            </w:r>
          </w:p>
        </w:tc>
      </w:tr>
      <w:tr>
        <w:tc>
          <w:tcPr>
            <w:tcW w:type="dxa" w:w="1728"/>
          </w:tcPr>
          <w:p>
            <w:pPr>
              <w:jc w:val="left"/>
            </w:pPr>
            <w:r>
              <w:rPr>
                <w:rFonts w:ascii="Times New Roman" w:hAnsi="Times New Roman" w:eastAsia="Times New Roman"/>
                <w:b w:val="0"/>
                <w:i w:val="0"/>
                <w:sz w:val="16"/>
              </w:rPr>
              <w:t>Plausible but unanswerable</w:t>
            </w:r>
          </w:p>
        </w:tc>
        <w:tc>
          <w:tcPr>
            <w:tcW w:type="dxa" w:w="1656"/>
          </w:tcPr>
          <w:p>
            <w:pPr>
              <w:jc w:val="center"/>
            </w:pPr>
            <w:r>
              <w:rPr>
                <w:rFonts w:ascii="Times New Roman" w:hAnsi="Times New Roman" w:eastAsia="Times New Roman"/>
                <w:b w:val="0"/>
                <w:i w:val="0"/>
                <w:sz w:val="16"/>
              </w:rPr>
              <w:t>0.218</w:t>
            </w:r>
          </w:p>
        </w:tc>
        <w:tc>
          <w:tcPr>
            <w:tcW w:type="dxa" w:w="1656"/>
          </w:tcPr>
          <w:p>
            <w:pPr>
              <w:jc w:val="center"/>
            </w:pPr>
            <w:r>
              <w:rPr>
                <w:rFonts w:ascii="Times New Roman" w:hAnsi="Times New Roman" w:eastAsia="Times New Roman"/>
                <w:b w:val="0"/>
                <w:i w:val="0"/>
                <w:sz w:val="16"/>
              </w:rPr>
              <w:t>95.6%</w:t>
            </w:r>
          </w:p>
        </w:tc>
      </w:tr>
      <w:tr>
        <w:tc>
          <w:tcPr>
            <w:tcW w:type="dxa" w:w="1728"/>
            <w:tcBorders>
              <w:bottom w:val="single" w:sz="12" w:color="000000"/>
            </w:tcBorders>
          </w:tcPr>
          <w:p>
            <w:pPr>
              <w:jc w:val="left"/>
            </w:pPr>
            <w:r>
              <w:rPr>
                <w:rFonts w:ascii="Times New Roman" w:hAnsi="Times New Roman" w:eastAsia="Times New Roman"/>
                <w:b w:val="0"/>
                <w:i w:val="0"/>
                <w:sz w:val="16"/>
              </w:rPr>
              <w:t>Off-topic</w:t>
            </w:r>
          </w:p>
        </w:tc>
        <w:tc>
          <w:tcPr>
            <w:tcW w:type="dxa" w:w="1656"/>
            <w:tcBorders>
              <w:bottom w:val="single" w:sz="12" w:color="000000"/>
            </w:tcBorders>
          </w:tcPr>
          <w:p>
            <w:pPr>
              <w:jc w:val="center"/>
            </w:pPr>
            <w:r>
              <w:rPr>
                <w:rFonts w:ascii="Times New Roman" w:hAnsi="Times New Roman" w:eastAsia="Times New Roman"/>
                <w:b w:val="0"/>
                <w:i w:val="0"/>
                <w:sz w:val="16"/>
              </w:rPr>
              <w:t>0.184</w:t>
            </w:r>
          </w:p>
        </w:tc>
        <w:tc>
          <w:tcPr>
            <w:tcW w:type="dxa" w:w="1656"/>
            <w:tcBorders>
              <w:bottom w:val="single" w:sz="12" w:color="000000"/>
            </w:tcBorders>
          </w:tcPr>
          <w:p>
            <w:pPr>
              <w:jc w:val="center"/>
            </w:pPr>
            <w:r>
              <w:rPr>
                <w:rFonts w:ascii="Times New Roman" w:hAnsi="Times New Roman" w:eastAsia="Times New Roman"/>
                <w:b w:val="0"/>
                <w:i w:val="0"/>
                <w:sz w:val="16"/>
              </w:rPr>
              <w:t>100%</w:t>
            </w:r>
          </w:p>
        </w:tc>
      </w:tr>
    </w:tbl>
    <w:p>
      <w:pPr>
        <w:keepNext w:val="0"/>
        <w:widowControl/>
        <w:spacing w:after="0" w:before="0"/>
        <w:jc w:val="both"/>
      </w:pPr>
      <w:r>
        <w:rPr>
          <w:rFonts w:ascii="Times New Roman" w:hAnsi="Times New Roman" w:eastAsia="Times New Roman"/>
          <w:b w:val="0"/>
          <w:i w:val="0"/>
          <w:sz w:val="8"/>
        </w:rPr>
      </w:r>
    </w:p>
    <w:p>
      <w:pPr>
        <w:keepNext w:val="0"/>
        <w:widowControl/>
        <w:spacing w:after="0" w:before="0"/>
        <w:ind w:firstLine="245"/>
        <w:jc w:val="both"/>
      </w:pPr>
      <w:r>
        <w:rPr>
          <w:rFonts w:ascii="Times New Roman" w:hAnsi="Times New Roman" w:eastAsia="Times New Roman"/>
          <w:b w:val="0"/>
          <w:i/>
          <w:sz w:val="20"/>
        </w:rPr>
        <w:t xml:space="preserve">Guardrail. </w:t>
      </w:r>
      <w:r>
        <w:rPr>
          <w:rFonts w:ascii="Times New Roman" w:hAnsi="Times New Roman" w:eastAsia="Times New Roman"/>
          <w:b w:val="0"/>
          <w:i w:val="0"/>
          <w:sz w:val="20"/>
        </w:rPr>
        <w:t xml:space="preserve">Table VIII(b) shows that top-1 similarity separates answerable from unanswerable questions well: with </w:t>
      </w:r>
      <w:r>
        <w:rPr>
          <w:rFonts w:ascii="Times New Roman" w:hAnsi="Times New Roman" w:eastAsia="Times New Roman"/>
          <w:b w:val="0"/>
          <w:i w:val="0"/>
          <w:sz w:val="20"/>
        </w:rPr>
        <w:t>τ</w:t>
      </w:r>
      <w:r>
        <w:rPr>
          <w:rFonts w:ascii="Times New Roman" w:hAnsi="Times New Roman" w:eastAsia="Times New Roman"/>
          <w:b w:val="0"/>
          <w:i w:val="0"/>
          <w:sz w:val="20"/>
        </w:rPr>
        <w:t>=0.30 the system declines 100% of off-topic and 95.6% of plausible-but-unanswerable questions (for example warranty, colour options or waterproof ratings the reviews never mention) while declining only 2.2% of answerable ones. The guardrail was introduced after we observed the unguarded generator answering “No” to a warranty question at a top-1 similarity of about 0.25, i.e. producing a confident but ungrounded answer. We evaluated the guardrail on 45 product and question pairs per group across the nine products with at least 60 reviews, so the estimate has wide uncertainty; and we did not evaluate the faithfulness of answers that pass the floor, which remains future work.</w:t>
      </w:r>
    </w:p>
    <w:p>
      <w:pPr>
        <w:keepNext/>
        <w:widowControl/>
        <w:spacing w:after="40" w:before="100"/>
        <w:jc w:val="left"/>
      </w:pPr>
      <w:r>
        <w:rPr>
          <w:rFonts w:ascii="Times New Roman" w:hAnsi="Times New Roman" w:eastAsia="Times New Roman"/>
          <w:b w:val="0"/>
          <w:i/>
          <w:sz w:val="20"/>
        </w:rPr>
        <w:t>K. Practical implications</w:t>
      </w:r>
    </w:p>
    <w:p>
      <w:pPr>
        <w:keepNext w:val="0"/>
        <w:widowControl/>
        <w:spacing w:after="0" w:before="0"/>
        <w:ind w:firstLine="245"/>
        <w:jc w:val="both"/>
      </w:pPr>
      <w:r>
        <w:rPr>
          <w:rFonts w:ascii="Times New Roman" w:hAnsi="Times New Roman" w:eastAsia="Times New Roman"/>
          <w:b w:val="0"/>
          <w:i w:val="0"/>
          <w:sz w:val="20"/>
        </w:rPr>
        <w:t>The results suggest how each audience can use the system. A buyer gains most from the aspect view, which replaces a single star average with evidence-linked statements, and from question answering that can say the reviews are silent. A seller gains from the complaint ranking (battery, connectivity, customer service) and the review-quality view.</w:t>
      </w:r>
    </w:p>
    <w:p>
      <w:pPr>
        <w:keepNext/>
        <w:widowControl/>
        <w:spacing w:after="80" w:before="160"/>
        <w:jc w:val="center"/>
      </w:pPr>
      <w:r>
        <w:rPr>
          <w:rFonts w:ascii="Times New Roman" w:hAnsi="Times New Roman" w:eastAsia="Times New Roman"/>
          <w:b w:val="0"/>
          <w:i w:val="0"/>
          <w:sz w:val="20"/>
        </w:rPr>
        <w:t>VII. LIMITATIONS AND THREATS TO VALIDITY</w:t>
      </w:r>
    </w:p>
    <w:p>
      <w:pPr>
        <w:keepNext w:val="0"/>
        <w:widowControl/>
        <w:spacing w:after="0" w:before="0"/>
        <w:ind w:firstLine="245"/>
        <w:jc w:val="both"/>
      </w:pPr>
      <w:r>
        <w:rPr>
          <w:rFonts w:ascii="Times New Roman" w:hAnsi="Times New Roman" w:eastAsia="Times New Roman"/>
          <w:b w:val="0"/>
          <w:i/>
          <w:sz w:val="20"/>
        </w:rPr>
        <w:t xml:space="preserve">Weak labels. </w:t>
      </w:r>
      <w:r>
        <w:rPr>
          <w:rFonts w:ascii="Times New Roman" w:hAnsi="Times New Roman" w:eastAsia="Times New Roman"/>
          <w:b w:val="0"/>
          <w:i w:val="0"/>
          <w:sz w:val="20"/>
        </w:rPr>
        <w:t>Sentiment is derived from stars, not human annotation; reported accuracies measure agreement with ratings. Manual annotation of a subset would give a cleaner neutral class.</w:t>
      </w:r>
    </w:p>
    <w:p>
      <w:pPr>
        <w:keepNext w:val="0"/>
        <w:widowControl/>
        <w:spacing w:after="0" w:before="0"/>
        <w:ind w:firstLine="245"/>
        <w:jc w:val="both"/>
      </w:pPr>
      <w:r>
        <w:rPr>
          <w:rFonts w:ascii="Times New Roman" w:hAnsi="Times New Roman" w:eastAsia="Times New Roman"/>
          <w:b w:val="0"/>
          <w:i/>
          <w:sz w:val="20"/>
        </w:rPr>
        <w:t xml:space="preserve">Sampling. </w:t>
      </w:r>
      <w:r>
        <w:rPr>
          <w:rFonts w:ascii="Times New Roman" w:hAnsi="Times New Roman" w:eastAsia="Times New Roman"/>
          <w:b w:val="0"/>
          <w:i w:val="0"/>
          <w:sz w:val="20"/>
        </w:rPr>
        <w:t>The working sample was taken from the beginning of the category file rather than drawn at random. That file is grouped by reviewer (the 65,552 raw records form 9,686 contiguous blocks, one per reviewer), so the sample over-represents prolific reviewers: 392 accounts with at least 20 reviews contribute about 40% of it. This distorts per-account features such as the one used for suspicious-review detection, and it limits generalisation to the full catalogue. Results are for English-language reviews in a single product category and may not transfer to other languages or domains.</w:t>
      </w:r>
    </w:p>
    <w:p>
      <w:pPr>
        <w:keepNext w:val="0"/>
        <w:widowControl/>
        <w:spacing w:after="0" w:before="0"/>
        <w:ind w:firstLine="245"/>
        <w:jc w:val="both"/>
      </w:pPr>
      <w:r>
        <w:rPr>
          <w:rFonts w:ascii="Times New Roman" w:hAnsi="Times New Roman" w:eastAsia="Times New Roman"/>
          <w:b w:val="0"/>
          <w:i/>
          <w:sz w:val="20"/>
        </w:rPr>
        <w:t xml:space="preserve">Unequal training budgets. </w:t>
      </w:r>
      <w:r>
        <w:rPr>
          <w:rFonts w:ascii="Times New Roman" w:hAnsi="Times New Roman" w:eastAsia="Times New Roman"/>
          <w:b w:val="0"/>
          <w:i w:val="0"/>
          <w:sz w:val="20"/>
        </w:rPr>
        <w:t>DistilBERT was fine-tuned on one-sixth of the data used for the LSTM and without class weighting. The main comparison uses a single training run per model; the bootstrap intervals capture test-sampling variance, and the ablation shows that the LSTM’s seed-to-seed standard deviation is small (about 0.004 macro-F1 and 0.003 accuracy), but DistilBERT was trained only once.</w:t>
      </w:r>
    </w:p>
    <w:p>
      <w:pPr>
        <w:keepNext w:val="0"/>
        <w:widowControl/>
        <w:spacing w:after="0" w:before="0"/>
        <w:ind w:firstLine="245"/>
        <w:jc w:val="both"/>
      </w:pPr>
      <w:r>
        <w:rPr>
          <w:rFonts w:ascii="Times New Roman" w:hAnsi="Times New Roman" w:eastAsia="Times New Roman"/>
          <w:b w:val="0"/>
          <w:i/>
          <w:sz w:val="20"/>
        </w:rPr>
        <w:t xml:space="preserve">Lexicon-based aspects. </w:t>
      </w:r>
      <w:r>
        <w:rPr>
          <w:rFonts w:ascii="Times New Roman" w:hAnsi="Times New Roman" w:eastAsia="Times New Roman"/>
          <w:b w:val="0"/>
          <w:i w:val="0"/>
          <w:sz w:val="20"/>
        </w:rPr>
        <w:t>The ABSA module relies on keyword lexicons and sentence-level VADER scores, so it misses implicit aspects and can mis-score sarcasm or negation. Aspect polarity was not validated against human labels.</w:t>
      </w:r>
    </w:p>
    <w:p>
      <w:pPr>
        <w:keepNext w:val="0"/>
        <w:widowControl/>
        <w:spacing w:after="0" w:before="0"/>
        <w:ind w:firstLine="245"/>
        <w:jc w:val="both"/>
      </w:pPr>
      <w:r>
        <w:rPr>
          <w:rFonts w:ascii="Times New Roman" w:hAnsi="Times New Roman" w:eastAsia="Times New Roman"/>
          <w:b w:val="0"/>
          <w:i/>
          <w:sz w:val="20"/>
        </w:rPr>
        <w:t xml:space="preserve">No ground truth for suspicion. </w:t>
      </w:r>
      <w:r>
        <w:rPr>
          <w:rFonts w:ascii="Times New Roman" w:hAnsi="Times New Roman" w:eastAsia="Times New Roman"/>
          <w:b w:val="0"/>
          <w:i w:val="0"/>
          <w:sz w:val="20"/>
        </w:rPr>
        <w:t>Flagged reviews are anomalies, not confirmed fakes, and the interface is worded accordingly. Coordinated campaigns that imitate normal behaviour would not be detected.</w:t>
      </w:r>
    </w:p>
    <w:p>
      <w:pPr>
        <w:keepNext w:val="0"/>
        <w:widowControl/>
        <w:spacing w:after="0" w:before="0"/>
        <w:ind w:firstLine="245"/>
        <w:jc w:val="both"/>
      </w:pPr>
      <w:r>
        <w:rPr>
          <w:rFonts w:ascii="Times New Roman" w:hAnsi="Times New Roman" w:eastAsia="Times New Roman"/>
          <w:b w:val="0"/>
          <w:i/>
          <w:sz w:val="20"/>
        </w:rPr>
        <w:t xml:space="preserve">Evaluation of generation. </w:t>
      </w:r>
      <w:r>
        <w:rPr>
          <w:rFonts w:ascii="Times New Roman" w:hAnsi="Times New Roman" w:eastAsia="Times New Roman"/>
          <w:b w:val="0"/>
          <w:i w:val="0"/>
          <w:sz w:val="20"/>
        </w:rPr>
        <w:t>We measured retrieval and the refusal guardrail but not the faithfulness or fluency of generated answers.</w:t>
      </w:r>
    </w:p>
    <w:p>
      <w:pPr>
        <w:keepNext/>
        <w:widowControl/>
        <w:spacing w:after="80" w:before="160"/>
        <w:jc w:val="center"/>
      </w:pPr>
      <w:r>
        <w:rPr>
          <w:rFonts w:ascii="Times New Roman" w:hAnsi="Times New Roman" w:eastAsia="Times New Roman"/>
          <w:b w:val="0"/>
          <w:i w:val="0"/>
          <w:sz w:val="20"/>
        </w:rPr>
        <w:t>VIII. CONCLUSION</w:t>
      </w:r>
    </w:p>
    <w:p>
      <w:pPr>
        <w:keepNext w:val="0"/>
        <w:widowControl/>
        <w:spacing w:after="0" w:before="0"/>
        <w:ind w:firstLine="245"/>
        <w:jc w:val="both"/>
      </w:pPr>
      <w:r>
        <w:rPr>
          <w:rFonts w:ascii="Times New Roman" w:hAnsi="Times New Roman" w:eastAsia="Times New Roman"/>
          <w:b w:val="0"/>
          <w:i w:val="0"/>
          <w:sz w:val="20"/>
        </w:rPr>
        <w:t>We presented ReviewIQ, a framework that integrates NLP, deep learning and advanced machine learning around a shared review corpus and exposes the results through a grounded, product-scoped dashboard. A BiLSTM with attention trained from scratch matched a TF-IDF SVM in accuracy but significantly improved macro-F1 by better recognising the neutral class, while a lightly fine-tuned DistilBERT gave the best accuracy of the default-trained models; the two neural models were statistically comparable on macro-F1. A three-seed ablation showed that class weighting, rather than attention pooling, accounts for most of the LSTM’s macro-F1 gain at a small cost in accuracy, and that an unweighted LSTM matches DistilBERT’s accuracy. The LSTM also runs about 57 times faster than DistilBERT on CPU with 26 times fewer parameters. Aspect analysis identified battery, connectivity and customer service as the main complaint areas, helpfulness could be predicted moderately well from review structure, and an unsupervised anomaly score surfaced low-effort and high-volume review patterns once its features were corrected. A similarity floor made the question-answering component decline nearly all unsupported questions. Future work includes training DistilBERT on the full data with matched class weighting, learned aspect extraction, human-annotated neutral and suspicious subsets, random rather than contiguous sampling across categories, a faithfulness evaluation of generated answers, larger generators for the question-answering component, and a seller-facing view that tracks complaint areas over time.</w:t>
      </w:r>
    </w:p>
    <w:p>
      <w:pPr>
        <w:keepNext/>
        <w:widowControl/>
        <w:spacing w:after="80" w:before="160"/>
        <w:jc w:val="center"/>
      </w:pPr>
      <w:r>
        <w:rPr>
          <w:rFonts w:ascii="Times New Roman" w:hAnsi="Times New Roman" w:eastAsia="Times New Roman"/>
          <w:b w:val="0"/>
          <w:i w:val="0"/>
          <w:sz w:val="20"/>
        </w:rPr>
        <w:t>ACKNOWLEDGMENT</w:t>
      </w:r>
    </w:p>
    <w:p>
      <w:pPr>
        <w:keepNext w:val="0"/>
        <w:widowControl/>
        <w:spacing w:after="0" w:before="0"/>
        <w:ind w:firstLine="245"/>
        <w:jc w:val="both"/>
      </w:pPr>
      <w:r>
        <w:rPr>
          <w:rFonts w:ascii="Times New Roman" w:hAnsi="Times New Roman" w:eastAsia="Times New Roman"/>
          <w:b w:val="0"/>
          <w:i w:val="0"/>
          <w:sz w:val="20"/>
        </w:rPr>
        <w:t>The authors thank Prof. Sneha Annappanavar for her guidance, and the maintainers of the Amazon Reviews 2023 collection.</w:t>
      </w:r>
    </w:p>
    <w:p>
      <w:pPr>
        <w:keepNext/>
        <w:widowControl/>
        <w:spacing w:after="80" w:before="160"/>
        <w:jc w:val="center"/>
      </w:pPr>
      <w:r>
        <w:rPr>
          <w:rFonts w:ascii="Times New Roman" w:hAnsi="Times New Roman" w:eastAsia="Times New Roman"/>
          <w:b w:val="0"/>
          <w:i w:val="0"/>
          <w:sz w:val="20"/>
        </w:rPr>
        <w:t>REFERENCES</w:t>
      </w:r>
    </w:p>
    <w:p>
      <w:pPr>
        <w:keepNext w:val="0"/>
        <w:widowControl/>
        <w:tabs>
          <w:tab w:pos="432" w:val="left"/>
        </w:tabs>
        <w:spacing w:after="40" w:before="0"/>
        <w:ind w:left="432" w:hanging="432"/>
        <w:jc w:val="both"/>
      </w:pPr>
      <w:r>
        <w:rPr>
          <w:rFonts w:ascii="Times New Roman" w:hAnsi="Times New Roman" w:eastAsia="Times New Roman"/>
          <w:b w:val="0"/>
          <w:i w:val="0"/>
          <w:sz w:val="16"/>
        </w:rPr>
        <w:t>[1]</w:t>
        <w:tab/>
      </w:r>
      <w:r>
        <w:rPr>
          <w:rFonts w:ascii="Times New Roman" w:hAnsi="Times New Roman" w:eastAsia="Times New Roman"/>
          <w:b w:val="0"/>
          <w:i w:val="0"/>
          <w:sz w:val="16"/>
        </w:rPr>
        <w:t xml:space="preserve">B. Pang, L. Lee, and S. Vaithyanathan, “Thumbs up? Sentiment classification using machine learning techniques,” in </w:t>
      </w:r>
      <w:r>
        <w:rPr>
          <w:rFonts w:ascii="Times New Roman" w:hAnsi="Times New Roman" w:eastAsia="Times New Roman"/>
          <w:b w:val="0"/>
          <w:i/>
          <w:sz w:val="16"/>
        </w:rPr>
        <w:t>Proc. EMNLP</w:t>
      </w:r>
      <w:r>
        <w:rPr>
          <w:rFonts w:ascii="Times New Roman" w:hAnsi="Times New Roman" w:eastAsia="Times New Roman"/>
          <w:b w:val="0"/>
          <w:i w:val="0"/>
          <w:sz w:val="16"/>
        </w:rPr>
        <w:t>, 2002, pp. 79–86.</w:t>
      </w:r>
    </w:p>
    <w:p>
      <w:pPr>
        <w:keepNext w:val="0"/>
        <w:widowControl/>
        <w:tabs>
          <w:tab w:pos="432" w:val="left"/>
        </w:tabs>
        <w:spacing w:after="40" w:before="0"/>
        <w:ind w:left="432" w:hanging="432"/>
        <w:jc w:val="both"/>
      </w:pPr>
      <w:r>
        <w:rPr>
          <w:rFonts w:ascii="Times New Roman" w:hAnsi="Times New Roman" w:eastAsia="Times New Roman"/>
          <w:b w:val="0"/>
          <w:i w:val="0"/>
          <w:sz w:val="16"/>
        </w:rPr>
        <w:t>[2]</w:t>
        <w:tab/>
      </w:r>
      <w:r>
        <w:rPr>
          <w:rFonts w:ascii="Times New Roman" w:hAnsi="Times New Roman" w:eastAsia="Times New Roman"/>
          <w:b w:val="0"/>
          <w:i w:val="0"/>
          <w:sz w:val="16"/>
        </w:rPr>
        <w:t xml:space="preserve">B. Liu, </w:t>
      </w:r>
      <w:r>
        <w:rPr>
          <w:rFonts w:ascii="Times New Roman" w:hAnsi="Times New Roman" w:eastAsia="Times New Roman"/>
          <w:b w:val="0"/>
          <w:i/>
          <w:sz w:val="16"/>
        </w:rPr>
        <w:t>Sentiment Analysis and Opinion Mining</w:t>
      </w:r>
      <w:r>
        <w:rPr>
          <w:rFonts w:ascii="Times New Roman" w:hAnsi="Times New Roman" w:eastAsia="Times New Roman"/>
          <w:b w:val="0"/>
          <w:i w:val="0"/>
          <w:sz w:val="16"/>
        </w:rPr>
        <w:t>. San Rafael, CA, USA: Morgan &amp; Claypool, 2012.</w:t>
      </w:r>
    </w:p>
    <w:p>
      <w:pPr>
        <w:keepNext w:val="0"/>
        <w:widowControl/>
        <w:tabs>
          <w:tab w:pos="432" w:val="left"/>
        </w:tabs>
        <w:spacing w:after="40" w:before="0"/>
        <w:ind w:left="432" w:hanging="432"/>
        <w:jc w:val="both"/>
      </w:pPr>
      <w:r>
        <w:rPr>
          <w:rFonts w:ascii="Times New Roman" w:hAnsi="Times New Roman" w:eastAsia="Times New Roman"/>
          <w:b w:val="0"/>
          <w:i w:val="0"/>
          <w:sz w:val="16"/>
        </w:rPr>
        <w:t>[3]</w:t>
        <w:tab/>
      </w:r>
      <w:r>
        <w:rPr>
          <w:rFonts w:ascii="Times New Roman" w:hAnsi="Times New Roman" w:eastAsia="Times New Roman"/>
          <w:b w:val="0"/>
          <w:i w:val="0"/>
          <w:sz w:val="16"/>
        </w:rPr>
        <w:t xml:space="preserve">M. Hu and B. Liu, “Mining and summarizing customer reviews,” in </w:t>
      </w:r>
      <w:r>
        <w:rPr>
          <w:rFonts w:ascii="Times New Roman" w:hAnsi="Times New Roman" w:eastAsia="Times New Roman"/>
          <w:b w:val="0"/>
          <w:i/>
          <w:sz w:val="16"/>
        </w:rPr>
        <w:t>Proc. ACM SIGKDD</w:t>
      </w:r>
      <w:r>
        <w:rPr>
          <w:rFonts w:ascii="Times New Roman" w:hAnsi="Times New Roman" w:eastAsia="Times New Roman"/>
          <w:b w:val="0"/>
          <w:i w:val="0"/>
          <w:sz w:val="16"/>
        </w:rPr>
        <w:t>, 2004, pp. 168–177.</w:t>
      </w:r>
    </w:p>
    <w:p>
      <w:pPr>
        <w:keepNext w:val="0"/>
        <w:widowControl/>
        <w:tabs>
          <w:tab w:pos="432" w:val="left"/>
        </w:tabs>
        <w:spacing w:after="40" w:before="0"/>
        <w:ind w:left="432" w:hanging="432"/>
        <w:jc w:val="both"/>
      </w:pPr>
      <w:r>
        <w:rPr>
          <w:rFonts w:ascii="Times New Roman" w:hAnsi="Times New Roman" w:eastAsia="Times New Roman"/>
          <w:b w:val="0"/>
          <w:i w:val="0"/>
          <w:sz w:val="16"/>
        </w:rPr>
        <w:t>[4]</w:t>
        <w:tab/>
      </w:r>
      <w:r>
        <w:rPr>
          <w:rFonts w:ascii="Times New Roman" w:hAnsi="Times New Roman" w:eastAsia="Times New Roman"/>
          <w:b w:val="0"/>
          <w:i w:val="0"/>
          <w:sz w:val="16"/>
        </w:rPr>
        <w:t xml:space="preserve">S.-M. Kim, P. Pantel, T. Chklovski, and M. Pennacchiotti, “Automatically assessing review helpfulness,” in </w:t>
      </w:r>
      <w:r>
        <w:rPr>
          <w:rFonts w:ascii="Times New Roman" w:hAnsi="Times New Roman" w:eastAsia="Times New Roman"/>
          <w:b w:val="0"/>
          <w:i/>
          <w:sz w:val="16"/>
        </w:rPr>
        <w:t>Proc. EMNLP</w:t>
      </w:r>
      <w:r>
        <w:rPr>
          <w:rFonts w:ascii="Times New Roman" w:hAnsi="Times New Roman" w:eastAsia="Times New Roman"/>
          <w:b w:val="0"/>
          <w:i w:val="0"/>
          <w:sz w:val="16"/>
        </w:rPr>
        <w:t>, 2006, pp. 423–430.</w:t>
      </w:r>
    </w:p>
    <w:p>
      <w:pPr>
        <w:keepNext w:val="0"/>
        <w:widowControl/>
        <w:tabs>
          <w:tab w:pos="432" w:val="left"/>
        </w:tabs>
        <w:spacing w:after="40" w:before="0"/>
        <w:ind w:left="432" w:hanging="432"/>
        <w:jc w:val="both"/>
      </w:pPr>
      <w:r>
        <w:rPr>
          <w:rFonts w:ascii="Times New Roman" w:hAnsi="Times New Roman" w:eastAsia="Times New Roman"/>
          <w:b w:val="0"/>
          <w:i w:val="0"/>
          <w:sz w:val="16"/>
        </w:rPr>
        <w:t>[5]</w:t>
        <w:tab/>
      </w:r>
      <w:r>
        <w:rPr>
          <w:rFonts w:ascii="Times New Roman" w:hAnsi="Times New Roman" w:eastAsia="Times New Roman"/>
          <w:b w:val="0"/>
          <w:i w:val="0"/>
          <w:sz w:val="16"/>
        </w:rPr>
        <w:t xml:space="preserve">N. Jindal and B. Liu, “Opinion spam and analysis,” in </w:t>
      </w:r>
      <w:r>
        <w:rPr>
          <w:rFonts w:ascii="Times New Roman" w:hAnsi="Times New Roman" w:eastAsia="Times New Roman"/>
          <w:b w:val="0"/>
          <w:i/>
          <w:sz w:val="16"/>
        </w:rPr>
        <w:t>Proc. WSDM</w:t>
      </w:r>
      <w:r>
        <w:rPr>
          <w:rFonts w:ascii="Times New Roman" w:hAnsi="Times New Roman" w:eastAsia="Times New Roman"/>
          <w:b w:val="0"/>
          <w:i w:val="0"/>
          <w:sz w:val="16"/>
        </w:rPr>
        <w:t>, 2008, pp. 219–230.</w:t>
      </w:r>
    </w:p>
    <w:p>
      <w:pPr>
        <w:keepNext w:val="0"/>
        <w:widowControl/>
        <w:tabs>
          <w:tab w:pos="432" w:val="left"/>
        </w:tabs>
        <w:spacing w:after="40" w:before="0"/>
        <w:ind w:left="432" w:hanging="432"/>
        <w:jc w:val="both"/>
      </w:pPr>
      <w:r>
        <w:rPr>
          <w:rFonts w:ascii="Times New Roman" w:hAnsi="Times New Roman" w:eastAsia="Times New Roman"/>
          <w:b w:val="0"/>
          <w:i w:val="0"/>
          <w:sz w:val="16"/>
        </w:rPr>
        <w:t>[6]</w:t>
        <w:tab/>
      </w:r>
      <w:r>
        <w:rPr>
          <w:rFonts w:ascii="Times New Roman" w:hAnsi="Times New Roman" w:eastAsia="Times New Roman"/>
          <w:b w:val="0"/>
          <w:i w:val="0"/>
          <w:sz w:val="16"/>
        </w:rPr>
        <w:t xml:space="preserve">M. Ott, Y. Choi, C. Cardie, and J. T. Hancock, “Finding deceptive opinion spam by any stretch of the imagination,” in </w:t>
      </w:r>
      <w:r>
        <w:rPr>
          <w:rFonts w:ascii="Times New Roman" w:hAnsi="Times New Roman" w:eastAsia="Times New Roman"/>
          <w:b w:val="0"/>
          <w:i/>
          <w:sz w:val="16"/>
        </w:rPr>
        <w:t>Proc. ACL</w:t>
      </w:r>
      <w:r>
        <w:rPr>
          <w:rFonts w:ascii="Times New Roman" w:hAnsi="Times New Roman" w:eastAsia="Times New Roman"/>
          <w:b w:val="0"/>
          <w:i w:val="0"/>
          <w:sz w:val="16"/>
        </w:rPr>
        <w:t>, 2011, pp. 309–319.</w:t>
      </w:r>
    </w:p>
    <w:p>
      <w:pPr>
        <w:keepNext w:val="0"/>
        <w:widowControl/>
        <w:tabs>
          <w:tab w:pos="432" w:val="left"/>
        </w:tabs>
        <w:spacing w:after="40" w:before="0"/>
        <w:ind w:left="432" w:hanging="432"/>
        <w:jc w:val="both"/>
      </w:pPr>
      <w:r>
        <w:rPr>
          <w:rFonts w:ascii="Times New Roman" w:hAnsi="Times New Roman" w:eastAsia="Times New Roman"/>
          <w:b w:val="0"/>
          <w:i w:val="0"/>
          <w:sz w:val="16"/>
        </w:rPr>
        <w:t>[7]</w:t>
        <w:tab/>
      </w:r>
      <w:r>
        <w:rPr>
          <w:rFonts w:ascii="Times New Roman" w:hAnsi="Times New Roman" w:eastAsia="Times New Roman"/>
          <w:b w:val="0"/>
          <w:i w:val="0"/>
          <w:sz w:val="16"/>
        </w:rPr>
        <w:t xml:space="preserve">T. Joachims, “Text categorization with support vector machines: Learning with many relevant features,” in </w:t>
      </w:r>
      <w:r>
        <w:rPr>
          <w:rFonts w:ascii="Times New Roman" w:hAnsi="Times New Roman" w:eastAsia="Times New Roman"/>
          <w:b w:val="0"/>
          <w:i/>
          <w:sz w:val="16"/>
        </w:rPr>
        <w:t>Proc. ECML</w:t>
      </w:r>
      <w:r>
        <w:rPr>
          <w:rFonts w:ascii="Times New Roman" w:hAnsi="Times New Roman" w:eastAsia="Times New Roman"/>
          <w:b w:val="0"/>
          <w:i w:val="0"/>
          <w:sz w:val="16"/>
        </w:rPr>
        <w:t>, 1998, pp. 137–142.</w:t>
      </w:r>
    </w:p>
    <w:p>
      <w:pPr>
        <w:keepNext w:val="0"/>
        <w:widowControl/>
        <w:tabs>
          <w:tab w:pos="432" w:val="left"/>
        </w:tabs>
        <w:spacing w:after="40" w:before="0"/>
        <w:ind w:left="432" w:hanging="432"/>
        <w:jc w:val="both"/>
      </w:pPr>
      <w:r>
        <w:rPr>
          <w:rFonts w:ascii="Times New Roman" w:hAnsi="Times New Roman" w:eastAsia="Times New Roman"/>
          <w:b w:val="0"/>
          <w:i w:val="0"/>
          <w:sz w:val="16"/>
        </w:rPr>
        <w:t>[8]</w:t>
        <w:tab/>
      </w:r>
      <w:r>
        <w:rPr>
          <w:rFonts w:ascii="Times New Roman" w:hAnsi="Times New Roman" w:eastAsia="Times New Roman"/>
          <w:b w:val="0"/>
          <w:i w:val="0"/>
          <w:sz w:val="16"/>
        </w:rPr>
        <w:t xml:space="preserve">C. J. Hutto and E. Gilbert, “VADER: A parsimonious rule-based model for sentiment analysis of social media text,” in </w:t>
      </w:r>
      <w:r>
        <w:rPr>
          <w:rFonts w:ascii="Times New Roman" w:hAnsi="Times New Roman" w:eastAsia="Times New Roman"/>
          <w:b w:val="0"/>
          <w:i/>
          <w:sz w:val="16"/>
        </w:rPr>
        <w:t>Proc. ICWSM</w:t>
      </w:r>
      <w:r>
        <w:rPr>
          <w:rFonts w:ascii="Times New Roman" w:hAnsi="Times New Roman" w:eastAsia="Times New Roman"/>
          <w:b w:val="0"/>
          <w:i w:val="0"/>
          <w:sz w:val="16"/>
        </w:rPr>
        <w:t>, 2014.</w:t>
      </w:r>
    </w:p>
    <w:p>
      <w:pPr>
        <w:keepNext w:val="0"/>
        <w:widowControl/>
        <w:tabs>
          <w:tab w:pos="432" w:val="left"/>
        </w:tabs>
        <w:spacing w:after="40" w:before="0"/>
        <w:ind w:left="432" w:hanging="432"/>
        <w:jc w:val="both"/>
      </w:pPr>
      <w:r>
        <w:rPr>
          <w:rFonts w:ascii="Times New Roman" w:hAnsi="Times New Roman" w:eastAsia="Times New Roman"/>
          <w:b w:val="0"/>
          <w:i w:val="0"/>
          <w:sz w:val="16"/>
        </w:rPr>
        <w:t>[9]</w:t>
        <w:tab/>
      </w:r>
      <w:r>
        <w:rPr>
          <w:rFonts w:ascii="Times New Roman" w:hAnsi="Times New Roman" w:eastAsia="Times New Roman"/>
          <w:b w:val="0"/>
          <w:i w:val="0"/>
          <w:sz w:val="16"/>
        </w:rPr>
        <w:t xml:space="preserve">S. Hochreiter and J. Schmidhuber, “Long short-term memory,” </w:t>
      </w:r>
      <w:r>
        <w:rPr>
          <w:rFonts w:ascii="Times New Roman" w:hAnsi="Times New Roman" w:eastAsia="Times New Roman"/>
          <w:b w:val="0"/>
          <w:i/>
          <w:sz w:val="16"/>
        </w:rPr>
        <w:t>Neural Computation</w:t>
      </w:r>
      <w:r>
        <w:rPr>
          <w:rFonts w:ascii="Times New Roman" w:hAnsi="Times New Roman" w:eastAsia="Times New Roman"/>
          <w:b w:val="0"/>
          <w:i w:val="0"/>
          <w:sz w:val="16"/>
        </w:rPr>
        <w:t>, vol. 9, no. 8, pp. 1735–1780, 1997.</w:t>
      </w:r>
    </w:p>
    <w:p>
      <w:pPr>
        <w:keepNext w:val="0"/>
        <w:widowControl/>
        <w:tabs>
          <w:tab w:pos="432" w:val="left"/>
        </w:tabs>
        <w:spacing w:after="40" w:before="0"/>
        <w:ind w:left="432" w:hanging="432"/>
        <w:jc w:val="both"/>
      </w:pPr>
      <w:r>
        <w:rPr>
          <w:rFonts w:ascii="Times New Roman" w:hAnsi="Times New Roman" w:eastAsia="Times New Roman"/>
          <w:b w:val="0"/>
          <w:i w:val="0"/>
          <w:sz w:val="16"/>
        </w:rPr>
        <w:t>[10]</w:t>
        <w:tab/>
      </w:r>
      <w:r>
        <w:rPr>
          <w:rFonts w:ascii="Times New Roman" w:hAnsi="Times New Roman" w:eastAsia="Times New Roman"/>
          <w:b w:val="0"/>
          <w:i w:val="0"/>
          <w:sz w:val="16"/>
        </w:rPr>
        <w:t xml:space="preserve">D. Bahdanau, K. Cho, and Y. Bengio, “Neural machine translation by jointly learning to align and translate,” in </w:t>
      </w:r>
      <w:r>
        <w:rPr>
          <w:rFonts w:ascii="Times New Roman" w:hAnsi="Times New Roman" w:eastAsia="Times New Roman"/>
          <w:b w:val="0"/>
          <w:i/>
          <w:sz w:val="16"/>
        </w:rPr>
        <w:t>Proc. ICLR</w:t>
      </w:r>
      <w:r>
        <w:rPr>
          <w:rFonts w:ascii="Times New Roman" w:hAnsi="Times New Roman" w:eastAsia="Times New Roman"/>
          <w:b w:val="0"/>
          <w:i w:val="0"/>
          <w:sz w:val="16"/>
        </w:rPr>
        <w:t>, 2015.</w:t>
      </w:r>
    </w:p>
    <w:p>
      <w:pPr>
        <w:keepNext w:val="0"/>
        <w:widowControl/>
        <w:tabs>
          <w:tab w:pos="432" w:val="left"/>
        </w:tabs>
        <w:spacing w:after="40" w:before="0"/>
        <w:ind w:left="432" w:hanging="432"/>
        <w:jc w:val="both"/>
      </w:pPr>
      <w:r>
        <w:rPr>
          <w:rFonts w:ascii="Times New Roman" w:hAnsi="Times New Roman" w:eastAsia="Times New Roman"/>
          <w:b w:val="0"/>
          <w:i w:val="0"/>
          <w:sz w:val="16"/>
        </w:rPr>
        <w:t>[11]</w:t>
        <w:tab/>
      </w:r>
      <w:r>
        <w:rPr>
          <w:rFonts w:ascii="Times New Roman" w:hAnsi="Times New Roman" w:eastAsia="Times New Roman"/>
          <w:b w:val="0"/>
          <w:i w:val="0"/>
          <w:sz w:val="16"/>
        </w:rPr>
        <w:t xml:space="preserve">Y. Wang, M. Huang, X. Zhu, and L. Zhao, “Attention-based LSTM for aspect-level sentiment classification,” in </w:t>
      </w:r>
      <w:r>
        <w:rPr>
          <w:rFonts w:ascii="Times New Roman" w:hAnsi="Times New Roman" w:eastAsia="Times New Roman"/>
          <w:b w:val="0"/>
          <w:i/>
          <w:sz w:val="16"/>
        </w:rPr>
        <w:t>Proc. EMNLP</w:t>
      </w:r>
      <w:r>
        <w:rPr>
          <w:rFonts w:ascii="Times New Roman" w:hAnsi="Times New Roman" w:eastAsia="Times New Roman"/>
          <w:b w:val="0"/>
          <w:i w:val="0"/>
          <w:sz w:val="16"/>
        </w:rPr>
        <w:t>, 2016, pp. 606–615.</w:t>
      </w:r>
    </w:p>
    <w:p>
      <w:pPr>
        <w:keepNext w:val="0"/>
        <w:widowControl/>
        <w:tabs>
          <w:tab w:pos="432" w:val="left"/>
        </w:tabs>
        <w:spacing w:after="40" w:before="0"/>
        <w:ind w:left="432" w:hanging="432"/>
        <w:jc w:val="both"/>
      </w:pPr>
      <w:r>
        <w:rPr>
          <w:rFonts w:ascii="Times New Roman" w:hAnsi="Times New Roman" w:eastAsia="Times New Roman"/>
          <w:b w:val="0"/>
          <w:i w:val="0"/>
          <w:sz w:val="16"/>
        </w:rPr>
        <w:t>[12]</w:t>
        <w:tab/>
      </w:r>
      <w:r>
        <w:rPr>
          <w:rFonts w:ascii="Times New Roman" w:hAnsi="Times New Roman" w:eastAsia="Times New Roman"/>
          <w:b w:val="0"/>
          <w:i w:val="0"/>
          <w:sz w:val="16"/>
        </w:rPr>
        <w:t xml:space="preserve">J. Devlin, M.-W. Chang, K. Lee, and K. Toutanova, “BERT: Pre-training of deep bidirectional transformers for language understanding,” in </w:t>
      </w:r>
      <w:r>
        <w:rPr>
          <w:rFonts w:ascii="Times New Roman" w:hAnsi="Times New Roman" w:eastAsia="Times New Roman"/>
          <w:b w:val="0"/>
          <w:i/>
          <w:sz w:val="16"/>
        </w:rPr>
        <w:t>Proc. NAACL-HLT</w:t>
      </w:r>
      <w:r>
        <w:rPr>
          <w:rFonts w:ascii="Times New Roman" w:hAnsi="Times New Roman" w:eastAsia="Times New Roman"/>
          <w:b w:val="0"/>
          <w:i w:val="0"/>
          <w:sz w:val="16"/>
        </w:rPr>
        <w:t>, 2019, pp. 4171–4186.</w:t>
      </w:r>
    </w:p>
    <w:p>
      <w:pPr>
        <w:keepNext w:val="0"/>
        <w:widowControl/>
        <w:tabs>
          <w:tab w:pos="432" w:val="left"/>
        </w:tabs>
        <w:spacing w:after="40" w:before="0"/>
        <w:ind w:left="432" w:hanging="432"/>
        <w:jc w:val="both"/>
      </w:pPr>
      <w:r>
        <w:rPr>
          <w:rFonts w:ascii="Times New Roman" w:hAnsi="Times New Roman" w:eastAsia="Times New Roman"/>
          <w:b w:val="0"/>
          <w:i w:val="0"/>
          <w:sz w:val="16"/>
        </w:rPr>
        <w:t>[13]</w:t>
        <w:tab/>
      </w:r>
      <w:r>
        <w:rPr>
          <w:rFonts w:ascii="Times New Roman" w:hAnsi="Times New Roman" w:eastAsia="Times New Roman"/>
          <w:b w:val="0"/>
          <w:i w:val="0"/>
          <w:sz w:val="16"/>
        </w:rPr>
        <w:t>V. Sanh, L. Debut, J. Chaumond, and T. Wolf, “DistilBERT, a distilled version of BERT: smaller, faster, cheaper and lighter,” arXiv:1910.01108, 2019.</w:t>
      </w:r>
    </w:p>
    <w:p>
      <w:pPr>
        <w:keepNext w:val="0"/>
        <w:widowControl/>
        <w:tabs>
          <w:tab w:pos="432" w:val="left"/>
        </w:tabs>
        <w:spacing w:after="40" w:before="0"/>
        <w:ind w:left="432" w:hanging="432"/>
        <w:jc w:val="both"/>
      </w:pPr>
      <w:r>
        <w:rPr>
          <w:rFonts w:ascii="Times New Roman" w:hAnsi="Times New Roman" w:eastAsia="Times New Roman"/>
          <w:b w:val="0"/>
          <w:i w:val="0"/>
          <w:sz w:val="16"/>
        </w:rPr>
        <w:t>[14]</w:t>
        <w:tab/>
      </w:r>
      <w:r>
        <w:rPr>
          <w:rFonts w:ascii="Times New Roman" w:hAnsi="Times New Roman" w:eastAsia="Times New Roman"/>
          <w:b w:val="0"/>
          <w:i w:val="0"/>
          <w:sz w:val="16"/>
        </w:rPr>
        <w:t xml:space="preserve">D. M. Blei, A. Y. Ng, and M. I. Jordan, “Latent Dirichlet allocation,” </w:t>
      </w:r>
      <w:r>
        <w:rPr>
          <w:rFonts w:ascii="Times New Roman" w:hAnsi="Times New Roman" w:eastAsia="Times New Roman"/>
          <w:b w:val="0"/>
          <w:i/>
          <w:sz w:val="16"/>
        </w:rPr>
        <w:t>J. Mach. Learn. Res.</w:t>
      </w:r>
      <w:r>
        <w:rPr>
          <w:rFonts w:ascii="Times New Roman" w:hAnsi="Times New Roman" w:eastAsia="Times New Roman"/>
          <w:b w:val="0"/>
          <w:i w:val="0"/>
          <w:sz w:val="16"/>
        </w:rPr>
        <w:t>, vol. 3, pp. 993–1022, 2003.</w:t>
      </w:r>
    </w:p>
    <w:p>
      <w:pPr>
        <w:keepNext w:val="0"/>
        <w:widowControl/>
        <w:tabs>
          <w:tab w:pos="432" w:val="left"/>
        </w:tabs>
        <w:spacing w:after="40" w:before="0"/>
        <w:ind w:left="432" w:hanging="432"/>
        <w:jc w:val="both"/>
      </w:pPr>
      <w:r>
        <w:rPr>
          <w:rFonts w:ascii="Times New Roman" w:hAnsi="Times New Roman" w:eastAsia="Times New Roman"/>
          <w:b w:val="0"/>
          <w:i w:val="0"/>
          <w:sz w:val="16"/>
        </w:rPr>
        <w:t>[15]</w:t>
        <w:tab/>
      </w:r>
      <w:r>
        <w:rPr>
          <w:rFonts w:ascii="Times New Roman" w:hAnsi="Times New Roman" w:eastAsia="Times New Roman"/>
          <w:b w:val="0"/>
          <w:i w:val="0"/>
          <w:sz w:val="16"/>
        </w:rPr>
        <w:t xml:space="preserve">T. Chen and C. Guestrin, “XGBoost: A scalable tree boosting system,” in </w:t>
      </w:r>
      <w:r>
        <w:rPr>
          <w:rFonts w:ascii="Times New Roman" w:hAnsi="Times New Roman" w:eastAsia="Times New Roman"/>
          <w:b w:val="0"/>
          <w:i/>
          <w:sz w:val="16"/>
        </w:rPr>
        <w:t>Proc. ACM SIGKDD</w:t>
      </w:r>
      <w:r>
        <w:rPr>
          <w:rFonts w:ascii="Times New Roman" w:hAnsi="Times New Roman" w:eastAsia="Times New Roman"/>
          <w:b w:val="0"/>
          <w:i w:val="0"/>
          <w:sz w:val="16"/>
        </w:rPr>
        <w:t>, 2016, pp. 785–794.</w:t>
      </w:r>
    </w:p>
    <w:p>
      <w:pPr>
        <w:keepNext w:val="0"/>
        <w:widowControl/>
        <w:tabs>
          <w:tab w:pos="432" w:val="left"/>
        </w:tabs>
        <w:spacing w:after="40" w:before="0"/>
        <w:ind w:left="432" w:hanging="432"/>
        <w:jc w:val="both"/>
      </w:pPr>
      <w:r>
        <w:rPr>
          <w:rFonts w:ascii="Times New Roman" w:hAnsi="Times New Roman" w:eastAsia="Times New Roman"/>
          <w:b w:val="0"/>
          <w:i w:val="0"/>
          <w:sz w:val="16"/>
        </w:rPr>
        <w:t>[16]</w:t>
        <w:tab/>
      </w:r>
      <w:r>
        <w:rPr>
          <w:rFonts w:ascii="Times New Roman" w:hAnsi="Times New Roman" w:eastAsia="Times New Roman"/>
          <w:b w:val="0"/>
          <w:i w:val="0"/>
          <w:sz w:val="16"/>
        </w:rPr>
        <w:t xml:space="preserve">F. T. Liu, K. M. Ting, and Z.-H. Zhou, “Isolation forest,” in </w:t>
      </w:r>
      <w:r>
        <w:rPr>
          <w:rFonts w:ascii="Times New Roman" w:hAnsi="Times New Roman" w:eastAsia="Times New Roman"/>
          <w:b w:val="0"/>
          <w:i/>
          <w:sz w:val="16"/>
        </w:rPr>
        <w:t>Proc. IEEE ICDM</w:t>
      </w:r>
      <w:r>
        <w:rPr>
          <w:rFonts w:ascii="Times New Roman" w:hAnsi="Times New Roman" w:eastAsia="Times New Roman"/>
          <w:b w:val="0"/>
          <w:i w:val="0"/>
          <w:sz w:val="16"/>
        </w:rPr>
        <w:t>, 2008, pp. 413–422.</w:t>
      </w:r>
    </w:p>
    <w:p>
      <w:pPr>
        <w:keepNext w:val="0"/>
        <w:widowControl/>
        <w:tabs>
          <w:tab w:pos="432" w:val="left"/>
        </w:tabs>
        <w:spacing w:after="40" w:before="0"/>
        <w:ind w:left="432" w:hanging="432"/>
        <w:jc w:val="both"/>
      </w:pPr>
      <w:r>
        <w:rPr>
          <w:rFonts w:ascii="Times New Roman" w:hAnsi="Times New Roman" w:eastAsia="Times New Roman"/>
          <w:b w:val="0"/>
          <w:i w:val="0"/>
          <w:sz w:val="16"/>
        </w:rPr>
        <w:t>[17]</w:t>
        <w:tab/>
      </w:r>
      <w:r>
        <w:rPr>
          <w:rFonts w:ascii="Times New Roman" w:hAnsi="Times New Roman" w:eastAsia="Times New Roman"/>
          <w:b w:val="0"/>
          <w:i w:val="0"/>
          <w:sz w:val="16"/>
        </w:rPr>
        <w:t xml:space="preserve">N. Reimers and I. Gurevych, “Sentence-BERT: Sentence embeddings using Siamese BERT-networks,” in </w:t>
      </w:r>
      <w:r>
        <w:rPr>
          <w:rFonts w:ascii="Times New Roman" w:hAnsi="Times New Roman" w:eastAsia="Times New Roman"/>
          <w:b w:val="0"/>
          <w:i/>
          <w:sz w:val="16"/>
        </w:rPr>
        <w:t>Proc. EMNLP-IJCNLP</w:t>
      </w:r>
      <w:r>
        <w:rPr>
          <w:rFonts w:ascii="Times New Roman" w:hAnsi="Times New Roman" w:eastAsia="Times New Roman"/>
          <w:b w:val="0"/>
          <w:i w:val="0"/>
          <w:sz w:val="16"/>
        </w:rPr>
        <w:t>, 2019, pp. 3982–3992.</w:t>
      </w:r>
    </w:p>
    <w:p>
      <w:pPr>
        <w:keepNext w:val="0"/>
        <w:widowControl/>
        <w:tabs>
          <w:tab w:pos="432" w:val="left"/>
        </w:tabs>
        <w:spacing w:after="40" w:before="0"/>
        <w:ind w:left="432" w:hanging="432"/>
        <w:jc w:val="both"/>
      </w:pPr>
      <w:r>
        <w:rPr>
          <w:rFonts w:ascii="Times New Roman" w:hAnsi="Times New Roman" w:eastAsia="Times New Roman"/>
          <w:b w:val="0"/>
          <w:i w:val="0"/>
          <w:sz w:val="16"/>
        </w:rPr>
        <w:t>[18]</w:t>
        <w:tab/>
      </w:r>
      <w:r>
        <w:rPr>
          <w:rFonts w:ascii="Times New Roman" w:hAnsi="Times New Roman" w:eastAsia="Times New Roman"/>
          <w:b w:val="0"/>
          <w:i w:val="0"/>
          <w:sz w:val="16"/>
        </w:rPr>
        <w:t xml:space="preserve">W. Wang, F. Wei, L. Dong, H. Bao, N. Yang, and M. Zhou, “MiniLM: Deep self-attention distillation for task-agnostic compression of pre-trained transformers,” in </w:t>
      </w:r>
      <w:r>
        <w:rPr>
          <w:rFonts w:ascii="Times New Roman" w:hAnsi="Times New Roman" w:eastAsia="Times New Roman"/>
          <w:b w:val="0"/>
          <w:i/>
          <w:sz w:val="16"/>
        </w:rPr>
        <w:t>Proc. NeurIPS</w:t>
      </w:r>
      <w:r>
        <w:rPr>
          <w:rFonts w:ascii="Times New Roman" w:hAnsi="Times New Roman" w:eastAsia="Times New Roman"/>
          <w:b w:val="0"/>
          <w:i w:val="0"/>
          <w:sz w:val="16"/>
        </w:rPr>
        <w:t>, vol. 33, 2020, pp. 5776–5788.</w:t>
      </w:r>
    </w:p>
    <w:p>
      <w:pPr>
        <w:keepNext w:val="0"/>
        <w:widowControl/>
        <w:tabs>
          <w:tab w:pos="432" w:val="left"/>
        </w:tabs>
        <w:spacing w:after="40" w:before="0"/>
        <w:ind w:left="432" w:hanging="432"/>
        <w:jc w:val="both"/>
      </w:pPr>
      <w:r>
        <w:rPr>
          <w:rFonts w:ascii="Times New Roman" w:hAnsi="Times New Roman" w:eastAsia="Times New Roman"/>
          <w:b w:val="0"/>
          <w:i w:val="0"/>
          <w:sz w:val="16"/>
        </w:rPr>
        <w:t>[19]</w:t>
        <w:tab/>
      </w:r>
      <w:r>
        <w:rPr>
          <w:rFonts w:ascii="Times New Roman" w:hAnsi="Times New Roman" w:eastAsia="Times New Roman"/>
          <w:b w:val="0"/>
          <w:i w:val="0"/>
          <w:sz w:val="16"/>
        </w:rPr>
        <w:t xml:space="preserve">P. Lewis </w:t>
      </w:r>
      <w:r>
        <w:rPr>
          <w:rFonts w:ascii="Times New Roman" w:hAnsi="Times New Roman" w:eastAsia="Times New Roman"/>
          <w:b w:val="0"/>
          <w:i/>
          <w:sz w:val="16"/>
        </w:rPr>
        <w:t>et al.</w:t>
      </w:r>
      <w:r>
        <w:rPr>
          <w:rFonts w:ascii="Times New Roman" w:hAnsi="Times New Roman" w:eastAsia="Times New Roman"/>
          <w:b w:val="0"/>
          <w:i w:val="0"/>
          <w:sz w:val="16"/>
        </w:rPr>
        <w:t xml:space="preserve">, “Retrieval-augmented generation for knowledge-intensive NLP tasks,” in </w:t>
      </w:r>
      <w:r>
        <w:rPr>
          <w:rFonts w:ascii="Times New Roman" w:hAnsi="Times New Roman" w:eastAsia="Times New Roman"/>
          <w:b w:val="0"/>
          <w:i/>
          <w:sz w:val="16"/>
        </w:rPr>
        <w:t>Proc. NeurIPS</w:t>
      </w:r>
      <w:r>
        <w:rPr>
          <w:rFonts w:ascii="Times New Roman" w:hAnsi="Times New Roman" w:eastAsia="Times New Roman"/>
          <w:b w:val="0"/>
          <w:i w:val="0"/>
          <w:sz w:val="16"/>
        </w:rPr>
        <w:t>, vol. 33, 2020, pp. 9459–9474.</w:t>
      </w:r>
    </w:p>
    <w:p>
      <w:pPr>
        <w:keepNext w:val="0"/>
        <w:widowControl/>
        <w:tabs>
          <w:tab w:pos="432" w:val="left"/>
        </w:tabs>
        <w:spacing w:after="40" w:before="0"/>
        <w:ind w:left="432" w:hanging="432"/>
        <w:jc w:val="both"/>
      </w:pPr>
      <w:r>
        <w:rPr>
          <w:rFonts w:ascii="Times New Roman" w:hAnsi="Times New Roman" w:eastAsia="Times New Roman"/>
          <w:b w:val="0"/>
          <w:i w:val="0"/>
          <w:sz w:val="16"/>
        </w:rPr>
        <w:t>[20]</w:t>
        <w:tab/>
      </w:r>
      <w:r>
        <w:rPr>
          <w:rFonts w:ascii="Times New Roman" w:hAnsi="Times New Roman" w:eastAsia="Times New Roman"/>
          <w:b w:val="0"/>
          <w:i w:val="0"/>
          <w:sz w:val="16"/>
        </w:rPr>
        <w:t xml:space="preserve">C. Raffel </w:t>
      </w:r>
      <w:r>
        <w:rPr>
          <w:rFonts w:ascii="Times New Roman" w:hAnsi="Times New Roman" w:eastAsia="Times New Roman"/>
          <w:b w:val="0"/>
          <w:i/>
          <w:sz w:val="16"/>
        </w:rPr>
        <w:t>et al.</w:t>
      </w:r>
      <w:r>
        <w:rPr>
          <w:rFonts w:ascii="Times New Roman" w:hAnsi="Times New Roman" w:eastAsia="Times New Roman"/>
          <w:b w:val="0"/>
          <w:i w:val="0"/>
          <w:sz w:val="16"/>
        </w:rPr>
        <w:t xml:space="preserve">, “Exploring the limits of transfer learning with a unified text-to-text transformer,” </w:t>
      </w:r>
      <w:r>
        <w:rPr>
          <w:rFonts w:ascii="Times New Roman" w:hAnsi="Times New Roman" w:eastAsia="Times New Roman"/>
          <w:b w:val="0"/>
          <w:i/>
          <w:sz w:val="16"/>
        </w:rPr>
        <w:t>J. Mach. Learn. Res.</w:t>
      </w:r>
      <w:r>
        <w:rPr>
          <w:rFonts w:ascii="Times New Roman" w:hAnsi="Times New Roman" w:eastAsia="Times New Roman"/>
          <w:b w:val="0"/>
          <w:i w:val="0"/>
          <w:sz w:val="16"/>
        </w:rPr>
        <w:t>, vol. 21, no. 140, pp. 1–67, 2020.</w:t>
      </w:r>
    </w:p>
    <w:p>
      <w:pPr>
        <w:keepNext w:val="0"/>
        <w:widowControl/>
        <w:tabs>
          <w:tab w:pos="432" w:val="left"/>
        </w:tabs>
        <w:spacing w:after="40" w:before="0"/>
        <w:ind w:left="432" w:hanging="432"/>
        <w:jc w:val="both"/>
      </w:pPr>
      <w:r>
        <w:rPr>
          <w:rFonts w:ascii="Times New Roman" w:hAnsi="Times New Roman" w:eastAsia="Times New Roman"/>
          <w:b w:val="0"/>
          <w:i w:val="0"/>
          <w:sz w:val="16"/>
        </w:rPr>
        <w:t>[21]</w:t>
        <w:tab/>
      </w:r>
      <w:r>
        <w:rPr>
          <w:rFonts w:ascii="Times New Roman" w:hAnsi="Times New Roman" w:eastAsia="Times New Roman"/>
          <w:b w:val="0"/>
          <w:i w:val="0"/>
          <w:sz w:val="16"/>
        </w:rPr>
        <w:t xml:space="preserve">H. W. Chung </w:t>
      </w:r>
      <w:r>
        <w:rPr>
          <w:rFonts w:ascii="Times New Roman" w:hAnsi="Times New Roman" w:eastAsia="Times New Roman"/>
          <w:b w:val="0"/>
          <w:i/>
          <w:sz w:val="16"/>
        </w:rPr>
        <w:t>et al.</w:t>
      </w:r>
      <w:r>
        <w:rPr>
          <w:rFonts w:ascii="Times New Roman" w:hAnsi="Times New Roman" w:eastAsia="Times New Roman"/>
          <w:b w:val="0"/>
          <w:i w:val="0"/>
          <w:sz w:val="16"/>
        </w:rPr>
        <w:t>, “Scaling instruction-finetuned language models,” arXiv:2210.11416, 2022.</w:t>
      </w:r>
    </w:p>
    <w:p>
      <w:pPr>
        <w:keepNext w:val="0"/>
        <w:widowControl/>
        <w:tabs>
          <w:tab w:pos="432" w:val="left"/>
        </w:tabs>
        <w:spacing w:after="40" w:before="0"/>
        <w:ind w:left="432" w:hanging="432"/>
        <w:jc w:val="both"/>
      </w:pPr>
      <w:r>
        <w:rPr>
          <w:rFonts w:ascii="Times New Roman" w:hAnsi="Times New Roman" w:eastAsia="Times New Roman"/>
          <w:b w:val="0"/>
          <w:i w:val="0"/>
          <w:sz w:val="16"/>
        </w:rPr>
        <w:t>[22]</w:t>
        <w:tab/>
      </w:r>
      <w:r>
        <w:rPr>
          <w:rFonts w:ascii="Times New Roman" w:hAnsi="Times New Roman" w:eastAsia="Times New Roman"/>
          <w:b w:val="0"/>
          <w:i w:val="0"/>
          <w:sz w:val="16"/>
        </w:rPr>
        <w:t xml:space="preserve">Y. Hou </w:t>
      </w:r>
      <w:r>
        <w:rPr>
          <w:rFonts w:ascii="Times New Roman" w:hAnsi="Times New Roman" w:eastAsia="Times New Roman"/>
          <w:b w:val="0"/>
          <w:i/>
          <w:sz w:val="16"/>
        </w:rPr>
        <w:t>et al.</w:t>
      </w:r>
      <w:r>
        <w:rPr>
          <w:rFonts w:ascii="Times New Roman" w:hAnsi="Times New Roman" w:eastAsia="Times New Roman"/>
          <w:b w:val="0"/>
          <w:i w:val="0"/>
          <w:sz w:val="16"/>
        </w:rPr>
        <w:t>, “Bridging language and items for retrieval and recommendation,” arXiv:2403.03952, 2024.</w:t>
      </w:r>
    </w:p>
    <w:p>
      <w:pPr>
        <w:keepNext w:val="0"/>
        <w:widowControl/>
        <w:tabs>
          <w:tab w:pos="432" w:val="left"/>
        </w:tabs>
        <w:spacing w:after="40" w:before="0"/>
        <w:ind w:left="432" w:hanging="432"/>
        <w:jc w:val="both"/>
      </w:pPr>
      <w:r>
        <w:rPr>
          <w:rFonts w:ascii="Times New Roman" w:hAnsi="Times New Roman" w:eastAsia="Times New Roman"/>
          <w:b w:val="0"/>
          <w:i w:val="0"/>
          <w:sz w:val="16"/>
        </w:rPr>
        <w:t>[23]</w:t>
        <w:tab/>
      </w:r>
      <w:r>
        <w:rPr>
          <w:rFonts w:ascii="Times New Roman" w:hAnsi="Times New Roman" w:eastAsia="Times New Roman"/>
          <w:b w:val="0"/>
          <w:i w:val="0"/>
          <w:sz w:val="16"/>
        </w:rPr>
        <w:t xml:space="preserve">D. P. Kingma and J. Ba, “Adam: A method for stochastic optimization,” in </w:t>
      </w:r>
      <w:r>
        <w:rPr>
          <w:rFonts w:ascii="Times New Roman" w:hAnsi="Times New Roman" w:eastAsia="Times New Roman"/>
          <w:b w:val="0"/>
          <w:i/>
          <w:sz w:val="16"/>
        </w:rPr>
        <w:t>Proc. ICLR</w:t>
      </w:r>
      <w:r>
        <w:rPr>
          <w:rFonts w:ascii="Times New Roman" w:hAnsi="Times New Roman" w:eastAsia="Times New Roman"/>
          <w:b w:val="0"/>
          <w:i w:val="0"/>
          <w:sz w:val="16"/>
        </w:rPr>
        <w:t>, 2015.</w:t>
      </w:r>
    </w:p>
    <w:p>
      <w:pPr>
        <w:keepNext w:val="0"/>
        <w:widowControl/>
        <w:tabs>
          <w:tab w:pos="432" w:val="left"/>
        </w:tabs>
        <w:spacing w:after="40" w:before="0"/>
        <w:ind w:left="432" w:hanging="432"/>
        <w:jc w:val="both"/>
      </w:pPr>
      <w:r>
        <w:rPr>
          <w:rFonts w:ascii="Times New Roman" w:hAnsi="Times New Roman" w:eastAsia="Times New Roman"/>
          <w:b w:val="0"/>
          <w:i w:val="0"/>
          <w:sz w:val="16"/>
        </w:rPr>
        <w:t>[24]</w:t>
        <w:tab/>
      </w:r>
      <w:r>
        <w:rPr>
          <w:rFonts w:ascii="Times New Roman" w:hAnsi="Times New Roman" w:eastAsia="Times New Roman"/>
          <w:b w:val="0"/>
          <w:i w:val="0"/>
          <w:sz w:val="16"/>
        </w:rPr>
        <w:t xml:space="preserve">A. Paszke </w:t>
      </w:r>
      <w:r>
        <w:rPr>
          <w:rFonts w:ascii="Times New Roman" w:hAnsi="Times New Roman" w:eastAsia="Times New Roman"/>
          <w:b w:val="0"/>
          <w:i/>
          <w:sz w:val="16"/>
        </w:rPr>
        <w:t>et al.</w:t>
      </w:r>
      <w:r>
        <w:rPr>
          <w:rFonts w:ascii="Times New Roman" w:hAnsi="Times New Roman" w:eastAsia="Times New Roman"/>
          <w:b w:val="0"/>
          <w:i w:val="0"/>
          <w:sz w:val="16"/>
        </w:rPr>
        <w:t xml:space="preserve">, “PyTorch: An imperative style, high-performance deep learning library,” in </w:t>
      </w:r>
      <w:r>
        <w:rPr>
          <w:rFonts w:ascii="Times New Roman" w:hAnsi="Times New Roman" w:eastAsia="Times New Roman"/>
          <w:b w:val="0"/>
          <w:i/>
          <w:sz w:val="16"/>
        </w:rPr>
        <w:t>Proc. NeurIPS</w:t>
      </w:r>
      <w:r>
        <w:rPr>
          <w:rFonts w:ascii="Times New Roman" w:hAnsi="Times New Roman" w:eastAsia="Times New Roman"/>
          <w:b w:val="0"/>
          <w:i w:val="0"/>
          <w:sz w:val="16"/>
        </w:rPr>
        <w:t>, vol. 32, 2019, pp. 8024–8035.</w:t>
      </w:r>
    </w:p>
    <w:p>
      <w:pPr>
        <w:keepNext w:val="0"/>
        <w:widowControl/>
        <w:tabs>
          <w:tab w:pos="432" w:val="left"/>
        </w:tabs>
        <w:spacing w:after="40" w:before="0"/>
        <w:ind w:left="432" w:hanging="432"/>
        <w:jc w:val="both"/>
      </w:pPr>
      <w:r>
        <w:rPr>
          <w:rFonts w:ascii="Times New Roman" w:hAnsi="Times New Roman" w:eastAsia="Times New Roman"/>
          <w:b w:val="0"/>
          <w:i w:val="0"/>
          <w:sz w:val="16"/>
        </w:rPr>
        <w:t>[25]</w:t>
        <w:tab/>
      </w:r>
      <w:r>
        <w:rPr>
          <w:rFonts w:ascii="Times New Roman" w:hAnsi="Times New Roman" w:eastAsia="Times New Roman"/>
          <w:b w:val="0"/>
          <w:i w:val="0"/>
          <w:sz w:val="16"/>
        </w:rPr>
        <w:t xml:space="preserve">F. Pedregosa </w:t>
      </w:r>
      <w:r>
        <w:rPr>
          <w:rFonts w:ascii="Times New Roman" w:hAnsi="Times New Roman" w:eastAsia="Times New Roman"/>
          <w:b w:val="0"/>
          <w:i/>
          <w:sz w:val="16"/>
        </w:rPr>
        <w:t>et al.</w:t>
      </w:r>
      <w:r>
        <w:rPr>
          <w:rFonts w:ascii="Times New Roman" w:hAnsi="Times New Roman" w:eastAsia="Times New Roman"/>
          <w:b w:val="0"/>
          <w:i w:val="0"/>
          <w:sz w:val="16"/>
        </w:rPr>
        <w:t xml:space="preserve">, “Scikit-learn: Machine learning in Python,” </w:t>
      </w:r>
      <w:r>
        <w:rPr>
          <w:rFonts w:ascii="Times New Roman" w:hAnsi="Times New Roman" w:eastAsia="Times New Roman"/>
          <w:b w:val="0"/>
          <w:i/>
          <w:sz w:val="16"/>
        </w:rPr>
        <w:t>J. Mach. Learn. Res.</w:t>
      </w:r>
      <w:r>
        <w:rPr>
          <w:rFonts w:ascii="Times New Roman" w:hAnsi="Times New Roman" w:eastAsia="Times New Roman"/>
          <w:b w:val="0"/>
          <w:i w:val="0"/>
          <w:sz w:val="16"/>
        </w:rPr>
        <w:t>, vol. 12, pp. 2825–2830, 2011.</w:t>
      </w:r>
    </w:p>
    <w:p>
      <w:pPr>
        <w:keepNext w:val="0"/>
        <w:widowControl/>
        <w:tabs>
          <w:tab w:pos="432" w:val="left"/>
        </w:tabs>
        <w:spacing w:after="40" w:before="0"/>
        <w:ind w:left="432" w:hanging="432"/>
        <w:jc w:val="both"/>
      </w:pPr>
      <w:r>
        <w:rPr>
          <w:rFonts w:ascii="Times New Roman" w:hAnsi="Times New Roman" w:eastAsia="Times New Roman"/>
          <w:b w:val="0"/>
          <w:i w:val="0"/>
          <w:sz w:val="16"/>
        </w:rPr>
        <w:t>[26]</w:t>
        <w:tab/>
      </w:r>
      <w:r>
        <w:rPr>
          <w:rFonts w:ascii="Times New Roman" w:hAnsi="Times New Roman" w:eastAsia="Times New Roman"/>
          <w:b w:val="0"/>
          <w:i w:val="0"/>
          <w:sz w:val="16"/>
        </w:rPr>
        <w:t xml:space="preserve">T. Wolf </w:t>
      </w:r>
      <w:r>
        <w:rPr>
          <w:rFonts w:ascii="Times New Roman" w:hAnsi="Times New Roman" w:eastAsia="Times New Roman"/>
          <w:b w:val="0"/>
          <w:i/>
          <w:sz w:val="16"/>
        </w:rPr>
        <w:t>et al.</w:t>
      </w:r>
      <w:r>
        <w:rPr>
          <w:rFonts w:ascii="Times New Roman" w:hAnsi="Times New Roman" w:eastAsia="Times New Roman"/>
          <w:b w:val="0"/>
          <w:i w:val="0"/>
          <w:sz w:val="16"/>
        </w:rPr>
        <w:t xml:space="preserve">, “Transformers: State-of-the-art natural language processing,” in </w:t>
      </w:r>
      <w:r>
        <w:rPr>
          <w:rFonts w:ascii="Times New Roman" w:hAnsi="Times New Roman" w:eastAsia="Times New Roman"/>
          <w:b w:val="0"/>
          <w:i/>
          <w:sz w:val="16"/>
        </w:rPr>
        <w:t>Proc. EMNLP: System Demonstrations</w:t>
      </w:r>
      <w:r>
        <w:rPr>
          <w:rFonts w:ascii="Times New Roman" w:hAnsi="Times New Roman" w:eastAsia="Times New Roman"/>
          <w:b w:val="0"/>
          <w:i w:val="0"/>
          <w:sz w:val="16"/>
        </w:rPr>
        <w:t>, 2020, pp. 38–45.</w:t>
      </w:r>
    </w:p>
    <w:p>
      <w:pPr>
        <w:keepNext w:val="0"/>
        <w:widowControl/>
        <w:tabs>
          <w:tab w:pos="432" w:val="left"/>
        </w:tabs>
        <w:spacing w:after="40" w:before="0"/>
        <w:ind w:left="432" w:hanging="432"/>
        <w:jc w:val="both"/>
      </w:pPr>
      <w:r>
        <w:rPr>
          <w:rFonts w:ascii="Times New Roman" w:hAnsi="Times New Roman" w:eastAsia="Times New Roman"/>
          <w:b w:val="0"/>
          <w:i w:val="0"/>
          <w:sz w:val="16"/>
        </w:rPr>
        <w:t>[27]</w:t>
        <w:tab/>
      </w:r>
      <w:r>
        <w:rPr>
          <w:rFonts w:ascii="Times New Roman" w:hAnsi="Times New Roman" w:eastAsia="Times New Roman"/>
          <w:b w:val="0"/>
          <w:i w:val="0"/>
          <w:sz w:val="16"/>
        </w:rPr>
        <w:t xml:space="preserve">B. Efron and R. J. Tibshirani, </w:t>
      </w:r>
      <w:r>
        <w:rPr>
          <w:rFonts w:ascii="Times New Roman" w:hAnsi="Times New Roman" w:eastAsia="Times New Roman"/>
          <w:b w:val="0"/>
          <w:i/>
          <w:sz w:val="16"/>
        </w:rPr>
        <w:t>An Introduction to the Bootstrap</w:t>
      </w:r>
      <w:r>
        <w:rPr>
          <w:rFonts w:ascii="Times New Roman" w:hAnsi="Times New Roman" w:eastAsia="Times New Roman"/>
          <w:b w:val="0"/>
          <w:i w:val="0"/>
          <w:sz w:val="16"/>
        </w:rPr>
        <w:t>. New York, NY, USA: Chapman &amp; Hall, 1993.</w:t>
      </w:r>
    </w:p>
    <w:sectPr w:rsidR="00FC693F" w:rsidRPr="0006063C" w:rsidSect="00034616">
      <w:type w:val="continuous"/>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ReviewIQ: A Unified NLP, Deep Learning and Advanced Machine Learning Framework for Review Sentiment Classification, Aspect Intelligence and Grounded Question Answering</dc:title>
  <dc:subject/>
  <dc:creator>Nidhi Bhawari, Aarti Sakpal, Gayatri Patil, Prachi Wakode</dc:creator>
  <cp:keywords/>
  <dc:description>generated by python-docx</dc:description>
  <cp:lastModifiedBy/>
  <cp:revision>1</cp:revision>
  <dcterms:created xsi:type="dcterms:W3CDTF">2013-12-23T23:15:00Z</dcterms:created>
  <dcterms:modified xsi:type="dcterms:W3CDTF">2013-12-23T23:15:00Z</dcterms:modified>
  <cp:category/>
</cp:coreProperties>
</file>