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3 – Architectural Style Justification</w:t>
      </w:r>
    </w:p>
    <w:p>
      <w:pPr>
        <w:spacing w:after="200"/>
      </w:pPr>
      <w:r>
        <w:rPr>
          <w:b/>
          <w:bCs/>
          <w:i w:val="false"/>
          <w:iCs w:val="false"/>
          <w:sz w:val="22"/>
          <w:szCs w:val="22"/>
        </w:rPr>
        <w:t xml:space="preserve">Problem Statement #52: Community Tool &amp; Equipment Library</w:t>
      </w:r>
    </w:p>
    <w:p>
      <w:pPr>
        <w:pStyle w:val="Heading2"/>
      </w:pPr>
      <w:r>
        <w:t xml:space="preserve">Architecture Selection</w:t>
      </w:r>
    </w:p>
    <w:p>
      <w:pPr>
        <w:spacing w:after="140"/>
      </w:pPr>
      <w:r>
        <w:rPr>
          <w:b w:val="false"/>
          <w:bCs w:val="false"/>
          <w:i w:val="false"/>
          <w:iCs w:val="false"/>
          <w:sz w:val="22"/>
          <w:szCs w:val="22"/>
        </w:rPr>
        <w:t xml:space="preserve">We chose Microservices Architecture for the Community Tool &amp; Equipment Library System.</w:t>
      </w:r>
    </w:p>
    <w:p>
      <w:pPr>
        <w:pStyle w:val="Heading2"/>
      </w:pPr>
      <w:r>
        <w:t xml:space="preserve">Reason 1: Independent Scaling Across Uneven Demand</w:t>
      </w:r>
    </w:p>
    <w:p>
      <w:pPr>
        <w:spacing w:after="140"/>
      </w:pPr>
      <w:r>
        <w:rPr>
          <w:b w:val="false"/>
          <w:bCs w:val="false"/>
          <w:i w:val="false"/>
          <w:iCs w:val="false"/>
          <w:sz w:val="22"/>
          <w:szCs w:val="22"/>
        </w:rPr>
        <w:t xml:space="preserve">Inventory search is used continuously by every member browsing available tools, while the Payment &amp; Deposit Service and Notification Service are invoked far less often — only at checkout and return time. A microservices architecture lets us scale the Inventory Service independently during peak browsing hours (e.g., weekend mornings) without over-provisioning the lower-traffic payment or notification components, which would be unavoidable in a single monolithic deployment.</w:t>
      </w:r>
    </w:p>
    <w:p>
      <w:pPr>
        <w:pStyle w:val="Heading2"/>
      </w:pPr>
      <w:r>
        <w:t xml:space="preserve">Reason 2: Fault Isolation for a Multi-Depot System</w:t>
      </w:r>
    </w:p>
    <w:p>
      <w:pPr>
        <w:spacing w:after="140"/>
      </w:pPr>
      <w:r>
        <w:rPr>
          <w:b w:val="false"/>
          <w:bCs w:val="false"/>
          <w:i w:val="false"/>
          <w:iCs w:val="false"/>
          <w:sz w:val="22"/>
          <w:szCs w:val="22"/>
        </w:rPr>
        <w:t xml:space="preserve">The system spans multiple neighborhood depot lockers, each depending on real-time inventory and IoT locker connectivity. If the Payment Gateway integration or Notification Service experiences an outage, microservices isolation ensures members can still search and browse inventory (Inventory Service keeps running independently), rather than the entire system going down as it would in a tightly coupled layered or client-server design.</w:t>
      </w:r>
    </w:p>
    <w:p>
      <w:pPr>
        <w:pStyle w:val="Heading2"/>
      </w:pPr>
      <w:r>
        <w:t xml:space="preserve">Security Advantage</w:t>
      </w:r>
    </w:p>
    <w:p>
      <w:pPr>
        <w:spacing w:after="140"/>
      </w:pPr>
      <w:r>
        <w:rPr>
          <w:b w:val="false"/>
          <w:bCs w:val="false"/>
          <w:i w:val="false"/>
          <w:iCs w:val="false"/>
          <w:sz w:val="22"/>
          <w:szCs w:val="22"/>
        </w:rPr>
        <w:t xml:space="preserve">Isolating the Payment &amp; Deposit Service as its own independently deployed component narrows the security perimeter that must meet strict compliance standards (e.g., PCI-DSS for handling deposits and fees). Sensitive payment logic and credentials are confined to one service with its own access controls, rather than being embedded inside a shared codebase where a vulnerability in, say, the Notification Service could expose payment data.</w:t>
      </w:r>
    </w:p>
    <w:p>
      <w:pPr>
        <w:pStyle w:val="Heading2"/>
      </w:pPr>
      <w:r>
        <w:t xml:space="preserve">Performance Benefit</w:t>
      </w:r>
    </w:p>
    <w:p>
      <w:pPr>
        <w:spacing w:after="140"/>
      </w:pPr>
      <w:r>
        <w:rPr>
          <w:b w:val="false"/>
          <w:bCs w:val="false"/>
          <w:i w:val="false"/>
          <w:iCs w:val="false"/>
          <w:sz w:val="22"/>
          <w:szCs w:val="22"/>
        </w:rPr>
        <w:t xml:space="preserve">Because each service is deployed and scaled independently, the Reservation &amp; Checkout Service can orchestrate calls to Inventory, Payment, and Notification in parallel rather than waiting on a single monolithic process to handle every request sequentially. This reduces end-to-end checkout latency for the member and allows the Inventory Service specifically to be horizontally scaled to keep search response times low even under heavy concurrent browsing.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2026-10-02T12:12:46.606Z</dcterms:created>
  <dcterms:modified xsi:type="dcterms:W3CDTF">2026-10-02T12:12:46.615Z</dcterms:modified>
</cp:coreProperties>
</file>

<file path=docProps/custom.xml><?xml version="1.0" encoding="utf-8"?>
<Properties xmlns="http://schemas.openxmlformats.org/officeDocument/2006/custom-properties" xmlns:vt="http://schemas.openxmlformats.org/officeDocument/2006/docPropsVTypes"/>
</file>