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840A" w14:textId="77777777" w:rsidR="00A43D5E" w:rsidRDefault="00A43D5E" w:rsidP="00462708">
      <w:pPr>
        <w:jc w:val="center"/>
        <w:rPr>
          <w:rFonts w:ascii="Times New Roman" w:hAnsi="Times New Roman" w:cs="Times New Roman"/>
          <w:b/>
          <w:sz w:val="32"/>
        </w:rPr>
      </w:pPr>
    </w:p>
    <w:p w14:paraId="1F8F41B2" w14:textId="27720FF4" w:rsidR="00A43D5E" w:rsidRDefault="00A43D5E" w:rsidP="00462708">
      <w:pPr>
        <w:jc w:val="center"/>
        <w:rPr>
          <w:rFonts w:ascii="Times New Roman" w:hAnsi="Times New Roman" w:cs="Times New Roman"/>
          <w:b/>
          <w:sz w:val="32"/>
        </w:rPr>
      </w:pPr>
      <w:r>
        <w:rPr>
          <w:noProof/>
        </w:rPr>
        <w:drawing>
          <wp:inline distT="0" distB="0" distL="0" distR="0" wp14:anchorId="3A3D29BE" wp14:editId="00FA2365">
            <wp:extent cx="5943600" cy="3095625"/>
            <wp:effectExtent l="0" t="0" r="0" b="9525"/>
            <wp:docPr id="1222084244"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4244"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BF44A48" w14:textId="77777777" w:rsidR="00A43D5E" w:rsidRDefault="00A43D5E" w:rsidP="00462708">
      <w:pPr>
        <w:jc w:val="center"/>
        <w:rPr>
          <w:rFonts w:ascii="Times New Roman" w:hAnsi="Times New Roman" w:cs="Times New Roman"/>
          <w:b/>
          <w:sz w:val="32"/>
        </w:rPr>
      </w:pPr>
    </w:p>
    <w:p w14:paraId="37EE125A" w14:textId="77777777" w:rsidR="00A43D5E" w:rsidRDefault="00A43D5E" w:rsidP="00A43D5E">
      <w:pPr>
        <w:pStyle w:val="paragraph"/>
        <w:spacing w:before="0" w:beforeAutospacing="0" w:after="0" w:afterAutospacing="0"/>
        <w:jc w:val="right"/>
        <w:textAlignment w:val="baseline"/>
        <w:rPr>
          <w:rFonts w:ascii="Segoe UI" w:hAnsi="Segoe UI" w:cs="Segoe UI"/>
          <w:sz w:val="18"/>
          <w:szCs w:val="18"/>
        </w:rPr>
      </w:pPr>
      <w:r>
        <w:rPr>
          <w:rStyle w:val="normaltextrun"/>
          <w:b/>
          <w:bCs/>
          <w:sz w:val="32"/>
          <w:szCs w:val="32"/>
          <w:lang w:val="en-US"/>
        </w:rPr>
        <w:t>Student Name: Nidhi D. Mehta</w:t>
      </w:r>
      <w:r>
        <w:rPr>
          <w:rStyle w:val="eop"/>
          <w:sz w:val="32"/>
          <w:szCs w:val="32"/>
        </w:rPr>
        <w:t> </w:t>
      </w:r>
    </w:p>
    <w:p w14:paraId="4342D05A" w14:textId="77777777" w:rsidR="00A43D5E" w:rsidRDefault="00A43D5E" w:rsidP="00A43D5E">
      <w:pPr>
        <w:pStyle w:val="paragraph"/>
        <w:spacing w:before="0" w:beforeAutospacing="0" w:after="0" w:afterAutospacing="0"/>
        <w:jc w:val="right"/>
        <w:textAlignment w:val="baseline"/>
        <w:rPr>
          <w:rFonts w:ascii="Segoe UI" w:hAnsi="Segoe UI" w:cs="Segoe UI"/>
          <w:sz w:val="18"/>
          <w:szCs w:val="18"/>
        </w:rPr>
      </w:pPr>
      <w:r>
        <w:rPr>
          <w:rStyle w:val="normaltextrun"/>
          <w:b/>
          <w:bCs/>
          <w:sz w:val="32"/>
          <w:szCs w:val="32"/>
          <w:lang w:val="en-US"/>
        </w:rPr>
        <w:t>Student ID: U2291532</w:t>
      </w:r>
      <w:r>
        <w:rPr>
          <w:rStyle w:val="eop"/>
          <w:sz w:val="32"/>
          <w:szCs w:val="32"/>
        </w:rPr>
        <w:t> </w:t>
      </w:r>
    </w:p>
    <w:p w14:paraId="753FD55F" w14:textId="77777777" w:rsidR="00A43D5E" w:rsidRDefault="00A43D5E" w:rsidP="00A43D5E">
      <w:pPr>
        <w:pStyle w:val="paragraph"/>
        <w:spacing w:before="0" w:beforeAutospacing="0" w:after="0" w:afterAutospacing="0"/>
        <w:jc w:val="right"/>
        <w:textAlignment w:val="baseline"/>
        <w:rPr>
          <w:rFonts w:ascii="Segoe UI" w:hAnsi="Segoe UI" w:cs="Segoe UI"/>
          <w:sz w:val="18"/>
          <w:szCs w:val="18"/>
        </w:rPr>
      </w:pPr>
      <w:r>
        <w:rPr>
          <w:rStyle w:val="normaltextrun"/>
          <w:b/>
          <w:bCs/>
          <w:sz w:val="32"/>
          <w:szCs w:val="32"/>
          <w:lang w:val="en-US"/>
        </w:rPr>
        <w:t xml:space="preserve">Supervised By: </w:t>
      </w:r>
      <w:r>
        <w:rPr>
          <w:rStyle w:val="normaltextrun"/>
          <w:b/>
          <w:bCs/>
          <w:sz w:val="32"/>
          <w:szCs w:val="32"/>
          <w:u w:val="single"/>
          <w:lang w:val="en-US"/>
        </w:rPr>
        <w:t>Abderrahmane Sadou</w:t>
      </w:r>
      <w:r>
        <w:rPr>
          <w:rStyle w:val="eop"/>
          <w:sz w:val="32"/>
          <w:szCs w:val="32"/>
        </w:rPr>
        <w:t> </w:t>
      </w:r>
    </w:p>
    <w:p w14:paraId="2CE9A50F" w14:textId="77777777" w:rsidR="00A43D5E" w:rsidRDefault="00A43D5E" w:rsidP="00A43D5E">
      <w:pPr>
        <w:pStyle w:val="paragraph"/>
        <w:spacing w:before="0" w:beforeAutospacing="0" w:after="0" w:afterAutospacing="0"/>
        <w:jc w:val="right"/>
        <w:textAlignment w:val="baseline"/>
        <w:rPr>
          <w:rFonts w:ascii="Segoe UI" w:hAnsi="Segoe UI" w:cs="Segoe UI"/>
          <w:sz w:val="18"/>
          <w:szCs w:val="18"/>
        </w:rPr>
      </w:pPr>
      <w:r>
        <w:rPr>
          <w:rStyle w:val="scxw91011623"/>
          <w:rFonts w:ascii="Calibri" w:hAnsi="Calibri" w:cs="Calibri"/>
          <w:sz w:val="22"/>
          <w:szCs w:val="22"/>
        </w:rPr>
        <w:t> </w:t>
      </w:r>
      <w:r>
        <w:rPr>
          <w:rFonts w:ascii="Calibri" w:hAnsi="Calibri" w:cs="Calibri"/>
          <w:sz w:val="22"/>
          <w:szCs w:val="22"/>
        </w:rPr>
        <w:br/>
      </w:r>
      <w:r>
        <w:rPr>
          <w:rStyle w:val="eop"/>
          <w:sz w:val="36"/>
          <w:szCs w:val="36"/>
        </w:rPr>
        <w:t> </w:t>
      </w:r>
    </w:p>
    <w:p w14:paraId="39514EF7" w14:textId="77777777" w:rsidR="00A43D5E" w:rsidRDefault="00A43D5E" w:rsidP="00462708">
      <w:pPr>
        <w:jc w:val="center"/>
        <w:rPr>
          <w:rFonts w:ascii="Times New Roman" w:hAnsi="Times New Roman" w:cs="Times New Roman"/>
          <w:b/>
          <w:sz w:val="32"/>
        </w:rPr>
      </w:pPr>
    </w:p>
    <w:p w14:paraId="18FF21CE" w14:textId="77777777" w:rsidR="00A43D5E" w:rsidRDefault="00A43D5E" w:rsidP="00462708">
      <w:pPr>
        <w:jc w:val="center"/>
        <w:rPr>
          <w:rFonts w:ascii="Times New Roman" w:hAnsi="Times New Roman" w:cs="Times New Roman"/>
          <w:b/>
          <w:sz w:val="32"/>
        </w:rPr>
      </w:pPr>
    </w:p>
    <w:p w14:paraId="0DF02E99" w14:textId="77777777" w:rsidR="00A43D5E" w:rsidRDefault="00A43D5E" w:rsidP="00462708">
      <w:pPr>
        <w:jc w:val="center"/>
        <w:rPr>
          <w:rFonts w:ascii="Times New Roman" w:hAnsi="Times New Roman" w:cs="Times New Roman"/>
          <w:b/>
          <w:sz w:val="32"/>
        </w:rPr>
      </w:pPr>
    </w:p>
    <w:p w14:paraId="464537CE" w14:textId="77777777" w:rsidR="00A43D5E" w:rsidRDefault="00A43D5E" w:rsidP="00A43D5E">
      <w:pPr>
        <w:pStyle w:val="paragraph"/>
        <w:spacing w:before="0" w:beforeAutospacing="0" w:after="0" w:afterAutospacing="0"/>
        <w:jc w:val="center"/>
        <w:textAlignment w:val="baseline"/>
        <w:rPr>
          <w:rFonts w:ascii="Segoe UI" w:hAnsi="Segoe UI" w:cs="Segoe UI"/>
          <w:sz w:val="18"/>
          <w:szCs w:val="18"/>
        </w:rPr>
      </w:pPr>
      <w:r>
        <w:rPr>
          <w:rStyle w:val="normaltextrun"/>
          <w:b/>
          <w:bCs/>
          <w:sz w:val="36"/>
          <w:szCs w:val="36"/>
          <w:lang w:val="en-US"/>
        </w:rPr>
        <w:t>Data Analysis and Visualization (BMD0007)</w:t>
      </w:r>
      <w:r>
        <w:rPr>
          <w:rStyle w:val="eop"/>
          <w:sz w:val="36"/>
          <w:szCs w:val="36"/>
        </w:rPr>
        <w:t> </w:t>
      </w:r>
    </w:p>
    <w:p w14:paraId="687ABD30" w14:textId="77777777" w:rsidR="00A43D5E" w:rsidRDefault="00A43D5E" w:rsidP="00A43D5E">
      <w:pPr>
        <w:pStyle w:val="paragraph"/>
        <w:spacing w:before="0" w:beforeAutospacing="0" w:after="0" w:afterAutospacing="0"/>
        <w:jc w:val="center"/>
        <w:textAlignment w:val="baseline"/>
        <w:rPr>
          <w:rFonts w:ascii="Segoe UI" w:hAnsi="Segoe UI" w:cs="Segoe UI"/>
          <w:sz w:val="18"/>
          <w:szCs w:val="18"/>
        </w:rPr>
      </w:pPr>
      <w:r>
        <w:rPr>
          <w:rStyle w:val="eop"/>
          <w:sz w:val="32"/>
          <w:szCs w:val="32"/>
        </w:rPr>
        <w:t> </w:t>
      </w:r>
    </w:p>
    <w:p w14:paraId="47B8D518" w14:textId="77777777" w:rsidR="00A43D5E" w:rsidRDefault="00F277DA" w:rsidP="00A43D5E">
      <w:pPr>
        <w:pStyle w:val="paragraph"/>
        <w:spacing w:before="0" w:beforeAutospacing="0" w:after="0" w:afterAutospacing="0"/>
        <w:jc w:val="center"/>
        <w:textAlignment w:val="baseline"/>
        <w:rPr>
          <w:rFonts w:ascii="Segoe UI" w:hAnsi="Segoe UI" w:cs="Segoe UI"/>
          <w:sz w:val="18"/>
          <w:szCs w:val="18"/>
        </w:rPr>
      </w:pPr>
      <w:sdt>
        <w:sdtPr>
          <w:tag w:val="tii-similarity-U1VCTUlUVEVEX1dPUktfb2lkOjI6NzM0NTI3ODY1"/>
          <w:id w:val="2069331851"/>
          <w:placeholder>
            <w:docPart w:val="9DD60978709C45C6BCF30BEB09E4D71E"/>
          </w:placeholder>
          <w15:appearance w15:val="hidden"/>
        </w:sdtPr>
        <w:sdtContent>
          <w:r w:rsidR="00A43D5E">
            <w:rPr>
              <w:rStyle w:val="normaltextrun"/>
              <w:b/>
              <w:bCs/>
              <w:sz w:val="36"/>
              <w:szCs w:val="36"/>
              <w:u w:val="single"/>
              <w:lang w:val="en-US"/>
            </w:rPr>
            <w:t>Stock Data Analysis of</w:t>
          </w:r>
        </w:sdtContent>
      </w:sdt>
      <w:r w:rsidR="00A43D5E">
        <w:rPr>
          <w:rStyle w:val="normaltextrun"/>
          <w:b/>
          <w:bCs/>
          <w:sz w:val="36"/>
          <w:szCs w:val="36"/>
          <w:u w:val="single"/>
          <w:lang w:val="en-US"/>
        </w:rPr>
        <w:t xml:space="preserve"> Legal &amp; General Plc.</w:t>
      </w:r>
      <w:r w:rsidR="00A43D5E">
        <w:rPr>
          <w:rStyle w:val="eop"/>
          <w:sz w:val="36"/>
          <w:szCs w:val="36"/>
        </w:rPr>
        <w:t> </w:t>
      </w:r>
    </w:p>
    <w:p w14:paraId="18D3E0D3" w14:textId="77777777" w:rsidR="00A43D5E" w:rsidRDefault="00A43D5E" w:rsidP="00A43D5E">
      <w:pPr>
        <w:pStyle w:val="paragraph"/>
        <w:spacing w:before="0" w:beforeAutospacing="0" w:after="0" w:afterAutospacing="0"/>
        <w:jc w:val="center"/>
        <w:textAlignment w:val="baseline"/>
        <w:rPr>
          <w:rFonts w:ascii="Segoe UI" w:hAnsi="Segoe UI" w:cs="Segoe UI"/>
          <w:sz w:val="18"/>
          <w:szCs w:val="18"/>
        </w:rPr>
      </w:pPr>
      <w:r>
        <w:rPr>
          <w:rStyle w:val="eop"/>
          <w:sz w:val="32"/>
          <w:szCs w:val="32"/>
        </w:rPr>
        <w:t> </w:t>
      </w:r>
    </w:p>
    <w:p w14:paraId="56F4E62C" w14:textId="77777777" w:rsidR="00A43D5E" w:rsidRDefault="00A43D5E" w:rsidP="00462708">
      <w:pPr>
        <w:jc w:val="center"/>
        <w:rPr>
          <w:rFonts w:ascii="Times New Roman" w:hAnsi="Times New Roman" w:cs="Times New Roman"/>
          <w:b/>
          <w:sz w:val="32"/>
        </w:rPr>
      </w:pPr>
    </w:p>
    <w:p w14:paraId="5493B649" w14:textId="77777777" w:rsidR="00A43D5E" w:rsidRDefault="00A43D5E" w:rsidP="00A43D5E">
      <w:pPr>
        <w:rPr>
          <w:rFonts w:ascii="Times New Roman" w:hAnsi="Times New Roman" w:cs="Times New Roman"/>
          <w:b/>
          <w:sz w:val="32"/>
        </w:rPr>
      </w:pPr>
    </w:p>
    <w:p w14:paraId="548F951D" w14:textId="6E59F4B7" w:rsidR="001274F7" w:rsidRDefault="001274F7">
      <w:pPr>
        <w:rPr>
          <w:rFonts w:ascii="Times New Roman" w:hAnsi="Times New Roman" w:cs="Times New Roman"/>
          <w:b/>
          <w:sz w:val="44"/>
          <w:szCs w:val="44"/>
          <w:u w:val="single"/>
        </w:rPr>
      </w:pPr>
    </w:p>
    <w:p w14:paraId="38F556E9" w14:textId="7ACAE3BC" w:rsidR="00FF3D96" w:rsidRPr="00A43D5E" w:rsidRDefault="00FF3D96" w:rsidP="00A43D5E">
      <w:pPr>
        <w:jc w:val="center"/>
        <w:rPr>
          <w:rFonts w:ascii="Times New Roman" w:hAnsi="Times New Roman" w:cs="Times New Roman"/>
          <w:b/>
          <w:sz w:val="44"/>
          <w:szCs w:val="44"/>
          <w:u w:val="single"/>
        </w:rPr>
      </w:pPr>
      <w:r w:rsidRPr="00A43D5E">
        <w:rPr>
          <w:rFonts w:ascii="Times New Roman" w:hAnsi="Times New Roman" w:cs="Times New Roman"/>
          <w:b/>
          <w:sz w:val="44"/>
          <w:szCs w:val="44"/>
          <w:u w:val="single"/>
        </w:rPr>
        <w:lastRenderedPageBreak/>
        <w:t>Executive Summary</w:t>
      </w:r>
    </w:p>
    <w:p w14:paraId="3713EBA2" w14:textId="024AF342" w:rsidR="00C65926" w:rsidRPr="00A43D5E" w:rsidRDefault="00C65926" w:rsidP="00A43D5E">
      <w:pPr>
        <w:spacing w:line="240" w:lineRule="auto"/>
        <w:jc w:val="both"/>
        <w:rPr>
          <w:rFonts w:ascii="Times New Roman" w:hAnsi="Times New Roman" w:cs="Times New Roman"/>
        </w:rPr>
      </w:pPr>
      <w:r w:rsidRPr="00A43D5E">
        <w:rPr>
          <w:rFonts w:ascii="Times New Roman" w:hAnsi="Times New Roman" w:cs="Times New Roman"/>
        </w:rPr>
        <w:t xml:space="preserve">The study presents a general evaluation of L&amp;G Group PLC, a leader in the financial sector based on its financial fundamentals, capital structure, and strategic approach. </w:t>
      </w:r>
      <w:r w:rsidR="00395F32" w:rsidRPr="00A43D5E">
        <w:rPr>
          <w:rFonts w:ascii="Times New Roman" w:hAnsi="Times New Roman" w:cs="Times New Roman"/>
        </w:rPr>
        <w:t xml:space="preserve">In </w:t>
      </w:r>
      <w:sdt>
        <w:sdtPr>
          <w:tag w:val="tii-similarity-U1VCTUlUVEVEX1dPUktfb2lkOjI6NzM1ODc4NDQ2"/>
          <w:id w:val="1500712992"/>
          <w:placeholder>
            <w:docPart w:val="9DD60978709C45C6BCF30BEB09E4D71E"/>
          </w:placeholder>
          <w15:appearance w15:val="hidden"/>
        </w:sdtPr>
        <w:sdtContent>
          <w:r w:rsidR="00395F32" w:rsidRPr="00A43D5E">
            <w:rPr>
              <w:rFonts w:ascii="Times New Roman" w:hAnsi="Times New Roman" w:cs="Times New Roman"/>
            </w:rPr>
            <w:t>this study, the</w:t>
          </w:r>
        </w:sdtContent>
      </w:sdt>
      <w:r w:rsidR="00395F32" w:rsidRPr="00A43D5E">
        <w:rPr>
          <w:rFonts w:ascii="Times New Roman" w:hAnsi="Times New Roman" w:cs="Times New Roman"/>
        </w:rPr>
        <w:t xml:space="preserve"> Legal &amp; General Group PLC (LGEN.</w:t>
      </w:r>
      <w:sdt>
        <w:sdtPr>
          <w:tag w:val="tii-similarity-U1VCTUlUVEVEX1dPUktfb2lkOjI6NzM1ODc4NDQ2"/>
          <w:id w:val="398022438"/>
          <w:placeholder>
            <w:docPart w:val="9DD60978709C45C6BCF30BEB09E4D71E"/>
          </w:placeholder>
          <w15:appearance w15:val="hidden"/>
        </w:sdtPr>
        <w:sdtContent>
          <w:r w:rsidR="00395F32" w:rsidRPr="00A43D5E">
            <w:rPr>
              <w:rFonts w:ascii="Times New Roman" w:hAnsi="Times New Roman" w:cs="Times New Roman"/>
            </w:rPr>
            <w:t>L) is compared</w:t>
          </w:r>
        </w:sdtContent>
      </w:sdt>
      <w:r w:rsidR="00395F32" w:rsidRPr="00A43D5E">
        <w:rPr>
          <w:rFonts w:ascii="Times New Roman" w:hAnsi="Times New Roman" w:cs="Times New Roman"/>
        </w:rPr>
        <w:t xml:space="preserve"> with Aviva PLC and the FTSE 100 Index through a period of three years, fiscal years of 2020, 2021, and 2022. By analyzing narrowly SALES revenue, premiums earned, INVESTMENT income, operating profit, profit after tax, financial indicators we arrive </w:t>
      </w:r>
      <w:r w:rsidR="6F959631" w:rsidRPr="6B2B0F1B">
        <w:rPr>
          <w:rFonts w:ascii="Times New Roman" w:hAnsi="Times New Roman" w:cs="Times New Roman"/>
        </w:rPr>
        <w:t>at</w:t>
      </w:r>
      <w:r w:rsidR="00395F32" w:rsidRPr="00A43D5E">
        <w:rPr>
          <w:rFonts w:ascii="Times New Roman" w:hAnsi="Times New Roman" w:cs="Times New Roman"/>
        </w:rPr>
        <w:t xml:space="preserve"> total assets, liabilities</w:t>
      </w:r>
      <w:r w:rsidR="0BE5C435" w:rsidRPr="62420203">
        <w:rPr>
          <w:rFonts w:ascii="Times New Roman" w:hAnsi="Times New Roman" w:cs="Times New Roman"/>
        </w:rPr>
        <w:t>,</w:t>
      </w:r>
      <w:r w:rsidR="00395F32" w:rsidRPr="00A43D5E">
        <w:rPr>
          <w:rFonts w:ascii="Times New Roman" w:hAnsi="Times New Roman" w:cs="Times New Roman"/>
        </w:rPr>
        <w:t xml:space="preserve"> and equity. Strategic initiatives and financial performance </w:t>
      </w:r>
      <w:r w:rsidR="1A66A363" w:rsidRPr="6B2B0F1B">
        <w:rPr>
          <w:rFonts w:ascii="Times New Roman" w:hAnsi="Times New Roman" w:cs="Times New Roman"/>
        </w:rPr>
        <w:t>were</w:t>
      </w:r>
      <w:r w:rsidR="00395F32" w:rsidRPr="00A43D5E">
        <w:rPr>
          <w:rFonts w:ascii="Times New Roman" w:hAnsi="Times New Roman" w:cs="Times New Roman"/>
        </w:rPr>
        <w:t xml:space="preserve"> analyzed along with the </w:t>
      </w:r>
      <w:r w:rsidR="1A66A363" w:rsidRPr="6B2B0F1B">
        <w:rPr>
          <w:rFonts w:ascii="Times New Roman" w:hAnsi="Times New Roman" w:cs="Times New Roman"/>
        </w:rPr>
        <w:t xml:space="preserve">company's </w:t>
      </w:r>
      <w:r w:rsidR="00395F32" w:rsidRPr="00A43D5E">
        <w:rPr>
          <w:rFonts w:ascii="Times New Roman" w:hAnsi="Times New Roman" w:cs="Times New Roman"/>
        </w:rPr>
        <w:t xml:space="preserve">trajectory within the </w:t>
      </w:r>
      <w:r w:rsidR="1A66A363" w:rsidRPr="6B2B0F1B">
        <w:rPr>
          <w:rFonts w:ascii="Times New Roman" w:hAnsi="Times New Roman" w:cs="Times New Roman"/>
        </w:rPr>
        <w:t>above</w:t>
      </w:r>
      <w:r w:rsidR="00395F32" w:rsidRPr="00A43D5E">
        <w:rPr>
          <w:rFonts w:ascii="Times New Roman" w:hAnsi="Times New Roman" w:cs="Times New Roman"/>
        </w:rPr>
        <w:t xml:space="preserve"> </w:t>
      </w:r>
      <w:r w:rsidR="3AA65B75" w:rsidRPr="68965D36">
        <w:rPr>
          <w:rFonts w:ascii="Times New Roman" w:hAnsi="Times New Roman" w:cs="Times New Roman"/>
        </w:rPr>
        <w:t>period</w:t>
      </w:r>
      <w:r w:rsidR="1A66A363" w:rsidRPr="68965D36">
        <w:rPr>
          <w:rFonts w:ascii="Times New Roman" w:hAnsi="Times New Roman" w:cs="Times New Roman"/>
        </w:rPr>
        <w:t>.</w:t>
      </w:r>
      <w:r w:rsidR="00395F32" w:rsidRPr="00A43D5E">
        <w:rPr>
          <w:rFonts w:ascii="Times New Roman" w:hAnsi="Times New Roman" w:cs="Times New Roman"/>
        </w:rPr>
        <w:t xml:space="preserve"> The study pointed out that Legal &amp; General's strategic position is one of the sectors' </w:t>
      </w:r>
      <w:r w:rsidR="1756D61F" w:rsidRPr="6B2B0F1B">
        <w:rPr>
          <w:rFonts w:ascii="Times New Roman" w:hAnsi="Times New Roman" w:cs="Times New Roman"/>
        </w:rPr>
        <w:t>financial</w:t>
      </w:r>
      <w:r w:rsidR="00395F32" w:rsidRPr="00A43D5E">
        <w:rPr>
          <w:rFonts w:ascii="Times New Roman" w:hAnsi="Times New Roman" w:cs="Times New Roman"/>
        </w:rPr>
        <w:t xml:space="preserve"> services, so it stated its balance sheet optimization, improving efficiency and being capable </w:t>
      </w:r>
      <w:r w:rsidR="6F959631" w:rsidRPr="01119330">
        <w:rPr>
          <w:rFonts w:ascii="Times New Roman" w:hAnsi="Times New Roman" w:cs="Times New Roman"/>
        </w:rPr>
        <w:t>of facing</w:t>
      </w:r>
      <w:r w:rsidR="00395F32" w:rsidRPr="00A43D5E">
        <w:rPr>
          <w:rFonts w:ascii="Times New Roman" w:hAnsi="Times New Roman" w:cs="Times New Roman"/>
        </w:rPr>
        <w:t xml:space="preserve"> market challenges. The diversity of comparisons makes it possible to observe wide selection of </w:t>
      </w:r>
      <w:r w:rsidR="00646746" w:rsidRPr="00A43D5E">
        <w:rPr>
          <w:rFonts w:ascii="Times New Roman" w:hAnsi="Times New Roman" w:cs="Times New Roman"/>
        </w:rPr>
        <w:t>Legal</w:t>
      </w:r>
      <w:r w:rsidR="0007581A">
        <w:rPr>
          <w:rFonts w:ascii="Times New Roman" w:hAnsi="Times New Roman" w:cs="Times New Roman"/>
        </w:rPr>
        <w:t xml:space="preserve"> &amp;</w:t>
      </w:r>
      <w:r w:rsidR="00646746" w:rsidRPr="00A43D5E">
        <w:rPr>
          <w:rFonts w:ascii="Times New Roman" w:hAnsi="Times New Roman" w:cs="Times New Roman"/>
        </w:rPr>
        <w:t xml:space="preserve"> General’s</w:t>
      </w:r>
      <w:r w:rsidR="00395F32" w:rsidRPr="00A43D5E">
        <w:rPr>
          <w:rFonts w:ascii="Times New Roman" w:hAnsi="Times New Roman" w:cs="Times New Roman"/>
        </w:rPr>
        <w:t xml:space="preserve"> performance in relation to other </w:t>
      </w:r>
      <w:r w:rsidR="1ECEABDA" w:rsidRPr="69226BE4">
        <w:rPr>
          <w:rFonts w:ascii="Times New Roman" w:hAnsi="Times New Roman" w:cs="Times New Roman"/>
        </w:rPr>
        <w:t>propertied</w:t>
      </w:r>
      <w:r w:rsidR="00395F32" w:rsidRPr="00A43D5E">
        <w:rPr>
          <w:rFonts w:ascii="Times New Roman" w:hAnsi="Times New Roman" w:cs="Times New Roman"/>
        </w:rPr>
        <w:t xml:space="preserve"> companies like Aviva </w:t>
      </w:r>
      <w:sdt>
        <w:sdtPr>
          <w:tag w:val="tii-similarity-U1VCTUlUVEVEX1dPUktfb2lkOjI6NzM0NjQ1ODI5"/>
          <w:id w:val="841069262"/>
          <w:placeholder>
            <w:docPart w:val="9DD60978709C45C6BCF30BEB09E4D71E"/>
          </w:placeholder>
          <w15:appearance w15:val="hidden"/>
        </w:sdtPr>
        <w:sdtContent>
          <w:r w:rsidR="00395F32" w:rsidRPr="00A43D5E">
            <w:rPr>
              <w:rFonts w:ascii="Times New Roman" w:hAnsi="Times New Roman" w:cs="Times New Roman"/>
            </w:rPr>
            <w:t>PLC and the broader FTSE 100</w:t>
          </w:r>
        </w:sdtContent>
      </w:sdt>
      <w:r w:rsidR="00395F32" w:rsidRPr="00A43D5E">
        <w:rPr>
          <w:rFonts w:ascii="Times New Roman" w:hAnsi="Times New Roman" w:cs="Times New Roman"/>
        </w:rPr>
        <w:t>, allowing for a well-informed view of Legal and General's standing in the financial market. Additionally, the research examines fundamental industry trends, regulatory elements, and global economic trends that are important to the evolution and growth of LGEN.L and its peers, and thus helping in a more precise analysis of Legal &amp; General’s strategic position and future in the volatile financial services industry.</w:t>
      </w:r>
    </w:p>
    <w:p w14:paraId="1243682B" w14:textId="77777777" w:rsidR="00C65926" w:rsidRPr="00C65926" w:rsidRDefault="00C65926" w:rsidP="00C65926">
      <w:pPr>
        <w:spacing w:line="360" w:lineRule="auto"/>
        <w:jc w:val="both"/>
        <w:rPr>
          <w:rFonts w:ascii="Times New Roman" w:hAnsi="Times New Roman" w:cs="Times New Roman"/>
          <w:sz w:val="24"/>
        </w:rPr>
      </w:pPr>
    </w:p>
    <w:p w14:paraId="3EFFE395" w14:textId="19BAE579" w:rsidR="0005496C" w:rsidRPr="00554D6C" w:rsidRDefault="0005496C" w:rsidP="00284C3D">
      <w:pPr>
        <w:spacing w:line="360" w:lineRule="auto"/>
        <w:jc w:val="both"/>
        <w:rPr>
          <w:rFonts w:ascii="Times New Roman" w:hAnsi="Times New Roman" w:cs="Times New Roman"/>
          <w:sz w:val="24"/>
        </w:rPr>
      </w:pPr>
    </w:p>
    <w:p w14:paraId="79CA9A2D" w14:textId="77777777" w:rsidR="0005496C" w:rsidRDefault="0005496C" w:rsidP="00870E8E">
      <w:pPr>
        <w:jc w:val="center"/>
        <w:rPr>
          <w:rFonts w:ascii="Times New Roman" w:hAnsi="Times New Roman" w:cs="Times New Roman"/>
          <w:b/>
          <w:sz w:val="32"/>
        </w:rPr>
      </w:pPr>
    </w:p>
    <w:p w14:paraId="6C89A263" w14:textId="77777777" w:rsidR="0005496C" w:rsidRDefault="0005496C" w:rsidP="00870E8E">
      <w:pPr>
        <w:jc w:val="center"/>
        <w:rPr>
          <w:rFonts w:ascii="Times New Roman" w:hAnsi="Times New Roman" w:cs="Times New Roman"/>
          <w:b/>
          <w:sz w:val="32"/>
        </w:rPr>
      </w:pPr>
    </w:p>
    <w:p w14:paraId="77279B7C" w14:textId="77777777" w:rsidR="0005496C" w:rsidRDefault="0005496C" w:rsidP="00870E8E">
      <w:pPr>
        <w:jc w:val="center"/>
        <w:rPr>
          <w:rFonts w:ascii="Times New Roman" w:hAnsi="Times New Roman" w:cs="Times New Roman"/>
          <w:b/>
          <w:sz w:val="32"/>
        </w:rPr>
      </w:pPr>
    </w:p>
    <w:p w14:paraId="4584D710" w14:textId="77777777" w:rsidR="0005496C" w:rsidRDefault="0005496C" w:rsidP="00870E8E">
      <w:pPr>
        <w:jc w:val="center"/>
        <w:rPr>
          <w:rFonts w:ascii="Times New Roman" w:hAnsi="Times New Roman" w:cs="Times New Roman"/>
          <w:b/>
          <w:sz w:val="32"/>
        </w:rPr>
      </w:pPr>
    </w:p>
    <w:p w14:paraId="1257979E" w14:textId="45604C6F" w:rsidR="00A43D5E" w:rsidRPr="00A43D5E" w:rsidRDefault="00A43D5E" w:rsidP="00A43D5E">
      <w:pPr>
        <w:rPr>
          <w:rFonts w:ascii="Times New Roman" w:hAnsi="Times New Roman"/>
          <w:sz w:val="24"/>
        </w:rPr>
      </w:pPr>
      <w:r>
        <w:rPr>
          <w:rFonts w:ascii="Times New Roman" w:hAnsi="Times New Roman"/>
          <w:b/>
          <w:bCs/>
          <w:sz w:val="24"/>
        </w:rPr>
        <w:br w:type="page"/>
      </w:r>
    </w:p>
    <w:sdt>
      <w:sdtPr>
        <w:rPr>
          <w:rFonts w:asciiTheme="minorHAnsi" w:eastAsiaTheme="minorEastAsia" w:hAnsiTheme="minorHAnsi" w:cstheme="minorBidi"/>
          <w:b w:val="0"/>
          <w:color w:val="auto"/>
          <w:sz w:val="22"/>
          <w:szCs w:val="22"/>
        </w:rPr>
        <w:id w:val="-865444389"/>
        <w:docPartObj>
          <w:docPartGallery w:val="Table of Contents"/>
          <w:docPartUnique/>
        </w:docPartObj>
      </w:sdtPr>
      <w:sdtEndPr>
        <w:rPr>
          <w:bCs w:val="0"/>
        </w:rPr>
      </w:sdtEndPr>
      <w:sdtContent>
        <w:p w14:paraId="51ABFE88" w14:textId="2CFA7F95" w:rsidR="001274F7" w:rsidRPr="001274F7" w:rsidRDefault="001274F7">
          <w:pPr>
            <w:pStyle w:val="TOCHeading"/>
            <w:rPr>
              <w:rFonts w:ascii="Times New Roman" w:hAnsi="Times New Roman" w:cs="Times New Roman"/>
            </w:rPr>
          </w:pPr>
          <w:r w:rsidRPr="001274F7">
            <w:rPr>
              <w:rFonts w:ascii="Times New Roman" w:hAnsi="Times New Roman" w:cs="Times New Roman"/>
            </w:rPr>
            <w:t>Table of Contents</w:t>
          </w:r>
        </w:p>
        <w:p w14:paraId="3CB12C13" w14:textId="54072874" w:rsidR="001274F7" w:rsidRPr="001274F7" w:rsidRDefault="001274F7">
          <w:pPr>
            <w:pStyle w:val="TOC1"/>
            <w:tabs>
              <w:tab w:val="right" w:leader="dot" w:pos="9350"/>
            </w:tabs>
            <w:rPr>
              <w:rFonts w:ascii="Times New Roman" w:hAnsi="Times New Roman" w:cs="Times New Roman"/>
              <w:b w:val="0"/>
              <w:bCs w:val="0"/>
              <w:i w:val="0"/>
              <w:iCs w:val="0"/>
              <w:noProof/>
              <w:kern w:val="2"/>
              <w:sz w:val="22"/>
              <w:szCs w:val="22"/>
              <w:lang w:eastAsia="en-GB"/>
              <w14:ligatures w14:val="standardContextual"/>
            </w:rPr>
          </w:pPr>
          <w:r>
            <w:fldChar w:fldCharType="begin"/>
          </w:r>
          <w:r>
            <w:instrText xml:space="preserve"> TOC \o "1-3" \h \z \u </w:instrText>
          </w:r>
          <w:r>
            <w:fldChar w:fldCharType="separate"/>
          </w:r>
          <w:hyperlink w:anchor="_Toc161312188" w:history="1">
            <w:r w:rsidRPr="001274F7">
              <w:rPr>
                <w:rStyle w:val="Hyperlink"/>
                <w:rFonts w:ascii="Times New Roman" w:hAnsi="Times New Roman" w:cs="Times New Roman"/>
                <w:b w:val="0"/>
                <w:bCs w:val="0"/>
                <w:i w:val="0"/>
                <w:iCs w:val="0"/>
                <w:noProof/>
              </w:rPr>
              <w:t>1. Introduction</w:t>
            </w:r>
            <w:r w:rsidRPr="001274F7">
              <w:rPr>
                <w:rFonts w:ascii="Times New Roman" w:hAnsi="Times New Roman" w:cs="Times New Roman"/>
                <w:b w:val="0"/>
                <w:bCs w:val="0"/>
                <w:i w:val="0"/>
                <w:iCs w:val="0"/>
                <w:noProof/>
                <w:webHidden/>
              </w:rPr>
              <w:tab/>
            </w:r>
            <w:r w:rsidRPr="001274F7">
              <w:rPr>
                <w:rFonts w:ascii="Times New Roman" w:hAnsi="Times New Roman" w:cs="Times New Roman"/>
                <w:b w:val="0"/>
                <w:bCs w:val="0"/>
                <w:i w:val="0"/>
                <w:iCs w:val="0"/>
                <w:noProof/>
                <w:webHidden/>
              </w:rPr>
              <w:fldChar w:fldCharType="begin"/>
            </w:r>
            <w:r w:rsidRPr="001274F7">
              <w:rPr>
                <w:rFonts w:ascii="Times New Roman" w:hAnsi="Times New Roman" w:cs="Times New Roman"/>
                <w:b w:val="0"/>
                <w:bCs w:val="0"/>
                <w:i w:val="0"/>
                <w:iCs w:val="0"/>
                <w:noProof/>
                <w:webHidden/>
              </w:rPr>
              <w:instrText xml:space="preserve"> PAGEREF _Toc161312188 \h </w:instrText>
            </w:r>
            <w:r w:rsidRPr="001274F7">
              <w:rPr>
                <w:rFonts w:ascii="Times New Roman" w:hAnsi="Times New Roman" w:cs="Times New Roman"/>
                <w:b w:val="0"/>
                <w:bCs w:val="0"/>
                <w:i w:val="0"/>
                <w:iCs w:val="0"/>
                <w:noProof/>
                <w:webHidden/>
              </w:rPr>
            </w:r>
            <w:r w:rsidRPr="001274F7">
              <w:rPr>
                <w:rFonts w:ascii="Times New Roman" w:hAnsi="Times New Roman" w:cs="Times New Roman"/>
                <w:b w:val="0"/>
                <w:bCs w:val="0"/>
                <w:i w:val="0"/>
                <w:iCs w:val="0"/>
                <w:noProof/>
                <w:webHidden/>
              </w:rPr>
              <w:fldChar w:fldCharType="separate"/>
            </w:r>
            <w:r w:rsidRPr="001274F7">
              <w:rPr>
                <w:rFonts w:ascii="Times New Roman" w:hAnsi="Times New Roman" w:cs="Times New Roman"/>
                <w:b w:val="0"/>
                <w:bCs w:val="0"/>
                <w:i w:val="0"/>
                <w:iCs w:val="0"/>
                <w:noProof/>
                <w:webHidden/>
              </w:rPr>
              <w:t>5</w:t>
            </w:r>
            <w:r w:rsidRPr="001274F7">
              <w:rPr>
                <w:rFonts w:ascii="Times New Roman" w:hAnsi="Times New Roman" w:cs="Times New Roman"/>
                <w:b w:val="0"/>
                <w:bCs w:val="0"/>
                <w:i w:val="0"/>
                <w:iCs w:val="0"/>
                <w:noProof/>
                <w:webHidden/>
              </w:rPr>
              <w:fldChar w:fldCharType="end"/>
            </w:r>
          </w:hyperlink>
        </w:p>
        <w:p w14:paraId="73F4B46F" w14:textId="1FB34FAA" w:rsidR="001274F7" w:rsidRPr="001274F7" w:rsidRDefault="009F2670">
          <w:pPr>
            <w:pStyle w:val="TOC1"/>
            <w:tabs>
              <w:tab w:val="right" w:leader="dot" w:pos="9350"/>
            </w:tabs>
            <w:rPr>
              <w:rFonts w:ascii="Times New Roman" w:hAnsi="Times New Roman" w:cs="Times New Roman"/>
              <w:b w:val="0"/>
              <w:bCs w:val="0"/>
              <w:i w:val="0"/>
              <w:iCs w:val="0"/>
              <w:noProof/>
              <w:kern w:val="2"/>
              <w:sz w:val="22"/>
              <w:szCs w:val="22"/>
              <w:lang w:eastAsia="en-GB"/>
              <w14:ligatures w14:val="standardContextual"/>
            </w:rPr>
          </w:pPr>
          <w:hyperlink w:anchor="_Toc161312189" w:history="1">
            <w:r w:rsidR="001274F7" w:rsidRPr="001274F7">
              <w:rPr>
                <w:rStyle w:val="Hyperlink"/>
                <w:rFonts w:ascii="Times New Roman" w:hAnsi="Times New Roman" w:cs="Times New Roman"/>
                <w:b w:val="0"/>
                <w:bCs w:val="0"/>
                <w:i w:val="0"/>
                <w:iCs w:val="0"/>
                <w:noProof/>
              </w:rPr>
              <w:t>2. Technical Analysis of Stock Market</w:t>
            </w:r>
            <w:r w:rsidR="001274F7" w:rsidRPr="001274F7">
              <w:rPr>
                <w:rFonts w:ascii="Times New Roman" w:hAnsi="Times New Roman" w:cs="Times New Roman"/>
                <w:b w:val="0"/>
                <w:bCs w:val="0"/>
                <w:i w:val="0"/>
                <w:iCs w:val="0"/>
                <w:noProof/>
                <w:webHidden/>
              </w:rPr>
              <w:tab/>
            </w:r>
            <w:r w:rsidR="001274F7" w:rsidRPr="001274F7">
              <w:rPr>
                <w:rFonts w:ascii="Times New Roman" w:hAnsi="Times New Roman" w:cs="Times New Roman"/>
                <w:b w:val="0"/>
                <w:bCs w:val="0"/>
                <w:i w:val="0"/>
                <w:iCs w:val="0"/>
                <w:noProof/>
                <w:webHidden/>
              </w:rPr>
              <w:fldChar w:fldCharType="begin"/>
            </w:r>
            <w:r w:rsidR="001274F7" w:rsidRPr="001274F7">
              <w:rPr>
                <w:rFonts w:ascii="Times New Roman" w:hAnsi="Times New Roman" w:cs="Times New Roman"/>
                <w:b w:val="0"/>
                <w:bCs w:val="0"/>
                <w:i w:val="0"/>
                <w:iCs w:val="0"/>
                <w:noProof/>
                <w:webHidden/>
              </w:rPr>
              <w:instrText xml:space="preserve"> PAGEREF _Toc161312189 \h </w:instrText>
            </w:r>
            <w:r w:rsidR="001274F7" w:rsidRPr="001274F7">
              <w:rPr>
                <w:rFonts w:ascii="Times New Roman" w:hAnsi="Times New Roman" w:cs="Times New Roman"/>
                <w:b w:val="0"/>
                <w:bCs w:val="0"/>
                <w:i w:val="0"/>
                <w:iCs w:val="0"/>
                <w:noProof/>
                <w:webHidden/>
              </w:rPr>
            </w:r>
            <w:r w:rsidR="001274F7" w:rsidRPr="001274F7">
              <w:rPr>
                <w:rFonts w:ascii="Times New Roman" w:hAnsi="Times New Roman" w:cs="Times New Roman"/>
                <w:b w:val="0"/>
                <w:bCs w:val="0"/>
                <w:i w:val="0"/>
                <w:iCs w:val="0"/>
                <w:noProof/>
                <w:webHidden/>
              </w:rPr>
              <w:fldChar w:fldCharType="separate"/>
            </w:r>
            <w:r w:rsidR="001274F7" w:rsidRPr="001274F7">
              <w:rPr>
                <w:rFonts w:ascii="Times New Roman" w:hAnsi="Times New Roman" w:cs="Times New Roman"/>
                <w:b w:val="0"/>
                <w:bCs w:val="0"/>
                <w:i w:val="0"/>
                <w:iCs w:val="0"/>
                <w:noProof/>
                <w:webHidden/>
              </w:rPr>
              <w:t>5</w:t>
            </w:r>
            <w:r w:rsidR="001274F7" w:rsidRPr="001274F7">
              <w:rPr>
                <w:rFonts w:ascii="Times New Roman" w:hAnsi="Times New Roman" w:cs="Times New Roman"/>
                <w:b w:val="0"/>
                <w:bCs w:val="0"/>
                <w:i w:val="0"/>
                <w:iCs w:val="0"/>
                <w:noProof/>
                <w:webHidden/>
              </w:rPr>
              <w:fldChar w:fldCharType="end"/>
            </w:r>
          </w:hyperlink>
        </w:p>
        <w:p w14:paraId="0DBAF6DF" w14:textId="4FD91D76" w:rsidR="001274F7" w:rsidRPr="001274F7" w:rsidRDefault="009F2670">
          <w:pPr>
            <w:pStyle w:val="TOC2"/>
            <w:tabs>
              <w:tab w:val="right" w:leader="dot" w:pos="9350"/>
            </w:tabs>
            <w:rPr>
              <w:rFonts w:ascii="Times New Roman" w:hAnsi="Times New Roman" w:cs="Times New Roman"/>
              <w:b w:val="0"/>
              <w:bCs w:val="0"/>
              <w:noProof/>
              <w:kern w:val="2"/>
              <w:lang w:eastAsia="en-GB"/>
              <w14:ligatures w14:val="standardContextual"/>
            </w:rPr>
          </w:pPr>
          <w:hyperlink w:anchor="_Toc161312190" w:history="1">
            <w:r w:rsidR="001274F7" w:rsidRPr="001274F7">
              <w:rPr>
                <w:rStyle w:val="Hyperlink"/>
                <w:rFonts w:ascii="Times New Roman" w:hAnsi="Times New Roman" w:cs="Times New Roman"/>
                <w:b w:val="0"/>
                <w:bCs w:val="0"/>
                <w:noProof/>
              </w:rPr>
              <w:t>2.1 Descriptive Analysis</w:t>
            </w:r>
            <w:r w:rsidR="001274F7" w:rsidRPr="001274F7">
              <w:rPr>
                <w:rFonts w:ascii="Times New Roman" w:hAnsi="Times New Roman" w:cs="Times New Roman"/>
                <w:b w:val="0"/>
                <w:bCs w:val="0"/>
                <w:noProof/>
                <w:webHidden/>
              </w:rPr>
              <w:tab/>
            </w:r>
            <w:r w:rsidR="001274F7" w:rsidRPr="001274F7">
              <w:rPr>
                <w:rFonts w:ascii="Times New Roman" w:hAnsi="Times New Roman" w:cs="Times New Roman"/>
                <w:b w:val="0"/>
                <w:bCs w:val="0"/>
                <w:noProof/>
                <w:webHidden/>
              </w:rPr>
              <w:fldChar w:fldCharType="begin"/>
            </w:r>
            <w:r w:rsidR="001274F7" w:rsidRPr="001274F7">
              <w:rPr>
                <w:rFonts w:ascii="Times New Roman" w:hAnsi="Times New Roman" w:cs="Times New Roman"/>
                <w:b w:val="0"/>
                <w:bCs w:val="0"/>
                <w:noProof/>
                <w:webHidden/>
              </w:rPr>
              <w:instrText xml:space="preserve"> PAGEREF _Toc161312190 \h </w:instrText>
            </w:r>
            <w:r w:rsidR="001274F7" w:rsidRPr="001274F7">
              <w:rPr>
                <w:rFonts w:ascii="Times New Roman" w:hAnsi="Times New Roman" w:cs="Times New Roman"/>
                <w:b w:val="0"/>
                <w:bCs w:val="0"/>
                <w:noProof/>
                <w:webHidden/>
              </w:rPr>
            </w:r>
            <w:r w:rsidR="001274F7" w:rsidRPr="001274F7">
              <w:rPr>
                <w:rFonts w:ascii="Times New Roman" w:hAnsi="Times New Roman" w:cs="Times New Roman"/>
                <w:b w:val="0"/>
                <w:bCs w:val="0"/>
                <w:noProof/>
                <w:webHidden/>
              </w:rPr>
              <w:fldChar w:fldCharType="separate"/>
            </w:r>
            <w:r w:rsidR="001274F7" w:rsidRPr="001274F7">
              <w:rPr>
                <w:rFonts w:ascii="Times New Roman" w:hAnsi="Times New Roman" w:cs="Times New Roman"/>
                <w:b w:val="0"/>
                <w:bCs w:val="0"/>
                <w:noProof/>
                <w:webHidden/>
              </w:rPr>
              <w:t>6</w:t>
            </w:r>
            <w:r w:rsidR="001274F7" w:rsidRPr="001274F7">
              <w:rPr>
                <w:rFonts w:ascii="Times New Roman" w:hAnsi="Times New Roman" w:cs="Times New Roman"/>
                <w:b w:val="0"/>
                <w:bCs w:val="0"/>
                <w:noProof/>
                <w:webHidden/>
              </w:rPr>
              <w:fldChar w:fldCharType="end"/>
            </w:r>
          </w:hyperlink>
        </w:p>
        <w:p w14:paraId="589D75E5" w14:textId="19B07348"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1" w:history="1">
            <w:r w:rsidR="001274F7" w:rsidRPr="001274F7">
              <w:rPr>
                <w:rStyle w:val="Hyperlink"/>
                <w:rFonts w:ascii="Times New Roman" w:hAnsi="Times New Roman" w:cs="Times New Roman"/>
                <w:noProof/>
              </w:rPr>
              <w:t>2.1.1 Stock Prices</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_Toc161312191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7</w:t>
            </w:r>
            <w:r w:rsidR="001274F7" w:rsidRPr="001274F7">
              <w:rPr>
                <w:rFonts w:ascii="Times New Roman" w:hAnsi="Times New Roman" w:cs="Times New Roman"/>
                <w:noProof/>
                <w:webHidden/>
              </w:rPr>
              <w:fldChar w:fldCharType="end"/>
            </w:r>
          </w:hyperlink>
        </w:p>
        <w:p w14:paraId="2BC0A477" w14:textId="664A5482" w:rsidR="001274F7" w:rsidRPr="001274F7" w:rsidRDefault="009F2670">
          <w:pPr>
            <w:pStyle w:val="TOC2"/>
            <w:tabs>
              <w:tab w:val="right" w:leader="dot" w:pos="9350"/>
            </w:tabs>
            <w:rPr>
              <w:rFonts w:ascii="Times New Roman" w:hAnsi="Times New Roman" w:cs="Times New Roman"/>
              <w:b w:val="0"/>
              <w:bCs w:val="0"/>
              <w:noProof/>
              <w:kern w:val="2"/>
              <w:lang w:eastAsia="en-GB"/>
              <w14:ligatures w14:val="standardContextual"/>
            </w:rPr>
          </w:pPr>
          <w:hyperlink w:anchor="_Toc161312192" w:history="1">
            <w:r w:rsidR="001274F7" w:rsidRPr="001274F7">
              <w:rPr>
                <w:rStyle w:val="Hyperlink"/>
                <w:rFonts w:ascii="Times New Roman" w:hAnsi="Times New Roman" w:cs="Times New Roman"/>
                <w:b w:val="0"/>
                <w:bCs w:val="0"/>
                <w:noProof/>
              </w:rPr>
              <w:t>2.2 Correlation and Regression Analysis</w:t>
            </w:r>
            <w:r w:rsidR="001274F7" w:rsidRPr="001274F7">
              <w:rPr>
                <w:rFonts w:ascii="Times New Roman" w:hAnsi="Times New Roman" w:cs="Times New Roman"/>
                <w:b w:val="0"/>
                <w:bCs w:val="0"/>
                <w:noProof/>
                <w:webHidden/>
              </w:rPr>
              <w:tab/>
            </w:r>
            <w:r w:rsidR="001274F7" w:rsidRPr="001274F7">
              <w:rPr>
                <w:rFonts w:ascii="Times New Roman" w:hAnsi="Times New Roman" w:cs="Times New Roman"/>
                <w:b w:val="0"/>
                <w:bCs w:val="0"/>
                <w:noProof/>
                <w:webHidden/>
              </w:rPr>
              <w:fldChar w:fldCharType="begin"/>
            </w:r>
            <w:r w:rsidR="001274F7" w:rsidRPr="001274F7">
              <w:rPr>
                <w:rFonts w:ascii="Times New Roman" w:hAnsi="Times New Roman" w:cs="Times New Roman"/>
                <w:b w:val="0"/>
                <w:bCs w:val="0"/>
                <w:noProof/>
                <w:webHidden/>
              </w:rPr>
              <w:instrText xml:space="preserve"> PAGEREF _Toc161312192 \h </w:instrText>
            </w:r>
            <w:r w:rsidR="001274F7" w:rsidRPr="001274F7">
              <w:rPr>
                <w:rFonts w:ascii="Times New Roman" w:hAnsi="Times New Roman" w:cs="Times New Roman"/>
                <w:b w:val="0"/>
                <w:bCs w:val="0"/>
                <w:noProof/>
                <w:webHidden/>
              </w:rPr>
            </w:r>
            <w:r w:rsidR="001274F7" w:rsidRPr="001274F7">
              <w:rPr>
                <w:rFonts w:ascii="Times New Roman" w:hAnsi="Times New Roman" w:cs="Times New Roman"/>
                <w:b w:val="0"/>
                <w:bCs w:val="0"/>
                <w:noProof/>
                <w:webHidden/>
              </w:rPr>
              <w:fldChar w:fldCharType="separate"/>
            </w:r>
            <w:r w:rsidR="001274F7" w:rsidRPr="001274F7">
              <w:rPr>
                <w:rFonts w:ascii="Times New Roman" w:hAnsi="Times New Roman" w:cs="Times New Roman"/>
                <w:b w:val="0"/>
                <w:bCs w:val="0"/>
                <w:noProof/>
                <w:webHidden/>
              </w:rPr>
              <w:t>10</w:t>
            </w:r>
            <w:r w:rsidR="001274F7" w:rsidRPr="001274F7">
              <w:rPr>
                <w:rFonts w:ascii="Times New Roman" w:hAnsi="Times New Roman" w:cs="Times New Roman"/>
                <w:b w:val="0"/>
                <w:bCs w:val="0"/>
                <w:noProof/>
                <w:webHidden/>
              </w:rPr>
              <w:fldChar w:fldCharType="end"/>
            </w:r>
          </w:hyperlink>
        </w:p>
        <w:p w14:paraId="18722DA5" w14:textId="68ADDF61"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3" w:history="1">
            <w:r w:rsidR="001274F7" w:rsidRPr="001274F7">
              <w:rPr>
                <w:rStyle w:val="Hyperlink"/>
                <w:rFonts w:ascii="Times New Roman" w:hAnsi="Times New Roman" w:cs="Times New Roman"/>
                <w:noProof/>
              </w:rPr>
              <w:t>2.2.1 Correlation between Stock Prices/ Returns</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_Toc161312193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10</w:t>
            </w:r>
            <w:r w:rsidR="001274F7" w:rsidRPr="001274F7">
              <w:rPr>
                <w:rFonts w:ascii="Times New Roman" w:hAnsi="Times New Roman" w:cs="Times New Roman"/>
                <w:noProof/>
                <w:webHidden/>
              </w:rPr>
              <w:fldChar w:fldCharType="end"/>
            </w:r>
          </w:hyperlink>
        </w:p>
        <w:p w14:paraId="6F4DC032" w14:textId="6292ED3C"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4" w:history="1">
            <w:r w:rsidR="001274F7" w:rsidRPr="001274F7">
              <w:rPr>
                <w:rStyle w:val="Hyperlink"/>
                <w:rFonts w:ascii="Times New Roman" w:hAnsi="Times New Roman" w:cs="Times New Roman"/>
                <w:noProof/>
              </w:rPr>
              <w:t>2.2.2 Regression Analysis</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_Toc161312194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12</w:t>
            </w:r>
            <w:r w:rsidR="001274F7" w:rsidRPr="001274F7">
              <w:rPr>
                <w:rFonts w:ascii="Times New Roman" w:hAnsi="Times New Roman" w:cs="Times New Roman"/>
                <w:noProof/>
                <w:webHidden/>
              </w:rPr>
              <w:fldChar w:fldCharType="end"/>
            </w:r>
          </w:hyperlink>
        </w:p>
        <w:p w14:paraId="14D33348" w14:textId="463E71FF" w:rsidR="001274F7" w:rsidRPr="001274F7" w:rsidRDefault="009F2670">
          <w:pPr>
            <w:pStyle w:val="TOC2"/>
            <w:tabs>
              <w:tab w:val="right" w:leader="dot" w:pos="9350"/>
            </w:tabs>
            <w:rPr>
              <w:rFonts w:ascii="Times New Roman" w:hAnsi="Times New Roman" w:cs="Times New Roman"/>
              <w:b w:val="0"/>
              <w:bCs w:val="0"/>
              <w:noProof/>
              <w:kern w:val="2"/>
              <w:lang w:eastAsia="en-GB"/>
              <w14:ligatures w14:val="standardContextual"/>
            </w:rPr>
          </w:pPr>
          <w:hyperlink w:anchor="_Toc161312195" w:history="1">
            <w:r w:rsidR="001274F7" w:rsidRPr="001274F7">
              <w:rPr>
                <w:rStyle w:val="Hyperlink"/>
                <w:rFonts w:ascii="Times New Roman" w:hAnsi="Times New Roman" w:cs="Times New Roman"/>
                <w:b w:val="0"/>
                <w:bCs w:val="0"/>
                <w:noProof/>
              </w:rPr>
              <w:t>2.3. Time Series Analysis</w:t>
            </w:r>
            <w:r w:rsidR="001274F7" w:rsidRPr="001274F7">
              <w:rPr>
                <w:rFonts w:ascii="Times New Roman" w:hAnsi="Times New Roman" w:cs="Times New Roman"/>
                <w:b w:val="0"/>
                <w:bCs w:val="0"/>
                <w:noProof/>
                <w:webHidden/>
              </w:rPr>
              <w:tab/>
            </w:r>
            <w:r w:rsidR="001274F7" w:rsidRPr="001274F7">
              <w:rPr>
                <w:rFonts w:ascii="Times New Roman" w:hAnsi="Times New Roman" w:cs="Times New Roman"/>
                <w:b w:val="0"/>
                <w:bCs w:val="0"/>
                <w:noProof/>
                <w:webHidden/>
              </w:rPr>
              <w:fldChar w:fldCharType="begin"/>
            </w:r>
            <w:r w:rsidR="001274F7" w:rsidRPr="001274F7">
              <w:rPr>
                <w:rFonts w:ascii="Times New Roman" w:hAnsi="Times New Roman" w:cs="Times New Roman"/>
                <w:b w:val="0"/>
                <w:bCs w:val="0"/>
                <w:noProof/>
                <w:webHidden/>
              </w:rPr>
              <w:instrText xml:space="preserve"> PAGEREF _Toc161312195 \h </w:instrText>
            </w:r>
            <w:r w:rsidR="001274F7" w:rsidRPr="001274F7">
              <w:rPr>
                <w:rFonts w:ascii="Times New Roman" w:hAnsi="Times New Roman" w:cs="Times New Roman"/>
                <w:b w:val="0"/>
                <w:bCs w:val="0"/>
                <w:noProof/>
                <w:webHidden/>
              </w:rPr>
            </w:r>
            <w:r w:rsidR="001274F7" w:rsidRPr="001274F7">
              <w:rPr>
                <w:rFonts w:ascii="Times New Roman" w:hAnsi="Times New Roman" w:cs="Times New Roman"/>
                <w:b w:val="0"/>
                <w:bCs w:val="0"/>
                <w:noProof/>
                <w:webHidden/>
              </w:rPr>
              <w:fldChar w:fldCharType="separate"/>
            </w:r>
            <w:r w:rsidR="001274F7" w:rsidRPr="001274F7">
              <w:rPr>
                <w:rFonts w:ascii="Times New Roman" w:hAnsi="Times New Roman" w:cs="Times New Roman"/>
                <w:b w:val="0"/>
                <w:bCs w:val="0"/>
                <w:noProof/>
                <w:webHidden/>
              </w:rPr>
              <w:t>15</w:t>
            </w:r>
            <w:r w:rsidR="001274F7" w:rsidRPr="001274F7">
              <w:rPr>
                <w:rFonts w:ascii="Times New Roman" w:hAnsi="Times New Roman" w:cs="Times New Roman"/>
                <w:b w:val="0"/>
                <w:bCs w:val="0"/>
                <w:noProof/>
                <w:webHidden/>
              </w:rPr>
              <w:fldChar w:fldCharType="end"/>
            </w:r>
          </w:hyperlink>
        </w:p>
        <w:p w14:paraId="0563010A" w14:textId="06CA9D3F"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6" w:history="1">
            <w:r w:rsidR="001274F7" w:rsidRPr="001274F7">
              <w:rPr>
                <w:rStyle w:val="Hyperlink"/>
                <w:rFonts w:ascii="Times New Roman" w:hAnsi="Times New Roman" w:cs="Times New Roman"/>
                <w:noProof/>
              </w:rPr>
              <w:t>2.3.1 Moving Average</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_Toc161312196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15</w:t>
            </w:r>
            <w:r w:rsidR="001274F7" w:rsidRPr="001274F7">
              <w:rPr>
                <w:rFonts w:ascii="Times New Roman" w:hAnsi="Times New Roman" w:cs="Times New Roman"/>
                <w:noProof/>
                <w:webHidden/>
              </w:rPr>
              <w:fldChar w:fldCharType="end"/>
            </w:r>
          </w:hyperlink>
        </w:p>
        <w:p w14:paraId="422B92BB" w14:textId="4C52F6BF"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7" w:history="1">
            <w:r w:rsidR="001274F7" w:rsidRPr="001274F7">
              <w:rPr>
                <w:rStyle w:val="Hyperlink"/>
                <w:rFonts w:ascii="Times New Roman" w:hAnsi="Times New Roman" w:cs="Times New Roman"/>
                <w:noProof/>
              </w:rPr>
              <w:t>2.3.2 Single Exponential Smoothing</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_Toc161312197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16</w:t>
            </w:r>
            <w:r w:rsidR="001274F7" w:rsidRPr="001274F7">
              <w:rPr>
                <w:rFonts w:ascii="Times New Roman" w:hAnsi="Times New Roman" w:cs="Times New Roman"/>
                <w:noProof/>
                <w:webHidden/>
              </w:rPr>
              <w:fldChar w:fldCharType="end"/>
            </w:r>
          </w:hyperlink>
        </w:p>
        <w:p w14:paraId="1CA8EF52" w14:textId="6DFF5C95"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8" w:history="1">
            <w:r w:rsidR="001274F7" w:rsidRPr="001274F7">
              <w:rPr>
                <w:rStyle w:val="Hyperlink"/>
                <w:rFonts w:ascii="Times New Roman" w:hAnsi="Times New Roman" w:cs="Times New Roman"/>
                <w:noProof/>
              </w:rPr>
              <w:t>2.3.3 Double Exponential Smoothing</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_Toc161312198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17</w:t>
            </w:r>
            <w:r w:rsidR="001274F7" w:rsidRPr="001274F7">
              <w:rPr>
                <w:rFonts w:ascii="Times New Roman" w:hAnsi="Times New Roman" w:cs="Times New Roman"/>
                <w:noProof/>
                <w:webHidden/>
              </w:rPr>
              <w:fldChar w:fldCharType="end"/>
            </w:r>
          </w:hyperlink>
        </w:p>
        <w:p w14:paraId="17F1D909" w14:textId="0D9B195D"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199" w:history="1">
            <w:r w:rsidR="001274F7" w:rsidRPr="001274F7">
              <w:rPr>
                <w:rStyle w:val="Hyperlink"/>
                <w:rFonts w:ascii="Times New Roman" w:hAnsi="Times New Roman" w:cs="Times New Roman"/>
                <w:noProof/>
              </w:rPr>
              <w:t>2.3.4 Holt’s – Winters Method (TES)</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_Toc161312199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18</w:t>
            </w:r>
            <w:r w:rsidR="001274F7" w:rsidRPr="001274F7">
              <w:rPr>
                <w:rFonts w:ascii="Times New Roman" w:hAnsi="Times New Roman" w:cs="Times New Roman"/>
                <w:noProof/>
                <w:webHidden/>
              </w:rPr>
              <w:fldChar w:fldCharType="end"/>
            </w:r>
          </w:hyperlink>
        </w:p>
        <w:p w14:paraId="341FE33F" w14:textId="0C8C2F57" w:rsidR="001274F7" w:rsidRPr="001274F7" w:rsidRDefault="009F2670">
          <w:pPr>
            <w:pStyle w:val="TOC1"/>
            <w:tabs>
              <w:tab w:val="right" w:leader="dot" w:pos="9350"/>
            </w:tabs>
            <w:rPr>
              <w:rFonts w:ascii="Times New Roman" w:hAnsi="Times New Roman" w:cs="Times New Roman"/>
              <w:b w:val="0"/>
              <w:bCs w:val="0"/>
              <w:i w:val="0"/>
              <w:iCs w:val="0"/>
              <w:noProof/>
              <w:kern w:val="2"/>
              <w:sz w:val="22"/>
              <w:szCs w:val="22"/>
              <w:lang w:eastAsia="en-GB"/>
              <w14:ligatures w14:val="standardContextual"/>
            </w:rPr>
          </w:pPr>
          <w:hyperlink w:anchor="_Toc161312200" w:history="1">
            <w:r w:rsidR="001274F7" w:rsidRPr="001274F7">
              <w:rPr>
                <w:rStyle w:val="Hyperlink"/>
                <w:rFonts w:ascii="Times New Roman" w:hAnsi="Times New Roman" w:cs="Times New Roman"/>
                <w:b w:val="0"/>
                <w:bCs w:val="0"/>
                <w:i w:val="0"/>
                <w:iCs w:val="0"/>
                <w:noProof/>
              </w:rPr>
              <w:t>3. Fundamental Analysis</w:t>
            </w:r>
            <w:r w:rsidR="001274F7" w:rsidRPr="001274F7">
              <w:rPr>
                <w:rFonts w:ascii="Times New Roman" w:hAnsi="Times New Roman" w:cs="Times New Roman"/>
                <w:b w:val="0"/>
                <w:bCs w:val="0"/>
                <w:i w:val="0"/>
                <w:iCs w:val="0"/>
                <w:noProof/>
                <w:webHidden/>
              </w:rPr>
              <w:tab/>
            </w:r>
            <w:r w:rsidR="001274F7" w:rsidRPr="001274F7">
              <w:rPr>
                <w:rFonts w:ascii="Times New Roman" w:hAnsi="Times New Roman" w:cs="Times New Roman"/>
                <w:b w:val="0"/>
                <w:bCs w:val="0"/>
                <w:i w:val="0"/>
                <w:iCs w:val="0"/>
                <w:noProof/>
                <w:webHidden/>
              </w:rPr>
              <w:fldChar w:fldCharType="begin"/>
            </w:r>
            <w:r w:rsidR="001274F7" w:rsidRPr="001274F7">
              <w:rPr>
                <w:rFonts w:ascii="Times New Roman" w:hAnsi="Times New Roman" w:cs="Times New Roman"/>
                <w:b w:val="0"/>
                <w:bCs w:val="0"/>
                <w:i w:val="0"/>
                <w:iCs w:val="0"/>
                <w:noProof/>
                <w:webHidden/>
              </w:rPr>
              <w:instrText xml:space="preserve"> PAGEREF _Toc161312200 \h </w:instrText>
            </w:r>
            <w:r w:rsidR="001274F7" w:rsidRPr="001274F7">
              <w:rPr>
                <w:rFonts w:ascii="Times New Roman" w:hAnsi="Times New Roman" w:cs="Times New Roman"/>
                <w:b w:val="0"/>
                <w:bCs w:val="0"/>
                <w:i w:val="0"/>
                <w:iCs w:val="0"/>
                <w:noProof/>
                <w:webHidden/>
              </w:rPr>
            </w:r>
            <w:r w:rsidR="001274F7" w:rsidRPr="001274F7">
              <w:rPr>
                <w:rFonts w:ascii="Times New Roman" w:hAnsi="Times New Roman" w:cs="Times New Roman"/>
                <w:b w:val="0"/>
                <w:bCs w:val="0"/>
                <w:i w:val="0"/>
                <w:iCs w:val="0"/>
                <w:noProof/>
                <w:webHidden/>
              </w:rPr>
              <w:fldChar w:fldCharType="separate"/>
            </w:r>
            <w:r w:rsidR="001274F7" w:rsidRPr="001274F7">
              <w:rPr>
                <w:rFonts w:ascii="Times New Roman" w:hAnsi="Times New Roman" w:cs="Times New Roman"/>
                <w:b w:val="0"/>
                <w:bCs w:val="0"/>
                <w:i w:val="0"/>
                <w:iCs w:val="0"/>
                <w:noProof/>
                <w:webHidden/>
              </w:rPr>
              <w:t>20</w:t>
            </w:r>
            <w:r w:rsidR="001274F7" w:rsidRPr="001274F7">
              <w:rPr>
                <w:rFonts w:ascii="Times New Roman" w:hAnsi="Times New Roman" w:cs="Times New Roman"/>
                <w:b w:val="0"/>
                <w:bCs w:val="0"/>
                <w:i w:val="0"/>
                <w:iCs w:val="0"/>
                <w:noProof/>
                <w:webHidden/>
              </w:rPr>
              <w:fldChar w:fldCharType="end"/>
            </w:r>
          </w:hyperlink>
        </w:p>
        <w:p w14:paraId="465DAB79" w14:textId="6C8E93C2" w:rsidR="001274F7" w:rsidRPr="001274F7" w:rsidRDefault="009F2670">
          <w:pPr>
            <w:pStyle w:val="TOC2"/>
            <w:tabs>
              <w:tab w:val="right" w:leader="dot" w:pos="9350"/>
            </w:tabs>
            <w:rPr>
              <w:rFonts w:ascii="Times New Roman" w:hAnsi="Times New Roman" w:cs="Times New Roman"/>
              <w:b w:val="0"/>
              <w:bCs w:val="0"/>
              <w:noProof/>
              <w:kern w:val="2"/>
              <w:lang w:eastAsia="en-GB"/>
              <w14:ligatures w14:val="standardContextual"/>
            </w:rPr>
          </w:pPr>
          <w:hyperlink w:anchor="_Toc161312201" w:history="1">
            <w:r w:rsidR="001274F7" w:rsidRPr="001274F7">
              <w:rPr>
                <w:rStyle w:val="Hyperlink"/>
                <w:rFonts w:ascii="Times New Roman" w:hAnsi="Times New Roman" w:cs="Times New Roman"/>
                <w:b w:val="0"/>
                <w:bCs w:val="0"/>
                <w:noProof/>
              </w:rPr>
              <w:t>3.1 Financial Statements</w:t>
            </w:r>
            <w:r w:rsidR="001274F7" w:rsidRPr="001274F7">
              <w:rPr>
                <w:rFonts w:ascii="Times New Roman" w:hAnsi="Times New Roman" w:cs="Times New Roman"/>
                <w:b w:val="0"/>
                <w:bCs w:val="0"/>
                <w:noProof/>
                <w:webHidden/>
              </w:rPr>
              <w:tab/>
            </w:r>
            <w:r w:rsidR="001274F7" w:rsidRPr="001274F7">
              <w:rPr>
                <w:rFonts w:ascii="Times New Roman" w:hAnsi="Times New Roman" w:cs="Times New Roman"/>
                <w:b w:val="0"/>
                <w:bCs w:val="0"/>
                <w:noProof/>
                <w:webHidden/>
              </w:rPr>
              <w:fldChar w:fldCharType="begin"/>
            </w:r>
            <w:r w:rsidR="001274F7" w:rsidRPr="001274F7">
              <w:rPr>
                <w:rFonts w:ascii="Times New Roman" w:hAnsi="Times New Roman" w:cs="Times New Roman"/>
                <w:b w:val="0"/>
                <w:bCs w:val="0"/>
                <w:noProof/>
                <w:webHidden/>
              </w:rPr>
              <w:instrText xml:space="preserve"> PAGEREF _Toc161312201 \h </w:instrText>
            </w:r>
            <w:r w:rsidR="001274F7" w:rsidRPr="001274F7">
              <w:rPr>
                <w:rFonts w:ascii="Times New Roman" w:hAnsi="Times New Roman" w:cs="Times New Roman"/>
                <w:b w:val="0"/>
                <w:bCs w:val="0"/>
                <w:noProof/>
                <w:webHidden/>
              </w:rPr>
            </w:r>
            <w:r w:rsidR="001274F7" w:rsidRPr="001274F7">
              <w:rPr>
                <w:rFonts w:ascii="Times New Roman" w:hAnsi="Times New Roman" w:cs="Times New Roman"/>
                <w:b w:val="0"/>
                <w:bCs w:val="0"/>
                <w:noProof/>
                <w:webHidden/>
              </w:rPr>
              <w:fldChar w:fldCharType="separate"/>
            </w:r>
            <w:r w:rsidR="001274F7" w:rsidRPr="001274F7">
              <w:rPr>
                <w:rFonts w:ascii="Times New Roman" w:hAnsi="Times New Roman" w:cs="Times New Roman"/>
                <w:b w:val="0"/>
                <w:bCs w:val="0"/>
                <w:noProof/>
                <w:webHidden/>
              </w:rPr>
              <w:t>20</w:t>
            </w:r>
            <w:r w:rsidR="001274F7" w:rsidRPr="001274F7">
              <w:rPr>
                <w:rFonts w:ascii="Times New Roman" w:hAnsi="Times New Roman" w:cs="Times New Roman"/>
                <w:b w:val="0"/>
                <w:bCs w:val="0"/>
                <w:noProof/>
                <w:webHidden/>
              </w:rPr>
              <w:fldChar w:fldCharType="end"/>
            </w:r>
          </w:hyperlink>
        </w:p>
        <w:p w14:paraId="128814A8" w14:textId="32A3D916"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202" w:history="1">
            <w:r w:rsidR="001274F7" w:rsidRPr="001274F7">
              <w:rPr>
                <w:rStyle w:val="Hyperlink"/>
                <w:rFonts w:ascii="Times New Roman" w:hAnsi="Times New Roman" w:cs="Times New Roman"/>
                <w:noProof/>
              </w:rPr>
              <w:t>3.1.1 Income Statement</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_Toc161312202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20</w:t>
            </w:r>
            <w:r w:rsidR="001274F7" w:rsidRPr="001274F7">
              <w:rPr>
                <w:rFonts w:ascii="Times New Roman" w:hAnsi="Times New Roman" w:cs="Times New Roman"/>
                <w:noProof/>
                <w:webHidden/>
              </w:rPr>
              <w:fldChar w:fldCharType="end"/>
            </w:r>
          </w:hyperlink>
        </w:p>
        <w:p w14:paraId="098D2064" w14:textId="0B6C7263" w:rsidR="001274F7" w:rsidRPr="001274F7" w:rsidRDefault="009F2670">
          <w:pPr>
            <w:pStyle w:val="TOC3"/>
            <w:tabs>
              <w:tab w:val="right" w:leader="dot" w:pos="9350"/>
            </w:tabs>
            <w:rPr>
              <w:rFonts w:ascii="Times New Roman" w:hAnsi="Times New Roman" w:cs="Times New Roman"/>
              <w:noProof/>
              <w:kern w:val="2"/>
              <w:sz w:val="22"/>
              <w:szCs w:val="22"/>
              <w:lang w:eastAsia="en-GB"/>
              <w14:ligatures w14:val="standardContextual"/>
            </w:rPr>
          </w:pPr>
          <w:hyperlink w:anchor="_Toc161312203" w:history="1">
            <w:r w:rsidR="001274F7" w:rsidRPr="001274F7">
              <w:rPr>
                <w:rStyle w:val="Hyperlink"/>
                <w:rFonts w:ascii="Times New Roman" w:hAnsi="Times New Roman" w:cs="Times New Roman"/>
                <w:noProof/>
              </w:rPr>
              <w:t>3.1.2 Capital Structure</w:t>
            </w:r>
            <w:r w:rsidR="001274F7" w:rsidRPr="001274F7">
              <w:rPr>
                <w:rFonts w:ascii="Times New Roman" w:hAnsi="Times New Roman" w:cs="Times New Roman"/>
                <w:noProof/>
                <w:webHidden/>
              </w:rPr>
              <w:tab/>
            </w:r>
            <w:r w:rsidR="001274F7" w:rsidRPr="001274F7">
              <w:rPr>
                <w:rFonts w:ascii="Times New Roman" w:hAnsi="Times New Roman" w:cs="Times New Roman"/>
                <w:noProof/>
                <w:webHidden/>
              </w:rPr>
              <w:fldChar w:fldCharType="begin"/>
            </w:r>
            <w:r w:rsidR="001274F7" w:rsidRPr="001274F7">
              <w:rPr>
                <w:rFonts w:ascii="Times New Roman" w:hAnsi="Times New Roman" w:cs="Times New Roman"/>
                <w:noProof/>
                <w:webHidden/>
              </w:rPr>
              <w:instrText xml:space="preserve"> PAGEREF _Toc161312203 \h </w:instrText>
            </w:r>
            <w:r w:rsidR="001274F7" w:rsidRPr="001274F7">
              <w:rPr>
                <w:rFonts w:ascii="Times New Roman" w:hAnsi="Times New Roman" w:cs="Times New Roman"/>
                <w:noProof/>
                <w:webHidden/>
              </w:rPr>
            </w:r>
            <w:r w:rsidR="001274F7" w:rsidRPr="001274F7">
              <w:rPr>
                <w:rFonts w:ascii="Times New Roman" w:hAnsi="Times New Roman" w:cs="Times New Roman"/>
                <w:noProof/>
                <w:webHidden/>
              </w:rPr>
              <w:fldChar w:fldCharType="separate"/>
            </w:r>
            <w:r w:rsidR="001274F7" w:rsidRPr="001274F7">
              <w:rPr>
                <w:rFonts w:ascii="Times New Roman" w:hAnsi="Times New Roman" w:cs="Times New Roman"/>
                <w:noProof/>
                <w:webHidden/>
              </w:rPr>
              <w:t>21</w:t>
            </w:r>
            <w:r w:rsidR="001274F7" w:rsidRPr="001274F7">
              <w:rPr>
                <w:rFonts w:ascii="Times New Roman" w:hAnsi="Times New Roman" w:cs="Times New Roman"/>
                <w:noProof/>
                <w:webHidden/>
              </w:rPr>
              <w:fldChar w:fldCharType="end"/>
            </w:r>
          </w:hyperlink>
        </w:p>
        <w:p w14:paraId="06204804" w14:textId="6E3542D8" w:rsidR="001274F7" w:rsidRPr="001274F7" w:rsidRDefault="009F2670">
          <w:pPr>
            <w:pStyle w:val="TOC2"/>
            <w:tabs>
              <w:tab w:val="right" w:leader="dot" w:pos="9350"/>
            </w:tabs>
            <w:rPr>
              <w:rFonts w:ascii="Times New Roman" w:hAnsi="Times New Roman" w:cs="Times New Roman"/>
              <w:b w:val="0"/>
              <w:bCs w:val="0"/>
              <w:noProof/>
              <w:kern w:val="2"/>
              <w:lang w:eastAsia="en-GB"/>
              <w14:ligatures w14:val="standardContextual"/>
            </w:rPr>
          </w:pPr>
          <w:hyperlink w:anchor="_Toc161312204" w:history="1">
            <w:r w:rsidR="001274F7" w:rsidRPr="001274F7">
              <w:rPr>
                <w:rStyle w:val="Hyperlink"/>
                <w:rFonts w:ascii="Times New Roman" w:hAnsi="Times New Roman" w:cs="Times New Roman"/>
                <w:b w:val="0"/>
                <w:bCs w:val="0"/>
                <w:noProof/>
              </w:rPr>
              <w:t>3.2 Strategic Analysis</w:t>
            </w:r>
            <w:r w:rsidR="001274F7" w:rsidRPr="001274F7">
              <w:rPr>
                <w:rFonts w:ascii="Times New Roman" w:hAnsi="Times New Roman" w:cs="Times New Roman"/>
                <w:b w:val="0"/>
                <w:bCs w:val="0"/>
                <w:noProof/>
                <w:webHidden/>
              </w:rPr>
              <w:tab/>
            </w:r>
            <w:r w:rsidR="001274F7" w:rsidRPr="001274F7">
              <w:rPr>
                <w:rFonts w:ascii="Times New Roman" w:hAnsi="Times New Roman" w:cs="Times New Roman"/>
                <w:b w:val="0"/>
                <w:bCs w:val="0"/>
                <w:noProof/>
                <w:webHidden/>
              </w:rPr>
              <w:fldChar w:fldCharType="begin"/>
            </w:r>
            <w:r w:rsidR="001274F7" w:rsidRPr="001274F7">
              <w:rPr>
                <w:rFonts w:ascii="Times New Roman" w:hAnsi="Times New Roman" w:cs="Times New Roman"/>
                <w:b w:val="0"/>
                <w:bCs w:val="0"/>
                <w:noProof/>
                <w:webHidden/>
              </w:rPr>
              <w:instrText xml:space="preserve"> PAGEREF _Toc161312204 \h </w:instrText>
            </w:r>
            <w:r w:rsidR="001274F7" w:rsidRPr="001274F7">
              <w:rPr>
                <w:rFonts w:ascii="Times New Roman" w:hAnsi="Times New Roman" w:cs="Times New Roman"/>
                <w:b w:val="0"/>
                <w:bCs w:val="0"/>
                <w:noProof/>
                <w:webHidden/>
              </w:rPr>
            </w:r>
            <w:r w:rsidR="001274F7" w:rsidRPr="001274F7">
              <w:rPr>
                <w:rFonts w:ascii="Times New Roman" w:hAnsi="Times New Roman" w:cs="Times New Roman"/>
                <w:b w:val="0"/>
                <w:bCs w:val="0"/>
                <w:noProof/>
                <w:webHidden/>
              </w:rPr>
              <w:fldChar w:fldCharType="separate"/>
            </w:r>
            <w:r w:rsidR="001274F7" w:rsidRPr="001274F7">
              <w:rPr>
                <w:rFonts w:ascii="Times New Roman" w:hAnsi="Times New Roman" w:cs="Times New Roman"/>
                <w:b w:val="0"/>
                <w:bCs w:val="0"/>
                <w:noProof/>
                <w:webHidden/>
              </w:rPr>
              <w:t>24</w:t>
            </w:r>
            <w:r w:rsidR="001274F7" w:rsidRPr="001274F7">
              <w:rPr>
                <w:rFonts w:ascii="Times New Roman" w:hAnsi="Times New Roman" w:cs="Times New Roman"/>
                <w:b w:val="0"/>
                <w:bCs w:val="0"/>
                <w:noProof/>
                <w:webHidden/>
              </w:rPr>
              <w:fldChar w:fldCharType="end"/>
            </w:r>
          </w:hyperlink>
        </w:p>
        <w:p w14:paraId="1F7770F6" w14:textId="2BA1C51C" w:rsidR="001274F7" w:rsidRPr="001274F7" w:rsidRDefault="009F2670">
          <w:pPr>
            <w:pStyle w:val="TOC1"/>
            <w:tabs>
              <w:tab w:val="right" w:leader="dot" w:pos="9350"/>
            </w:tabs>
            <w:rPr>
              <w:rFonts w:ascii="Times New Roman" w:hAnsi="Times New Roman" w:cs="Times New Roman"/>
              <w:b w:val="0"/>
              <w:bCs w:val="0"/>
              <w:i w:val="0"/>
              <w:iCs w:val="0"/>
              <w:noProof/>
              <w:kern w:val="2"/>
              <w:sz w:val="22"/>
              <w:szCs w:val="22"/>
              <w:lang w:eastAsia="en-GB"/>
              <w14:ligatures w14:val="standardContextual"/>
            </w:rPr>
          </w:pPr>
          <w:hyperlink w:anchor="_Toc161312205" w:history="1">
            <w:r w:rsidR="001274F7" w:rsidRPr="001274F7">
              <w:rPr>
                <w:rStyle w:val="Hyperlink"/>
                <w:rFonts w:ascii="Times New Roman" w:hAnsi="Times New Roman" w:cs="Times New Roman"/>
                <w:b w:val="0"/>
                <w:bCs w:val="0"/>
                <w:i w:val="0"/>
                <w:iCs w:val="0"/>
                <w:noProof/>
              </w:rPr>
              <w:t>4. Conclusion and Suggestions</w:t>
            </w:r>
            <w:r w:rsidR="001274F7" w:rsidRPr="001274F7">
              <w:rPr>
                <w:rFonts w:ascii="Times New Roman" w:hAnsi="Times New Roman" w:cs="Times New Roman"/>
                <w:b w:val="0"/>
                <w:bCs w:val="0"/>
                <w:i w:val="0"/>
                <w:iCs w:val="0"/>
                <w:noProof/>
                <w:webHidden/>
              </w:rPr>
              <w:tab/>
            </w:r>
            <w:r w:rsidR="001274F7" w:rsidRPr="001274F7">
              <w:rPr>
                <w:rFonts w:ascii="Times New Roman" w:hAnsi="Times New Roman" w:cs="Times New Roman"/>
                <w:b w:val="0"/>
                <w:bCs w:val="0"/>
                <w:i w:val="0"/>
                <w:iCs w:val="0"/>
                <w:noProof/>
                <w:webHidden/>
              </w:rPr>
              <w:fldChar w:fldCharType="begin"/>
            </w:r>
            <w:r w:rsidR="001274F7" w:rsidRPr="001274F7">
              <w:rPr>
                <w:rFonts w:ascii="Times New Roman" w:hAnsi="Times New Roman" w:cs="Times New Roman"/>
                <w:b w:val="0"/>
                <w:bCs w:val="0"/>
                <w:i w:val="0"/>
                <w:iCs w:val="0"/>
                <w:noProof/>
                <w:webHidden/>
              </w:rPr>
              <w:instrText xml:space="preserve"> PAGEREF _Toc161312205 \h </w:instrText>
            </w:r>
            <w:r w:rsidR="001274F7" w:rsidRPr="001274F7">
              <w:rPr>
                <w:rFonts w:ascii="Times New Roman" w:hAnsi="Times New Roman" w:cs="Times New Roman"/>
                <w:b w:val="0"/>
                <w:bCs w:val="0"/>
                <w:i w:val="0"/>
                <w:iCs w:val="0"/>
                <w:noProof/>
                <w:webHidden/>
              </w:rPr>
            </w:r>
            <w:r w:rsidR="001274F7" w:rsidRPr="001274F7">
              <w:rPr>
                <w:rFonts w:ascii="Times New Roman" w:hAnsi="Times New Roman" w:cs="Times New Roman"/>
                <w:b w:val="0"/>
                <w:bCs w:val="0"/>
                <w:i w:val="0"/>
                <w:iCs w:val="0"/>
                <w:noProof/>
                <w:webHidden/>
              </w:rPr>
              <w:fldChar w:fldCharType="separate"/>
            </w:r>
            <w:r w:rsidR="001274F7" w:rsidRPr="001274F7">
              <w:rPr>
                <w:rFonts w:ascii="Times New Roman" w:hAnsi="Times New Roman" w:cs="Times New Roman"/>
                <w:b w:val="0"/>
                <w:bCs w:val="0"/>
                <w:i w:val="0"/>
                <w:iCs w:val="0"/>
                <w:noProof/>
                <w:webHidden/>
              </w:rPr>
              <w:t>24</w:t>
            </w:r>
            <w:r w:rsidR="001274F7" w:rsidRPr="001274F7">
              <w:rPr>
                <w:rFonts w:ascii="Times New Roman" w:hAnsi="Times New Roman" w:cs="Times New Roman"/>
                <w:b w:val="0"/>
                <w:bCs w:val="0"/>
                <w:i w:val="0"/>
                <w:iCs w:val="0"/>
                <w:noProof/>
                <w:webHidden/>
              </w:rPr>
              <w:fldChar w:fldCharType="end"/>
            </w:r>
          </w:hyperlink>
        </w:p>
        <w:p w14:paraId="443546FD" w14:textId="79D52031" w:rsidR="001274F7" w:rsidRPr="001274F7" w:rsidRDefault="009F2670">
          <w:pPr>
            <w:pStyle w:val="TOC1"/>
            <w:tabs>
              <w:tab w:val="right" w:leader="dot" w:pos="9350"/>
            </w:tabs>
            <w:rPr>
              <w:rFonts w:ascii="Times New Roman" w:hAnsi="Times New Roman" w:cs="Times New Roman"/>
              <w:b w:val="0"/>
              <w:bCs w:val="0"/>
              <w:i w:val="0"/>
              <w:iCs w:val="0"/>
              <w:noProof/>
              <w:kern w:val="2"/>
              <w:sz w:val="22"/>
              <w:szCs w:val="22"/>
              <w:lang w:eastAsia="en-GB"/>
              <w14:ligatures w14:val="standardContextual"/>
            </w:rPr>
          </w:pPr>
          <w:hyperlink w:anchor="_Toc161312206" w:history="1">
            <w:r w:rsidR="001274F7" w:rsidRPr="001274F7">
              <w:rPr>
                <w:rStyle w:val="Hyperlink"/>
                <w:rFonts w:ascii="Times New Roman" w:hAnsi="Times New Roman" w:cs="Times New Roman"/>
                <w:b w:val="0"/>
                <w:bCs w:val="0"/>
                <w:i w:val="0"/>
                <w:iCs w:val="0"/>
                <w:noProof/>
              </w:rPr>
              <w:t>References</w:t>
            </w:r>
            <w:r w:rsidR="001274F7" w:rsidRPr="001274F7">
              <w:rPr>
                <w:rFonts w:ascii="Times New Roman" w:hAnsi="Times New Roman" w:cs="Times New Roman"/>
                <w:b w:val="0"/>
                <w:bCs w:val="0"/>
                <w:i w:val="0"/>
                <w:iCs w:val="0"/>
                <w:noProof/>
                <w:webHidden/>
              </w:rPr>
              <w:tab/>
            </w:r>
            <w:r w:rsidR="001274F7" w:rsidRPr="001274F7">
              <w:rPr>
                <w:rFonts w:ascii="Times New Roman" w:hAnsi="Times New Roman" w:cs="Times New Roman"/>
                <w:b w:val="0"/>
                <w:bCs w:val="0"/>
                <w:i w:val="0"/>
                <w:iCs w:val="0"/>
                <w:noProof/>
                <w:webHidden/>
              </w:rPr>
              <w:fldChar w:fldCharType="begin"/>
            </w:r>
            <w:r w:rsidR="001274F7" w:rsidRPr="001274F7">
              <w:rPr>
                <w:rFonts w:ascii="Times New Roman" w:hAnsi="Times New Roman" w:cs="Times New Roman"/>
                <w:b w:val="0"/>
                <w:bCs w:val="0"/>
                <w:i w:val="0"/>
                <w:iCs w:val="0"/>
                <w:noProof/>
                <w:webHidden/>
              </w:rPr>
              <w:instrText xml:space="preserve"> PAGEREF _Toc161312206 \h </w:instrText>
            </w:r>
            <w:r w:rsidR="001274F7" w:rsidRPr="001274F7">
              <w:rPr>
                <w:rFonts w:ascii="Times New Roman" w:hAnsi="Times New Roman" w:cs="Times New Roman"/>
                <w:b w:val="0"/>
                <w:bCs w:val="0"/>
                <w:i w:val="0"/>
                <w:iCs w:val="0"/>
                <w:noProof/>
                <w:webHidden/>
              </w:rPr>
            </w:r>
            <w:r w:rsidR="001274F7" w:rsidRPr="001274F7">
              <w:rPr>
                <w:rFonts w:ascii="Times New Roman" w:hAnsi="Times New Roman" w:cs="Times New Roman"/>
                <w:b w:val="0"/>
                <w:bCs w:val="0"/>
                <w:i w:val="0"/>
                <w:iCs w:val="0"/>
                <w:noProof/>
                <w:webHidden/>
              </w:rPr>
              <w:fldChar w:fldCharType="separate"/>
            </w:r>
            <w:r w:rsidR="001274F7" w:rsidRPr="001274F7">
              <w:rPr>
                <w:rFonts w:ascii="Times New Roman" w:hAnsi="Times New Roman" w:cs="Times New Roman"/>
                <w:b w:val="0"/>
                <w:bCs w:val="0"/>
                <w:i w:val="0"/>
                <w:iCs w:val="0"/>
                <w:noProof/>
                <w:webHidden/>
              </w:rPr>
              <w:t>25</w:t>
            </w:r>
            <w:r w:rsidR="001274F7" w:rsidRPr="001274F7">
              <w:rPr>
                <w:rFonts w:ascii="Times New Roman" w:hAnsi="Times New Roman" w:cs="Times New Roman"/>
                <w:b w:val="0"/>
                <w:bCs w:val="0"/>
                <w:i w:val="0"/>
                <w:iCs w:val="0"/>
                <w:noProof/>
                <w:webHidden/>
              </w:rPr>
              <w:fldChar w:fldCharType="end"/>
            </w:r>
          </w:hyperlink>
        </w:p>
        <w:p w14:paraId="4E507EED" w14:textId="3BC6230B" w:rsidR="001274F7" w:rsidRDefault="001274F7">
          <w:r>
            <w:rPr>
              <w:b/>
              <w:bCs/>
              <w:noProof/>
            </w:rPr>
            <w:fldChar w:fldCharType="end"/>
          </w:r>
        </w:p>
      </w:sdtContent>
    </w:sdt>
    <w:p w14:paraId="1DE5C9F0" w14:textId="44F22C9E" w:rsidR="00AD6334" w:rsidRDefault="001274F7" w:rsidP="00AD6334">
      <w:pPr>
        <w:rPr>
          <w:rFonts w:ascii="Times New Roman" w:eastAsiaTheme="majorEastAsia" w:hAnsi="Times New Roman" w:cs="Times New Roman"/>
          <w:b/>
          <w:bCs/>
          <w:color w:val="2E74B5" w:themeColor="accent1" w:themeShade="BF"/>
          <w:sz w:val="28"/>
          <w:szCs w:val="28"/>
        </w:rPr>
      </w:pPr>
      <w:r w:rsidRPr="001274F7">
        <w:rPr>
          <w:rFonts w:ascii="Times New Roman" w:eastAsiaTheme="majorEastAsia" w:hAnsi="Times New Roman" w:cs="Times New Roman"/>
          <w:b/>
          <w:bCs/>
          <w:color w:val="2E74B5" w:themeColor="accent1" w:themeShade="BF"/>
          <w:sz w:val="28"/>
          <w:szCs w:val="28"/>
        </w:rPr>
        <w:t xml:space="preserve">Table </w:t>
      </w:r>
      <w:sdt>
        <w:sdtPr>
          <w:tag w:val="tii-similarity-U1VCTUlUVEVEX1dPUktfb2lkOjI6Njk0MTMzMDc5"/>
          <w:id w:val="1561123027"/>
          <w:placeholder>
            <w:docPart w:val="9DD60978709C45C6BCF30BEB09E4D71E"/>
          </w:placeholder>
          <w15:appearance w15:val="hidden"/>
        </w:sdtPr>
        <w:sdtContent>
          <w:r w:rsidRPr="001274F7">
            <w:rPr>
              <w:rFonts w:ascii="Times New Roman" w:eastAsiaTheme="majorEastAsia" w:hAnsi="Times New Roman" w:cs="Times New Roman"/>
              <w:b/>
              <w:bCs/>
              <w:color w:val="2E74B5" w:themeColor="accent1" w:themeShade="BF"/>
              <w:sz w:val="28"/>
              <w:szCs w:val="28"/>
            </w:rPr>
            <w:t>of Figures</w:t>
          </w:r>
        </w:sdtContent>
      </w:sdt>
    </w:p>
    <w:bookmarkStart w:id="0" w:name="_Toc161312188"/>
    <w:p w14:paraId="68D5E414" w14:textId="7BAD07CB" w:rsidR="00D269E3" w:rsidRDefault="00D269E3">
      <w:pPr>
        <w:pStyle w:val="TableofFigures"/>
        <w:tabs>
          <w:tab w:val="right" w:leader="dot" w:pos="9350"/>
        </w:tabs>
        <w:rPr>
          <w:rFonts w:eastAsiaTheme="minorEastAsia"/>
          <w:noProof/>
          <w:kern w:val="2"/>
          <w:lang w:val="en-GB" w:eastAsia="en-GB"/>
          <w14:ligatures w14:val="standardContextual"/>
        </w:rPr>
      </w:pPr>
      <w:r>
        <w:rPr>
          <w:rFonts w:ascii="Times New Roman" w:hAnsi="Times New Roman" w:cs="Times New Roman"/>
          <w:sz w:val="44"/>
          <w:szCs w:val="44"/>
        </w:rPr>
        <w:fldChar w:fldCharType="begin"/>
      </w:r>
      <w:r>
        <w:rPr>
          <w:rFonts w:ascii="Times New Roman" w:hAnsi="Times New Roman" w:cs="Times New Roman"/>
          <w:sz w:val="44"/>
          <w:szCs w:val="44"/>
        </w:rPr>
        <w:instrText xml:space="preserve"> TOC \h \z \c "Figure" </w:instrText>
      </w:r>
      <w:r>
        <w:rPr>
          <w:rFonts w:ascii="Times New Roman" w:hAnsi="Times New Roman" w:cs="Times New Roman"/>
          <w:sz w:val="44"/>
          <w:szCs w:val="44"/>
        </w:rPr>
        <w:fldChar w:fldCharType="separate"/>
      </w:r>
      <w:hyperlink w:anchor="_Toc161314061" w:history="1">
        <w:r w:rsidRPr="003D7DFD">
          <w:rPr>
            <w:rStyle w:val="Hyperlink"/>
            <w:rFonts w:ascii="Times New Roman" w:hAnsi="Times New Roman" w:cs="Times New Roman"/>
            <w:noProof/>
          </w:rPr>
          <w:t>Figure 1: Standard Indicators (Descriptive Statistics)</w:t>
        </w:r>
        <w:r>
          <w:rPr>
            <w:noProof/>
            <w:webHidden/>
          </w:rPr>
          <w:tab/>
        </w:r>
        <w:r>
          <w:rPr>
            <w:noProof/>
            <w:webHidden/>
          </w:rPr>
          <w:fldChar w:fldCharType="begin"/>
        </w:r>
        <w:r>
          <w:rPr>
            <w:noProof/>
            <w:webHidden/>
          </w:rPr>
          <w:instrText xml:space="preserve"> PAGEREF _Toc161314061 \h </w:instrText>
        </w:r>
        <w:r>
          <w:rPr>
            <w:noProof/>
            <w:webHidden/>
          </w:rPr>
        </w:r>
        <w:r>
          <w:rPr>
            <w:noProof/>
            <w:webHidden/>
          </w:rPr>
          <w:fldChar w:fldCharType="separate"/>
        </w:r>
        <w:r>
          <w:rPr>
            <w:noProof/>
            <w:webHidden/>
          </w:rPr>
          <w:t>5</w:t>
        </w:r>
        <w:r>
          <w:rPr>
            <w:noProof/>
            <w:webHidden/>
          </w:rPr>
          <w:fldChar w:fldCharType="end"/>
        </w:r>
      </w:hyperlink>
    </w:p>
    <w:p w14:paraId="709BB9FD" w14:textId="64502F4E"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2" w:history="1">
        <w:r w:rsidR="00D269E3" w:rsidRPr="003D7DFD">
          <w:rPr>
            <w:rStyle w:val="Hyperlink"/>
            <w:rFonts w:ascii="Times New Roman" w:hAnsi="Times New Roman" w:cs="Times New Roman"/>
            <w:noProof/>
          </w:rPr>
          <w:t>Figure 2: Line Chart</w:t>
        </w:r>
        <w:r w:rsidR="00D269E3">
          <w:rPr>
            <w:noProof/>
            <w:webHidden/>
          </w:rPr>
          <w:tab/>
        </w:r>
        <w:r w:rsidR="00D269E3">
          <w:rPr>
            <w:noProof/>
            <w:webHidden/>
          </w:rPr>
          <w:fldChar w:fldCharType="begin"/>
        </w:r>
        <w:r w:rsidR="00D269E3">
          <w:rPr>
            <w:noProof/>
            <w:webHidden/>
          </w:rPr>
          <w:instrText xml:space="preserve"> PAGEREF _Toc161314062 \h </w:instrText>
        </w:r>
        <w:r w:rsidR="00D269E3">
          <w:rPr>
            <w:noProof/>
            <w:webHidden/>
          </w:rPr>
        </w:r>
        <w:r w:rsidR="00D269E3">
          <w:rPr>
            <w:noProof/>
            <w:webHidden/>
          </w:rPr>
          <w:fldChar w:fldCharType="separate"/>
        </w:r>
        <w:r w:rsidR="00D269E3">
          <w:rPr>
            <w:noProof/>
            <w:webHidden/>
          </w:rPr>
          <w:t>6</w:t>
        </w:r>
        <w:r w:rsidR="00D269E3">
          <w:rPr>
            <w:noProof/>
            <w:webHidden/>
          </w:rPr>
          <w:fldChar w:fldCharType="end"/>
        </w:r>
      </w:hyperlink>
    </w:p>
    <w:p w14:paraId="213B203D" w14:textId="5E2EC33D"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3" w:history="1">
        <w:r w:rsidR="00D269E3" w:rsidRPr="003D7DFD">
          <w:rPr>
            <w:rStyle w:val="Hyperlink"/>
            <w:rFonts w:ascii="Times New Roman" w:hAnsi="Times New Roman" w:cs="Times New Roman"/>
            <w:noProof/>
          </w:rPr>
          <w:t>Figure 3 Comparing Daily Returns (Histogram and Boxplot)</w:t>
        </w:r>
        <w:r w:rsidR="00D269E3">
          <w:rPr>
            <w:noProof/>
            <w:webHidden/>
          </w:rPr>
          <w:tab/>
        </w:r>
        <w:r w:rsidR="00D269E3">
          <w:rPr>
            <w:noProof/>
            <w:webHidden/>
          </w:rPr>
          <w:fldChar w:fldCharType="begin"/>
        </w:r>
        <w:r w:rsidR="00D269E3">
          <w:rPr>
            <w:noProof/>
            <w:webHidden/>
          </w:rPr>
          <w:instrText xml:space="preserve"> PAGEREF _Toc161314063 \h </w:instrText>
        </w:r>
        <w:r w:rsidR="00D269E3">
          <w:rPr>
            <w:noProof/>
            <w:webHidden/>
          </w:rPr>
        </w:r>
        <w:r w:rsidR="00D269E3">
          <w:rPr>
            <w:noProof/>
            <w:webHidden/>
          </w:rPr>
          <w:fldChar w:fldCharType="separate"/>
        </w:r>
        <w:r w:rsidR="00D269E3">
          <w:rPr>
            <w:noProof/>
            <w:webHidden/>
          </w:rPr>
          <w:t>7</w:t>
        </w:r>
        <w:r w:rsidR="00D269E3">
          <w:rPr>
            <w:noProof/>
            <w:webHidden/>
          </w:rPr>
          <w:fldChar w:fldCharType="end"/>
        </w:r>
      </w:hyperlink>
    </w:p>
    <w:p w14:paraId="74508B6A" w14:textId="56D0F4DE"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4" w:history="1">
        <w:r w:rsidR="00D269E3" w:rsidRPr="003D7DFD">
          <w:rPr>
            <w:rStyle w:val="Hyperlink"/>
            <w:rFonts w:ascii="Times New Roman" w:hAnsi="Times New Roman" w:cs="Times New Roman"/>
            <w:noProof/>
          </w:rPr>
          <w:t>Figure 4: Comparing Daily Returns of LGEN.L</w:t>
        </w:r>
        <w:r w:rsidR="00D269E3">
          <w:rPr>
            <w:noProof/>
            <w:webHidden/>
          </w:rPr>
          <w:tab/>
        </w:r>
        <w:r w:rsidR="00D269E3">
          <w:rPr>
            <w:noProof/>
            <w:webHidden/>
          </w:rPr>
          <w:fldChar w:fldCharType="begin"/>
        </w:r>
        <w:r w:rsidR="00D269E3">
          <w:rPr>
            <w:noProof/>
            <w:webHidden/>
          </w:rPr>
          <w:instrText xml:space="preserve"> PAGEREF _Toc161314064 \h </w:instrText>
        </w:r>
        <w:r w:rsidR="00D269E3">
          <w:rPr>
            <w:noProof/>
            <w:webHidden/>
          </w:rPr>
        </w:r>
        <w:r w:rsidR="00D269E3">
          <w:rPr>
            <w:noProof/>
            <w:webHidden/>
          </w:rPr>
          <w:fldChar w:fldCharType="separate"/>
        </w:r>
        <w:r w:rsidR="00D269E3">
          <w:rPr>
            <w:noProof/>
            <w:webHidden/>
          </w:rPr>
          <w:t>8</w:t>
        </w:r>
        <w:r w:rsidR="00D269E3">
          <w:rPr>
            <w:noProof/>
            <w:webHidden/>
          </w:rPr>
          <w:fldChar w:fldCharType="end"/>
        </w:r>
      </w:hyperlink>
    </w:p>
    <w:p w14:paraId="510157BE" w14:textId="15EBB3E6"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5" w:history="1">
        <w:r w:rsidR="00D269E3" w:rsidRPr="003D7DFD">
          <w:rPr>
            <w:rStyle w:val="Hyperlink"/>
            <w:rFonts w:ascii="Times New Roman" w:hAnsi="Times New Roman" w:cs="Times New Roman"/>
            <w:noProof/>
          </w:rPr>
          <w:t>Figure 5: Comparison of LGEN.L, Aviva PLC and FTSE 100 returns</w:t>
        </w:r>
        <w:r w:rsidR="00D269E3">
          <w:rPr>
            <w:noProof/>
            <w:webHidden/>
          </w:rPr>
          <w:tab/>
        </w:r>
        <w:r w:rsidR="00D269E3">
          <w:rPr>
            <w:noProof/>
            <w:webHidden/>
          </w:rPr>
          <w:fldChar w:fldCharType="begin"/>
        </w:r>
        <w:r w:rsidR="00D269E3">
          <w:rPr>
            <w:noProof/>
            <w:webHidden/>
          </w:rPr>
          <w:instrText xml:space="preserve"> PAGEREF _Toc161314065 \h </w:instrText>
        </w:r>
        <w:r w:rsidR="00D269E3">
          <w:rPr>
            <w:noProof/>
            <w:webHidden/>
          </w:rPr>
        </w:r>
        <w:r w:rsidR="00D269E3">
          <w:rPr>
            <w:noProof/>
            <w:webHidden/>
          </w:rPr>
          <w:fldChar w:fldCharType="separate"/>
        </w:r>
        <w:r w:rsidR="00D269E3">
          <w:rPr>
            <w:noProof/>
            <w:webHidden/>
          </w:rPr>
          <w:t>9</w:t>
        </w:r>
        <w:r w:rsidR="00D269E3">
          <w:rPr>
            <w:noProof/>
            <w:webHidden/>
          </w:rPr>
          <w:fldChar w:fldCharType="end"/>
        </w:r>
      </w:hyperlink>
    </w:p>
    <w:p w14:paraId="3B900624" w14:textId="366E717D"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6" w:history="1">
        <w:r w:rsidR="00D269E3" w:rsidRPr="003D7DFD">
          <w:rPr>
            <w:rStyle w:val="Hyperlink"/>
            <w:rFonts w:ascii="Times New Roman" w:hAnsi="Times New Roman" w:cs="Times New Roman"/>
            <w:noProof/>
          </w:rPr>
          <w:t>Figure 6: Correlation of Stock PRICES of LGEN.L, Aviva PLC and FTSE 100</w:t>
        </w:r>
        <w:r w:rsidR="00D269E3">
          <w:rPr>
            <w:noProof/>
            <w:webHidden/>
          </w:rPr>
          <w:tab/>
        </w:r>
        <w:r w:rsidR="00D269E3">
          <w:rPr>
            <w:noProof/>
            <w:webHidden/>
          </w:rPr>
          <w:fldChar w:fldCharType="begin"/>
        </w:r>
        <w:r w:rsidR="00D269E3">
          <w:rPr>
            <w:noProof/>
            <w:webHidden/>
          </w:rPr>
          <w:instrText xml:space="preserve"> PAGEREF _Toc161314066 \h </w:instrText>
        </w:r>
        <w:r w:rsidR="00D269E3">
          <w:rPr>
            <w:noProof/>
            <w:webHidden/>
          </w:rPr>
        </w:r>
        <w:r w:rsidR="00D269E3">
          <w:rPr>
            <w:noProof/>
            <w:webHidden/>
          </w:rPr>
          <w:fldChar w:fldCharType="separate"/>
        </w:r>
        <w:r w:rsidR="00D269E3">
          <w:rPr>
            <w:noProof/>
            <w:webHidden/>
          </w:rPr>
          <w:t>10</w:t>
        </w:r>
        <w:r w:rsidR="00D269E3">
          <w:rPr>
            <w:noProof/>
            <w:webHidden/>
          </w:rPr>
          <w:fldChar w:fldCharType="end"/>
        </w:r>
      </w:hyperlink>
    </w:p>
    <w:p w14:paraId="1F485F0F" w14:textId="7173D1B7"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7" w:history="1">
        <w:r w:rsidR="00D269E3" w:rsidRPr="003D7DFD">
          <w:rPr>
            <w:rStyle w:val="Hyperlink"/>
            <w:rFonts w:ascii="Times New Roman" w:hAnsi="Times New Roman" w:cs="Times New Roman"/>
            <w:noProof/>
          </w:rPr>
          <w:t>Figure 7: Regression Analysis</w:t>
        </w:r>
        <w:r w:rsidR="00D269E3">
          <w:rPr>
            <w:noProof/>
            <w:webHidden/>
          </w:rPr>
          <w:tab/>
        </w:r>
        <w:r w:rsidR="00D269E3">
          <w:rPr>
            <w:noProof/>
            <w:webHidden/>
          </w:rPr>
          <w:fldChar w:fldCharType="begin"/>
        </w:r>
        <w:r w:rsidR="00D269E3">
          <w:rPr>
            <w:noProof/>
            <w:webHidden/>
          </w:rPr>
          <w:instrText xml:space="preserve"> PAGEREF _Toc161314067 \h </w:instrText>
        </w:r>
        <w:r w:rsidR="00D269E3">
          <w:rPr>
            <w:noProof/>
            <w:webHidden/>
          </w:rPr>
        </w:r>
        <w:r w:rsidR="00D269E3">
          <w:rPr>
            <w:noProof/>
            <w:webHidden/>
          </w:rPr>
          <w:fldChar w:fldCharType="separate"/>
        </w:r>
        <w:r w:rsidR="00D269E3">
          <w:rPr>
            <w:noProof/>
            <w:webHidden/>
          </w:rPr>
          <w:t>11</w:t>
        </w:r>
        <w:r w:rsidR="00D269E3">
          <w:rPr>
            <w:noProof/>
            <w:webHidden/>
          </w:rPr>
          <w:fldChar w:fldCharType="end"/>
        </w:r>
      </w:hyperlink>
    </w:p>
    <w:p w14:paraId="36737CF8" w14:textId="3D8BEFEE"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8" w:history="1">
        <w:r w:rsidR="00D269E3" w:rsidRPr="003D7DFD">
          <w:rPr>
            <w:rStyle w:val="Hyperlink"/>
            <w:rFonts w:ascii="Times New Roman" w:hAnsi="Times New Roman" w:cs="Times New Roman"/>
            <w:noProof/>
          </w:rPr>
          <w:t>Figure 8: Regression Analysis LG vs Aviva</w:t>
        </w:r>
        <w:r w:rsidR="00D269E3">
          <w:rPr>
            <w:noProof/>
            <w:webHidden/>
          </w:rPr>
          <w:tab/>
        </w:r>
        <w:r w:rsidR="00D269E3">
          <w:rPr>
            <w:noProof/>
            <w:webHidden/>
          </w:rPr>
          <w:fldChar w:fldCharType="begin"/>
        </w:r>
        <w:r w:rsidR="00D269E3">
          <w:rPr>
            <w:noProof/>
            <w:webHidden/>
          </w:rPr>
          <w:instrText xml:space="preserve"> PAGEREF _Toc161314068 \h </w:instrText>
        </w:r>
        <w:r w:rsidR="00D269E3">
          <w:rPr>
            <w:noProof/>
            <w:webHidden/>
          </w:rPr>
        </w:r>
        <w:r w:rsidR="00D269E3">
          <w:rPr>
            <w:noProof/>
            <w:webHidden/>
          </w:rPr>
          <w:fldChar w:fldCharType="separate"/>
        </w:r>
        <w:r w:rsidR="00D269E3">
          <w:rPr>
            <w:noProof/>
            <w:webHidden/>
          </w:rPr>
          <w:t>12</w:t>
        </w:r>
        <w:r w:rsidR="00D269E3">
          <w:rPr>
            <w:noProof/>
            <w:webHidden/>
          </w:rPr>
          <w:fldChar w:fldCharType="end"/>
        </w:r>
      </w:hyperlink>
    </w:p>
    <w:p w14:paraId="078E0A9E" w14:textId="42D6303A"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69" w:history="1">
        <w:r w:rsidR="00D269E3" w:rsidRPr="003D7DFD">
          <w:rPr>
            <w:rStyle w:val="Hyperlink"/>
            <w:rFonts w:ascii="Times New Roman" w:hAnsi="Times New Roman" w:cs="Times New Roman"/>
            <w:noProof/>
          </w:rPr>
          <w:t>Figure 9: Analysis of multiple regression</w:t>
        </w:r>
        <w:r w:rsidR="00D269E3">
          <w:rPr>
            <w:noProof/>
            <w:webHidden/>
          </w:rPr>
          <w:tab/>
        </w:r>
        <w:r w:rsidR="00D269E3">
          <w:rPr>
            <w:noProof/>
            <w:webHidden/>
          </w:rPr>
          <w:fldChar w:fldCharType="begin"/>
        </w:r>
        <w:r w:rsidR="00D269E3">
          <w:rPr>
            <w:noProof/>
            <w:webHidden/>
          </w:rPr>
          <w:instrText xml:space="preserve"> PAGEREF _Toc161314069 \h </w:instrText>
        </w:r>
        <w:r w:rsidR="00D269E3">
          <w:rPr>
            <w:noProof/>
            <w:webHidden/>
          </w:rPr>
        </w:r>
        <w:r w:rsidR="00D269E3">
          <w:rPr>
            <w:noProof/>
            <w:webHidden/>
          </w:rPr>
          <w:fldChar w:fldCharType="separate"/>
        </w:r>
        <w:r w:rsidR="00D269E3">
          <w:rPr>
            <w:noProof/>
            <w:webHidden/>
          </w:rPr>
          <w:t>13</w:t>
        </w:r>
        <w:r w:rsidR="00D269E3">
          <w:rPr>
            <w:noProof/>
            <w:webHidden/>
          </w:rPr>
          <w:fldChar w:fldCharType="end"/>
        </w:r>
      </w:hyperlink>
    </w:p>
    <w:p w14:paraId="6F39FEAD" w14:textId="715B084D"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0" w:history="1">
        <w:r w:rsidR="00D269E3" w:rsidRPr="003D7DFD">
          <w:rPr>
            <w:rStyle w:val="Hyperlink"/>
            <w:rFonts w:ascii="Times New Roman" w:hAnsi="Times New Roman" w:cs="Times New Roman"/>
            <w:noProof/>
          </w:rPr>
          <w:t>Figure 10: Moving Average</w:t>
        </w:r>
        <w:r w:rsidR="00D269E3">
          <w:rPr>
            <w:noProof/>
            <w:webHidden/>
          </w:rPr>
          <w:tab/>
        </w:r>
        <w:r w:rsidR="00D269E3">
          <w:rPr>
            <w:noProof/>
            <w:webHidden/>
          </w:rPr>
          <w:fldChar w:fldCharType="begin"/>
        </w:r>
        <w:r w:rsidR="00D269E3">
          <w:rPr>
            <w:noProof/>
            <w:webHidden/>
          </w:rPr>
          <w:instrText xml:space="preserve"> PAGEREF _Toc161314070 \h </w:instrText>
        </w:r>
        <w:r w:rsidR="00D269E3">
          <w:rPr>
            <w:noProof/>
            <w:webHidden/>
          </w:rPr>
        </w:r>
        <w:r w:rsidR="00D269E3">
          <w:rPr>
            <w:noProof/>
            <w:webHidden/>
          </w:rPr>
          <w:fldChar w:fldCharType="separate"/>
        </w:r>
        <w:r w:rsidR="00D269E3">
          <w:rPr>
            <w:noProof/>
            <w:webHidden/>
          </w:rPr>
          <w:t>14</w:t>
        </w:r>
        <w:r w:rsidR="00D269E3">
          <w:rPr>
            <w:noProof/>
            <w:webHidden/>
          </w:rPr>
          <w:fldChar w:fldCharType="end"/>
        </w:r>
      </w:hyperlink>
    </w:p>
    <w:p w14:paraId="1EEC244B" w14:textId="07EDB175"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1" w:history="1">
        <w:r w:rsidR="00D269E3" w:rsidRPr="003D7DFD">
          <w:rPr>
            <w:rStyle w:val="Hyperlink"/>
            <w:rFonts w:ascii="Times New Roman" w:hAnsi="Times New Roman" w:cs="Times New Roman"/>
            <w:noProof/>
          </w:rPr>
          <w:t>Figure 11: Single Exponential Smoothing</w:t>
        </w:r>
        <w:r w:rsidR="00D269E3">
          <w:rPr>
            <w:noProof/>
            <w:webHidden/>
          </w:rPr>
          <w:tab/>
        </w:r>
        <w:r w:rsidR="00D269E3">
          <w:rPr>
            <w:noProof/>
            <w:webHidden/>
          </w:rPr>
          <w:fldChar w:fldCharType="begin"/>
        </w:r>
        <w:r w:rsidR="00D269E3">
          <w:rPr>
            <w:noProof/>
            <w:webHidden/>
          </w:rPr>
          <w:instrText xml:space="preserve"> PAGEREF _Toc161314071 \h </w:instrText>
        </w:r>
        <w:r w:rsidR="00D269E3">
          <w:rPr>
            <w:noProof/>
            <w:webHidden/>
          </w:rPr>
        </w:r>
        <w:r w:rsidR="00D269E3">
          <w:rPr>
            <w:noProof/>
            <w:webHidden/>
          </w:rPr>
          <w:fldChar w:fldCharType="separate"/>
        </w:r>
        <w:r w:rsidR="00D269E3">
          <w:rPr>
            <w:noProof/>
            <w:webHidden/>
          </w:rPr>
          <w:t>15</w:t>
        </w:r>
        <w:r w:rsidR="00D269E3">
          <w:rPr>
            <w:noProof/>
            <w:webHidden/>
          </w:rPr>
          <w:fldChar w:fldCharType="end"/>
        </w:r>
      </w:hyperlink>
    </w:p>
    <w:p w14:paraId="64390505" w14:textId="6A4E8BCC"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2" w:history="1">
        <w:r w:rsidR="00D269E3" w:rsidRPr="003D7DFD">
          <w:rPr>
            <w:rStyle w:val="Hyperlink"/>
            <w:rFonts w:ascii="Times New Roman" w:hAnsi="Times New Roman" w:cs="Times New Roman"/>
            <w:noProof/>
          </w:rPr>
          <w:t>Figure 12: Double Exponential Smoothing</w:t>
        </w:r>
        <w:r w:rsidR="00D269E3">
          <w:rPr>
            <w:noProof/>
            <w:webHidden/>
          </w:rPr>
          <w:tab/>
        </w:r>
        <w:r w:rsidR="00D269E3">
          <w:rPr>
            <w:noProof/>
            <w:webHidden/>
          </w:rPr>
          <w:fldChar w:fldCharType="begin"/>
        </w:r>
        <w:r w:rsidR="00D269E3">
          <w:rPr>
            <w:noProof/>
            <w:webHidden/>
          </w:rPr>
          <w:instrText xml:space="preserve"> PAGEREF _Toc161314072 \h </w:instrText>
        </w:r>
        <w:r w:rsidR="00D269E3">
          <w:rPr>
            <w:noProof/>
            <w:webHidden/>
          </w:rPr>
        </w:r>
        <w:r w:rsidR="00D269E3">
          <w:rPr>
            <w:noProof/>
            <w:webHidden/>
          </w:rPr>
          <w:fldChar w:fldCharType="separate"/>
        </w:r>
        <w:r w:rsidR="00D269E3">
          <w:rPr>
            <w:noProof/>
            <w:webHidden/>
          </w:rPr>
          <w:t>16</w:t>
        </w:r>
        <w:r w:rsidR="00D269E3">
          <w:rPr>
            <w:noProof/>
            <w:webHidden/>
          </w:rPr>
          <w:fldChar w:fldCharType="end"/>
        </w:r>
      </w:hyperlink>
    </w:p>
    <w:p w14:paraId="7A827E5C" w14:textId="12E635DC"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3" w:history="1">
        <w:r w:rsidR="00D269E3" w:rsidRPr="003D7DFD">
          <w:rPr>
            <w:rStyle w:val="Hyperlink"/>
            <w:rFonts w:ascii="Times New Roman" w:hAnsi="Times New Roman" w:cs="Times New Roman"/>
            <w:noProof/>
          </w:rPr>
          <w:t>Figure 13: Holt’s – Winters Method (TES)</w:t>
        </w:r>
        <w:r w:rsidR="00D269E3">
          <w:rPr>
            <w:noProof/>
            <w:webHidden/>
          </w:rPr>
          <w:tab/>
        </w:r>
        <w:r w:rsidR="00D269E3">
          <w:rPr>
            <w:noProof/>
            <w:webHidden/>
          </w:rPr>
          <w:fldChar w:fldCharType="begin"/>
        </w:r>
        <w:r w:rsidR="00D269E3">
          <w:rPr>
            <w:noProof/>
            <w:webHidden/>
          </w:rPr>
          <w:instrText xml:space="preserve"> PAGEREF _Toc161314073 \h </w:instrText>
        </w:r>
        <w:r w:rsidR="00D269E3">
          <w:rPr>
            <w:noProof/>
            <w:webHidden/>
          </w:rPr>
        </w:r>
        <w:r w:rsidR="00D269E3">
          <w:rPr>
            <w:noProof/>
            <w:webHidden/>
          </w:rPr>
          <w:fldChar w:fldCharType="separate"/>
        </w:r>
        <w:r w:rsidR="00D269E3">
          <w:rPr>
            <w:noProof/>
            <w:webHidden/>
          </w:rPr>
          <w:t>17</w:t>
        </w:r>
        <w:r w:rsidR="00D269E3">
          <w:rPr>
            <w:noProof/>
            <w:webHidden/>
          </w:rPr>
          <w:fldChar w:fldCharType="end"/>
        </w:r>
      </w:hyperlink>
    </w:p>
    <w:p w14:paraId="7B367EB0" w14:textId="7C8B27C7"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4" w:history="1">
        <w:r w:rsidR="00D269E3" w:rsidRPr="003D7DFD">
          <w:rPr>
            <w:rStyle w:val="Hyperlink"/>
            <w:rFonts w:ascii="Times New Roman" w:hAnsi="Times New Roman" w:cs="Times New Roman"/>
            <w:noProof/>
          </w:rPr>
          <w:t>Figure 14: Comparison of MAE &amp; MSE values</w:t>
        </w:r>
        <w:r w:rsidR="00D269E3">
          <w:rPr>
            <w:noProof/>
            <w:webHidden/>
          </w:rPr>
          <w:tab/>
        </w:r>
        <w:r w:rsidR="00D269E3">
          <w:rPr>
            <w:noProof/>
            <w:webHidden/>
          </w:rPr>
          <w:fldChar w:fldCharType="begin"/>
        </w:r>
        <w:r w:rsidR="00D269E3">
          <w:rPr>
            <w:noProof/>
            <w:webHidden/>
          </w:rPr>
          <w:instrText xml:space="preserve"> PAGEREF _Toc161314074 \h </w:instrText>
        </w:r>
        <w:r w:rsidR="00D269E3">
          <w:rPr>
            <w:noProof/>
            <w:webHidden/>
          </w:rPr>
        </w:r>
        <w:r w:rsidR="00D269E3">
          <w:rPr>
            <w:noProof/>
            <w:webHidden/>
          </w:rPr>
          <w:fldChar w:fldCharType="separate"/>
        </w:r>
        <w:r w:rsidR="00D269E3">
          <w:rPr>
            <w:noProof/>
            <w:webHidden/>
          </w:rPr>
          <w:t>18</w:t>
        </w:r>
        <w:r w:rsidR="00D269E3">
          <w:rPr>
            <w:noProof/>
            <w:webHidden/>
          </w:rPr>
          <w:fldChar w:fldCharType="end"/>
        </w:r>
      </w:hyperlink>
    </w:p>
    <w:p w14:paraId="74A71C19" w14:textId="57111F9A"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5" w:history="1">
        <w:r w:rsidR="00D269E3" w:rsidRPr="003D7DFD">
          <w:rPr>
            <w:rStyle w:val="Hyperlink"/>
            <w:rFonts w:ascii="Times New Roman" w:hAnsi="Times New Roman" w:cs="Times New Roman"/>
            <w:noProof/>
          </w:rPr>
          <w:t>Figure 15: Income Statement Structure</w:t>
        </w:r>
        <w:r w:rsidR="00D269E3">
          <w:rPr>
            <w:noProof/>
            <w:webHidden/>
          </w:rPr>
          <w:tab/>
        </w:r>
        <w:r w:rsidR="00D269E3">
          <w:rPr>
            <w:noProof/>
            <w:webHidden/>
          </w:rPr>
          <w:fldChar w:fldCharType="begin"/>
        </w:r>
        <w:r w:rsidR="00D269E3">
          <w:rPr>
            <w:noProof/>
            <w:webHidden/>
          </w:rPr>
          <w:instrText xml:space="preserve"> PAGEREF _Toc161314075 \h </w:instrText>
        </w:r>
        <w:r w:rsidR="00D269E3">
          <w:rPr>
            <w:noProof/>
            <w:webHidden/>
          </w:rPr>
        </w:r>
        <w:r w:rsidR="00D269E3">
          <w:rPr>
            <w:noProof/>
            <w:webHidden/>
          </w:rPr>
          <w:fldChar w:fldCharType="separate"/>
        </w:r>
        <w:r w:rsidR="00D269E3">
          <w:rPr>
            <w:noProof/>
            <w:webHidden/>
          </w:rPr>
          <w:t>20</w:t>
        </w:r>
        <w:r w:rsidR="00D269E3">
          <w:rPr>
            <w:noProof/>
            <w:webHidden/>
          </w:rPr>
          <w:fldChar w:fldCharType="end"/>
        </w:r>
      </w:hyperlink>
    </w:p>
    <w:p w14:paraId="49EDD627" w14:textId="730180DF" w:rsidR="00D269E3" w:rsidRDefault="009F2670">
      <w:pPr>
        <w:pStyle w:val="TableofFigures"/>
        <w:tabs>
          <w:tab w:val="right" w:leader="dot" w:pos="9350"/>
        </w:tabs>
        <w:rPr>
          <w:rFonts w:eastAsiaTheme="minorEastAsia"/>
          <w:noProof/>
          <w:kern w:val="2"/>
          <w:lang w:val="en-GB" w:eastAsia="en-GB"/>
          <w14:ligatures w14:val="standardContextual"/>
        </w:rPr>
      </w:pPr>
      <w:hyperlink w:anchor="_Toc161314076" w:history="1">
        <w:r w:rsidR="00D269E3" w:rsidRPr="003D7DFD">
          <w:rPr>
            <w:rStyle w:val="Hyperlink"/>
            <w:rFonts w:ascii="Times New Roman" w:hAnsi="Times New Roman" w:cs="Times New Roman"/>
            <w:noProof/>
          </w:rPr>
          <w:t>Figure 16: Capital Structure</w:t>
        </w:r>
        <w:r w:rsidR="00D269E3">
          <w:rPr>
            <w:noProof/>
            <w:webHidden/>
          </w:rPr>
          <w:tab/>
        </w:r>
        <w:r w:rsidR="00D269E3">
          <w:rPr>
            <w:noProof/>
            <w:webHidden/>
          </w:rPr>
          <w:fldChar w:fldCharType="begin"/>
        </w:r>
        <w:r w:rsidR="00D269E3">
          <w:rPr>
            <w:noProof/>
            <w:webHidden/>
          </w:rPr>
          <w:instrText xml:space="preserve"> PAGEREF _Toc161314076 \h </w:instrText>
        </w:r>
        <w:r w:rsidR="00D269E3">
          <w:rPr>
            <w:noProof/>
            <w:webHidden/>
          </w:rPr>
        </w:r>
        <w:r w:rsidR="00D269E3">
          <w:rPr>
            <w:noProof/>
            <w:webHidden/>
          </w:rPr>
          <w:fldChar w:fldCharType="separate"/>
        </w:r>
        <w:r w:rsidR="00D269E3">
          <w:rPr>
            <w:noProof/>
            <w:webHidden/>
          </w:rPr>
          <w:t>22</w:t>
        </w:r>
        <w:r w:rsidR="00D269E3">
          <w:rPr>
            <w:noProof/>
            <w:webHidden/>
          </w:rPr>
          <w:fldChar w:fldCharType="end"/>
        </w:r>
      </w:hyperlink>
    </w:p>
    <w:p w14:paraId="319B22B7" w14:textId="443D85BC" w:rsidR="000F450C" w:rsidRDefault="00D269E3">
      <w:pPr>
        <w:rPr>
          <w:rFonts w:ascii="Times New Roman" w:eastAsiaTheme="majorEastAsia" w:hAnsi="Times New Roman" w:cs="Times New Roman"/>
          <w:color w:val="2E74B5" w:themeColor="accent1" w:themeShade="BF"/>
          <w:sz w:val="44"/>
          <w:szCs w:val="44"/>
        </w:rPr>
      </w:pPr>
      <w:r>
        <w:rPr>
          <w:rFonts w:ascii="Times New Roman" w:hAnsi="Times New Roman" w:cs="Times New Roman"/>
          <w:sz w:val="44"/>
          <w:szCs w:val="44"/>
        </w:rPr>
        <w:fldChar w:fldCharType="end"/>
      </w:r>
      <w:r w:rsidR="000F450C">
        <w:rPr>
          <w:rFonts w:ascii="Times New Roman" w:hAnsi="Times New Roman" w:cs="Times New Roman"/>
          <w:sz w:val="44"/>
          <w:szCs w:val="44"/>
        </w:rPr>
        <w:br w:type="page"/>
      </w:r>
    </w:p>
    <w:p w14:paraId="515FFD98" w14:textId="36DF5A62" w:rsidR="0063692D" w:rsidRPr="00287DD4" w:rsidRDefault="008D45D1" w:rsidP="00287DD4">
      <w:pPr>
        <w:pStyle w:val="Heading1"/>
        <w:rPr>
          <w:rFonts w:ascii="Times New Roman" w:hAnsi="Times New Roman" w:cs="Times New Roman"/>
          <w:sz w:val="44"/>
          <w:szCs w:val="44"/>
        </w:rPr>
      </w:pPr>
      <w:r w:rsidRPr="00287DD4">
        <w:rPr>
          <w:rFonts w:ascii="Times New Roman" w:hAnsi="Times New Roman" w:cs="Times New Roman"/>
          <w:sz w:val="44"/>
          <w:szCs w:val="44"/>
        </w:rPr>
        <w:lastRenderedPageBreak/>
        <w:t xml:space="preserve">1. </w:t>
      </w:r>
      <w:r w:rsidR="00706632" w:rsidRPr="00287DD4">
        <w:rPr>
          <w:rFonts w:ascii="Times New Roman" w:hAnsi="Times New Roman" w:cs="Times New Roman"/>
          <w:sz w:val="44"/>
          <w:szCs w:val="44"/>
        </w:rPr>
        <w:t>Introduction</w:t>
      </w:r>
      <w:bookmarkEnd w:id="0"/>
    </w:p>
    <w:p w14:paraId="6A908602" w14:textId="2C73C2B3" w:rsidR="001E3475" w:rsidRPr="00FE0519" w:rsidRDefault="001E3475" w:rsidP="00FE0519">
      <w:pPr>
        <w:spacing w:before="240" w:line="240" w:lineRule="auto"/>
        <w:jc w:val="both"/>
        <w:rPr>
          <w:rFonts w:ascii="Times New Roman" w:hAnsi="Times New Roman" w:cs="Times New Roman"/>
        </w:rPr>
      </w:pPr>
      <w:r w:rsidRPr="00FE0519">
        <w:rPr>
          <w:rFonts w:ascii="Times New Roman" w:hAnsi="Times New Roman" w:cs="Times New Roman"/>
        </w:rPr>
        <w:t xml:space="preserve">Founded </w:t>
      </w:r>
      <w:sdt>
        <w:sdtPr>
          <w:tag w:val="tii-similarity-SU5URVJORVRfd3d3LnBybmV3c3dpcmUuY29t"/>
          <w:id w:val="1752391845"/>
          <w:placeholder>
            <w:docPart w:val="9DD60978709C45C6BCF30BEB09E4D71E"/>
          </w:placeholder>
          <w15:appearance w15:val="hidden"/>
        </w:sdtPr>
        <w:sdtContent>
          <w:r w:rsidRPr="00FE0519">
            <w:rPr>
              <w:rFonts w:ascii="Times New Roman" w:hAnsi="Times New Roman" w:cs="Times New Roman"/>
            </w:rPr>
            <w:t>in 1836, Legal &amp; General</w:t>
          </w:r>
        </w:sdtContent>
      </w:sdt>
      <w:r w:rsidRPr="00FE0519">
        <w:rPr>
          <w:rFonts w:ascii="Times New Roman" w:hAnsi="Times New Roman" w:cs="Times New Roman"/>
        </w:rPr>
        <w:t xml:space="preserve"> Group PLC is one of the United Kingdom’s leading </w:t>
      </w:r>
      <w:sdt>
        <w:sdtPr>
          <w:tag w:val="tii-similarity-SU5URVJORVRfd3d3LnBybmV3c3dpcmUuY29t"/>
          <w:id w:val="344102762"/>
          <w:placeholder>
            <w:docPart w:val="9DD60978709C45C6BCF30BEB09E4D71E"/>
          </w:placeholder>
          <w15:appearance w15:val="hidden"/>
        </w:sdtPr>
        <w:sdtContent>
          <w:r w:rsidRPr="00FE0519">
            <w:rPr>
              <w:rFonts w:ascii="Times New Roman" w:hAnsi="Times New Roman" w:cs="Times New Roman"/>
            </w:rPr>
            <w:t>financial services groups</w:t>
          </w:r>
        </w:sdtContent>
      </w:sdt>
      <w:r w:rsidRPr="00FE0519">
        <w:rPr>
          <w:rFonts w:ascii="Times New Roman" w:hAnsi="Times New Roman" w:cs="Times New Roman"/>
        </w:rPr>
        <w:t xml:space="preserve"> that have over 180 years’ history. </w:t>
      </w:r>
      <w:sdt>
        <w:sdtPr>
          <w:tag w:val="tii-similarity-U1VCTUlUVEVEX1dPUktfb2lkOjI6NzQ4NTU3NTg2"/>
          <w:id w:val="1832283645"/>
          <w:placeholder>
            <w:docPart w:val="9DD60978709C45C6BCF30BEB09E4D71E"/>
          </w:placeholder>
          <w15:appearance w15:val="hidden"/>
        </w:sdtPr>
        <w:sdtContent>
          <w:r w:rsidRPr="00FE0519">
            <w:rPr>
              <w:rFonts w:ascii="Times New Roman" w:hAnsi="Times New Roman" w:cs="Times New Roman"/>
            </w:rPr>
            <w:t>Legal &amp; General is a</w:t>
          </w:r>
        </w:sdtContent>
      </w:sdt>
      <w:r w:rsidR="256B8258" w:rsidRPr="77AD8B01">
        <w:rPr>
          <w:rFonts w:ascii="Times New Roman" w:hAnsi="Times New Roman" w:cs="Times New Roman"/>
        </w:rPr>
        <w:t xml:space="preserve"> </w:t>
      </w:r>
      <w:sdt>
        <w:sdtPr>
          <w:tag w:val="tii-similarity-U1VCTUlUVEVEX1dPUktfb2lkOjI6NzQ4NTU3NTg2"/>
          <w:id w:val="2100846909"/>
          <w:placeholder>
            <w:docPart w:val="9DD60978709C45C6BCF30BEB09E4D71E"/>
          </w:placeholder>
          <w15:appearance w15:val="hidden"/>
        </w:sdtPr>
        <w:sdtContent>
          <w:r w:rsidRPr="00FE0519">
            <w:rPr>
              <w:rFonts w:ascii="Times New Roman" w:hAnsi="Times New Roman" w:cs="Times New Roman"/>
            </w:rPr>
            <w:t>significant global investor with</w:t>
          </w:r>
        </w:sdtContent>
      </w:sdt>
      <w:r w:rsidRPr="00FE0519">
        <w:rPr>
          <w:rFonts w:ascii="Times New Roman" w:hAnsi="Times New Roman" w:cs="Times New Roman"/>
        </w:rPr>
        <w:t xml:space="preserve"> </w:t>
      </w:r>
      <w:r w:rsidR="35F587FE" w:rsidRPr="01119330">
        <w:rPr>
          <w:rFonts w:ascii="Times New Roman" w:hAnsi="Times New Roman" w:cs="Times New Roman"/>
        </w:rPr>
        <w:t xml:space="preserve">a </w:t>
      </w:r>
      <w:r w:rsidRPr="00FE0519">
        <w:rPr>
          <w:rFonts w:ascii="Times New Roman" w:hAnsi="Times New Roman" w:cs="Times New Roman"/>
        </w:rPr>
        <w:t xml:space="preserve">unique and complementary business model, managing total assets of more than £1.2 trillion, 39% of which is international. The unique asset origination and management capabilities </w:t>
      </w:r>
      <w:r w:rsidR="35F587FE" w:rsidRPr="01119330">
        <w:rPr>
          <w:rFonts w:ascii="Times New Roman" w:hAnsi="Times New Roman" w:cs="Times New Roman"/>
        </w:rPr>
        <w:t>are</w:t>
      </w:r>
      <w:r w:rsidRPr="00FE0519">
        <w:rPr>
          <w:rFonts w:ascii="Times New Roman" w:hAnsi="Times New Roman" w:cs="Times New Roman"/>
        </w:rPr>
        <w:t xml:space="preserve"> the company’s source of strength, which offers direct services to customers and forms the bedrock for its leading retirement and protection solutions. Legal &amp; General is known for being </w:t>
      </w:r>
      <w:r w:rsidR="73808710" w:rsidRPr="05C43074">
        <w:rPr>
          <w:rFonts w:ascii="Times New Roman" w:hAnsi="Times New Roman" w:cs="Times New Roman"/>
        </w:rPr>
        <w:t>extraordinarily</w:t>
      </w:r>
      <w:r w:rsidRPr="00FE0519">
        <w:rPr>
          <w:rFonts w:ascii="Times New Roman" w:hAnsi="Times New Roman" w:cs="Times New Roman"/>
        </w:rPr>
        <w:t xml:space="preserve"> strong in the UK </w:t>
      </w:r>
      <w:sdt>
        <w:sdtPr>
          <w:tag w:val="tii-similarity-SU5URVJORVRfd3d3LnBybmV3c3dpcmUuY29t"/>
          <w:id w:val="323189017"/>
          <w:placeholder>
            <w:docPart w:val="9DD60978709C45C6BCF30BEB09E4D71E"/>
          </w:placeholder>
          <w15:appearance w15:val="hidden"/>
        </w:sdtPr>
        <w:sdtContent>
          <w:r w:rsidRPr="00FE0519">
            <w:rPr>
              <w:rFonts w:ascii="Times New Roman" w:hAnsi="Times New Roman" w:cs="Times New Roman"/>
            </w:rPr>
            <w:t>Pension Risk Transfer, UK</w:t>
          </w:r>
          <w:r w:rsidR="755D2D70" w:rsidRPr="430F27FF">
            <w:rPr>
              <w:rFonts w:ascii="Times New Roman" w:hAnsi="Times New Roman" w:cs="Times New Roman"/>
            </w:rPr>
            <w:t>,</w:t>
          </w:r>
          <w:r w:rsidRPr="00FE0519">
            <w:rPr>
              <w:rFonts w:ascii="Times New Roman" w:hAnsi="Times New Roman" w:cs="Times New Roman"/>
            </w:rPr>
            <w:t xml:space="preserve"> and US life insurance</w:t>
          </w:r>
        </w:sdtContent>
      </w:sdt>
      <w:r w:rsidRPr="00FE0519">
        <w:rPr>
          <w:rFonts w:ascii="Times New Roman" w:hAnsi="Times New Roman" w:cs="Times New Roman"/>
        </w:rPr>
        <w:t xml:space="preserve">, as well as </w:t>
      </w:r>
      <w:sdt>
        <w:sdtPr>
          <w:tag w:val="tii-similarity-SU5URVJORVRfd3d3LnBybmV3c3dpcmUuY29t"/>
          <w:id w:val="196693452"/>
          <w:placeholder>
            <w:docPart w:val="9DD60978709C45C6BCF30BEB09E4D71E"/>
          </w:placeholder>
          <w15:appearance w15:val="hidden"/>
        </w:sdtPr>
        <w:sdtContent>
          <w:r w:rsidRPr="00FE0519">
            <w:rPr>
              <w:rFonts w:ascii="Times New Roman" w:hAnsi="Times New Roman" w:cs="Times New Roman"/>
            </w:rPr>
            <w:t>UK workplace pensions and retirement income</w:t>
          </w:r>
        </w:sdtContent>
      </w:sdt>
      <w:r w:rsidRPr="00FE0519">
        <w:rPr>
          <w:rFonts w:ascii="Times New Roman" w:hAnsi="Times New Roman" w:cs="Times New Roman"/>
        </w:rPr>
        <w:t xml:space="preserve">. The firm’s </w:t>
      </w:r>
      <w:sdt>
        <w:sdtPr>
          <w:tag w:val="tii-similarity-U1VCTUlUVEVEX1dPUktfb2lkOjQwOjE1Njg0NDI0ODE="/>
          <w:id w:val="1522982937"/>
          <w:placeholder>
            <w:docPart w:val="9DD60978709C45C6BCF30BEB09E4D71E"/>
          </w:placeholder>
          <w15:appearance w15:val="hidden"/>
        </w:sdtPr>
        <w:sdtContent>
          <w:r w:rsidR="00F94458" w:rsidRPr="00FE0519">
            <w:rPr>
              <w:rFonts w:ascii="Times New Roman" w:hAnsi="Times New Roman" w:cs="Times New Roman"/>
            </w:rPr>
            <w:t>goal</w:t>
          </w:r>
          <w:r w:rsidRPr="00FE0519">
            <w:rPr>
              <w:rFonts w:ascii="Times New Roman" w:hAnsi="Times New Roman" w:cs="Times New Roman"/>
            </w:rPr>
            <w:t xml:space="preserve"> is to improve</w:t>
          </w:r>
        </w:sdtContent>
      </w:sdt>
      <w:r w:rsidR="256B8258" w:rsidRPr="77AD8B01">
        <w:rPr>
          <w:rFonts w:ascii="Times New Roman" w:hAnsi="Times New Roman" w:cs="Times New Roman"/>
        </w:rPr>
        <w:t xml:space="preserve"> </w:t>
      </w:r>
      <w:sdt>
        <w:sdtPr>
          <w:tag w:val="tii-similarity-U1VCTUlUVEVEX1dPUktfb2lkOjQwOjE1Njg0NDI0ODE="/>
          <w:id w:val="643916295"/>
          <w:placeholder>
            <w:docPart w:val="9DD60978709C45C6BCF30BEB09E4D71E"/>
          </w:placeholder>
          <w15:appearance w15:val="hidden"/>
        </w:sdtPr>
        <w:sdtContent>
          <w:r w:rsidRPr="00FE0519">
            <w:rPr>
              <w:rFonts w:ascii="Times New Roman" w:hAnsi="Times New Roman" w:cs="Times New Roman"/>
            </w:rPr>
            <w:t>the lives of its customers and</w:t>
          </w:r>
        </w:sdtContent>
      </w:sdt>
      <w:r w:rsidRPr="00FE0519">
        <w:rPr>
          <w:rFonts w:ascii="Times New Roman" w:hAnsi="Times New Roman" w:cs="Times New Roman"/>
        </w:rPr>
        <w:t xml:space="preserve"> at the same time, cre</w:t>
      </w:r>
      <w:r w:rsidR="00A57018" w:rsidRPr="00FE0519">
        <w:rPr>
          <w:rFonts w:ascii="Times New Roman" w:hAnsi="Times New Roman" w:cs="Times New Roman"/>
        </w:rPr>
        <w:t>ate value for the shareholders</w:t>
      </w:r>
      <w:r w:rsidR="00F9756C" w:rsidRPr="00FE0519">
        <w:rPr>
          <w:rFonts w:ascii="Times New Roman" w:hAnsi="Times New Roman" w:cs="Times New Roman"/>
        </w:rPr>
        <w:t xml:space="preserve"> (Forbes et al., 2022)</w:t>
      </w:r>
      <w:r w:rsidR="00A57018" w:rsidRPr="00FE0519">
        <w:rPr>
          <w:rFonts w:ascii="Times New Roman" w:hAnsi="Times New Roman" w:cs="Times New Roman"/>
        </w:rPr>
        <w:t>.</w:t>
      </w:r>
    </w:p>
    <w:p w14:paraId="346EF221" w14:textId="400060E7" w:rsidR="00A43D5E" w:rsidRPr="00FE0519" w:rsidRDefault="00A43D5E" w:rsidP="00FE0519">
      <w:pPr>
        <w:spacing w:line="240" w:lineRule="auto"/>
        <w:jc w:val="both"/>
        <w:rPr>
          <w:rFonts w:ascii="Times New Roman" w:hAnsi="Times New Roman" w:cs="Times New Roman"/>
        </w:rPr>
      </w:pPr>
      <w:r w:rsidRPr="00FE0519">
        <w:rPr>
          <w:rFonts w:ascii="Times New Roman" w:hAnsi="Times New Roman" w:cs="Times New Roman"/>
        </w:rPr>
        <w:t xml:space="preserve">This report contains </w:t>
      </w:r>
      <w:r w:rsidR="71BDE4F5" w:rsidRPr="03E9C218">
        <w:rPr>
          <w:rFonts w:ascii="Times New Roman" w:hAnsi="Times New Roman" w:cs="Times New Roman"/>
        </w:rPr>
        <w:t>a</w:t>
      </w:r>
      <w:r w:rsidRPr="00FE0519">
        <w:rPr>
          <w:rFonts w:ascii="Times New Roman" w:hAnsi="Times New Roman" w:cs="Times New Roman"/>
        </w:rPr>
        <w:t xml:space="preserve"> comparison of Legal &amp; General Group plc. with Aviva </w:t>
      </w:r>
      <w:sdt>
        <w:sdtPr>
          <w:tag w:val="tii-similarity-U1VCTUlUVEVEX1dPUktfb2lkOjI6NzM0Njg3OTUy"/>
          <w:id w:val="1987172832"/>
          <w:placeholder>
            <w:docPart w:val="9DD60978709C45C6BCF30BEB09E4D71E"/>
          </w:placeholder>
          <w15:appearance w15:val="hidden"/>
        </w:sdtPr>
        <w:sdtContent>
          <w:r w:rsidRPr="00FE0519">
            <w:rPr>
              <w:rFonts w:ascii="Times New Roman" w:hAnsi="Times New Roman" w:cs="Times New Roman"/>
            </w:rPr>
            <w:t>plc. And</w:t>
          </w:r>
        </w:sdtContent>
      </w:sdt>
      <w:r w:rsidR="3B9C7C48" w:rsidRPr="77AD8B01">
        <w:rPr>
          <w:rFonts w:ascii="Times New Roman" w:hAnsi="Times New Roman" w:cs="Times New Roman"/>
        </w:rPr>
        <w:t xml:space="preserve"> </w:t>
      </w:r>
      <w:sdt>
        <w:sdtPr>
          <w:tag w:val="tii-similarity-U1VCTUlUVEVEX1dPUktfb2lkOjI6NzM0Njg3OTUy"/>
          <w:id w:val="617496597"/>
          <w:placeholder>
            <w:docPart w:val="9DD60978709C45C6BCF30BEB09E4D71E"/>
          </w:placeholder>
          <w15:appearance w15:val="hidden"/>
        </w:sdtPr>
        <w:sdtContent>
          <w:r w:rsidRPr="00FE0519">
            <w:rPr>
              <w:rFonts w:ascii="Times New Roman" w:hAnsi="Times New Roman" w:cs="Times New Roman"/>
            </w:rPr>
            <w:t>the market index FTSE100</w:t>
          </w:r>
        </w:sdtContent>
      </w:sdt>
      <w:r w:rsidRPr="00FE0519">
        <w:rPr>
          <w:rFonts w:ascii="Times New Roman" w:hAnsi="Times New Roman" w:cs="Times New Roman"/>
        </w:rPr>
        <w:t xml:space="preserve"> is also going to be examined. This report uses Descriptive </w:t>
      </w:r>
      <w:sdt>
        <w:sdtPr>
          <w:tag w:val="tii-similarity-U1VCTUlUVEVEX1dPUktfb2lkOjI6NzQwNjE2MzEx"/>
          <w:id w:val="1598042973"/>
          <w:placeholder>
            <w:docPart w:val="9DD60978709C45C6BCF30BEB09E4D71E"/>
          </w:placeholder>
          <w15:appearance w15:val="hidden"/>
        </w:sdtPr>
        <w:sdtContent>
          <w:r w:rsidR="0007581A" w:rsidRPr="00FE0519">
            <w:rPr>
              <w:rFonts w:ascii="Times New Roman" w:hAnsi="Times New Roman" w:cs="Times New Roman"/>
            </w:rPr>
            <w:t>Analysis, Correlation</w:t>
          </w:r>
          <w:r w:rsidRPr="00FE0519">
            <w:rPr>
              <w:rFonts w:ascii="Times New Roman" w:hAnsi="Times New Roman" w:cs="Times New Roman"/>
            </w:rPr>
            <w:t xml:space="preserve"> and Regression Analysis, Time Series Analysis</w:t>
          </w:r>
        </w:sdtContent>
      </w:sdt>
      <w:r w:rsidRPr="00FE0519">
        <w:rPr>
          <w:rFonts w:ascii="Times New Roman" w:hAnsi="Times New Roman" w:cs="Times New Roman"/>
        </w:rPr>
        <w:t xml:space="preserve"> for Stock market </w:t>
      </w:r>
      <w:sdt>
        <w:sdtPr>
          <w:tag w:val="tii-similarity-U1VCTUlUVEVEX1dPUktfb2lkOjI6NjYwNTkxNDY3"/>
          <w:id w:val="1628479417"/>
          <w:placeholder>
            <w:docPart w:val="9DD60978709C45C6BCF30BEB09E4D71E"/>
          </w:placeholder>
          <w15:appearance w15:val="hidden"/>
        </w:sdtPr>
        <w:sdtContent>
          <w:r w:rsidRPr="00FE0519">
            <w:rPr>
              <w:rFonts w:ascii="Times New Roman" w:hAnsi="Times New Roman" w:cs="Times New Roman"/>
            </w:rPr>
            <w:t xml:space="preserve">Data Analysis and </w:t>
          </w:r>
          <w:proofErr w:type="spellStart"/>
          <w:r w:rsidR="0007581A" w:rsidRPr="00FE0519">
            <w:rPr>
              <w:rFonts w:ascii="Times New Roman" w:hAnsi="Times New Roman" w:cs="Times New Roman"/>
            </w:rPr>
            <w:t>Visuali</w:t>
          </w:r>
          <w:r w:rsidR="0007581A">
            <w:rPr>
              <w:rFonts w:ascii="Times New Roman" w:hAnsi="Times New Roman" w:cs="Times New Roman"/>
            </w:rPr>
            <w:t>s</w:t>
          </w:r>
          <w:r w:rsidR="0007581A" w:rsidRPr="00FE0519">
            <w:rPr>
              <w:rFonts w:ascii="Times New Roman" w:hAnsi="Times New Roman" w:cs="Times New Roman"/>
            </w:rPr>
            <w:t>ation</w:t>
          </w:r>
          <w:proofErr w:type="spellEnd"/>
          <w:r w:rsidRPr="00FE0519">
            <w:rPr>
              <w:rFonts w:ascii="Times New Roman" w:hAnsi="Times New Roman" w:cs="Times New Roman"/>
            </w:rPr>
            <w:t xml:space="preserve">. </w:t>
          </w:r>
          <w:r w:rsidR="009221B1" w:rsidRPr="00FE0519">
            <w:rPr>
              <w:rFonts w:ascii="Times New Roman" w:hAnsi="Times New Roman" w:cs="Times New Roman"/>
            </w:rPr>
            <w:t>The</w:t>
          </w:r>
        </w:sdtContent>
      </w:sdt>
      <w:r w:rsidR="009221B1" w:rsidRPr="00FE0519">
        <w:rPr>
          <w:rFonts w:ascii="Times New Roman" w:hAnsi="Times New Roman" w:cs="Times New Roman"/>
        </w:rPr>
        <w:t xml:space="preserve"> </w:t>
      </w:r>
      <w:proofErr w:type="spellStart"/>
      <w:r w:rsidR="0007581A" w:rsidRPr="00FE0519">
        <w:rPr>
          <w:rFonts w:ascii="Times New Roman" w:hAnsi="Times New Roman" w:cs="Times New Roman"/>
        </w:rPr>
        <w:t>Visuali</w:t>
      </w:r>
      <w:r w:rsidR="0007581A">
        <w:rPr>
          <w:rFonts w:ascii="Times New Roman" w:hAnsi="Times New Roman" w:cs="Times New Roman"/>
        </w:rPr>
        <w:t>s</w:t>
      </w:r>
      <w:r w:rsidR="0007581A" w:rsidRPr="00FE0519">
        <w:rPr>
          <w:rFonts w:ascii="Times New Roman" w:hAnsi="Times New Roman" w:cs="Times New Roman"/>
        </w:rPr>
        <w:t>ation</w:t>
      </w:r>
      <w:proofErr w:type="spellEnd"/>
      <w:r w:rsidR="009221B1" w:rsidRPr="00FE0519">
        <w:rPr>
          <w:rFonts w:ascii="Times New Roman" w:hAnsi="Times New Roman" w:cs="Times New Roman"/>
        </w:rPr>
        <w:t xml:space="preserve"> of </w:t>
      </w:r>
      <w:r w:rsidR="71BDE4F5" w:rsidRPr="03E9C218">
        <w:rPr>
          <w:rFonts w:ascii="Times New Roman" w:hAnsi="Times New Roman" w:cs="Times New Roman"/>
        </w:rPr>
        <w:t xml:space="preserve">the </w:t>
      </w:r>
      <w:r w:rsidR="009221B1" w:rsidRPr="00FE0519">
        <w:rPr>
          <w:rFonts w:ascii="Times New Roman" w:hAnsi="Times New Roman" w:cs="Times New Roman"/>
        </w:rPr>
        <w:t xml:space="preserve">Company’s Financial </w:t>
      </w:r>
      <w:sdt>
        <w:sdtPr>
          <w:tag w:val="tii-similarity-U1VCTUlUVEVEX1dPUktfb2lkOjI6NzAyNjk2NzQ5"/>
          <w:id w:val="489011095"/>
          <w:placeholder>
            <w:docPart w:val="9DD60978709C45C6BCF30BEB09E4D71E"/>
          </w:placeholder>
          <w15:appearance w15:val="hidden"/>
        </w:sdtPr>
        <w:sdtContent>
          <w:r w:rsidR="009221B1" w:rsidRPr="00FE0519">
            <w:rPr>
              <w:rFonts w:ascii="Times New Roman" w:hAnsi="Times New Roman" w:cs="Times New Roman"/>
            </w:rPr>
            <w:t>performance is also</w:t>
          </w:r>
        </w:sdtContent>
      </w:sdt>
      <w:r w:rsidR="009221B1" w:rsidRPr="00FE0519">
        <w:rPr>
          <w:rFonts w:ascii="Times New Roman" w:hAnsi="Times New Roman" w:cs="Times New Roman"/>
        </w:rPr>
        <w:t xml:space="preserve"> done. </w:t>
      </w:r>
    </w:p>
    <w:p w14:paraId="2D2017E6" w14:textId="17CAFBE8" w:rsidR="009221B1" w:rsidRPr="00FE0519" w:rsidRDefault="009221B1" w:rsidP="00FE0519">
      <w:pPr>
        <w:spacing w:line="240" w:lineRule="auto"/>
        <w:jc w:val="both"/>
        <w:rPr>
          <w:rFonts w:ascii="Times New Roman" w:hAnsi="Times New Roman" w:cs="Times New Roman"/>
        </w:rPr>
      </w:pPr>
      <w:r w:rsidRPr="00FE0519">
        <w:rPr>
          <w:rFonts w:ascii="Times New Roman" w:hAnsi="Times New Roman" w:cs="Times New Roman"/>
        </w:rPr>
        <w:t xml:space="preserve">In Anaconda software, </w:t>
      </w:r>
      <w:proofErr w:type="spellStart"/>
      <w:r w:rsidRPr="00FE0519">
        <w:rPr>
          <w:rFonts w:ascii="Times New Roman" w:hAnsi="Times New Roman" w:cs="Times New Roman"/>
        </w:rPr>
        <w:t>Jupyter</w:t>
      </w:r>
      <w:proofErr w:type="spellEnd"/>
      <w:r w:rsidRPr="00FE0519">
        <w:rPr>
          <w:rFonts w:ascii="Times New Roman" w:hAnsi="Times New Roman" w:cs="Times New Roman"/>
        </w:rPr>
        <w:t xml:space="preserve"> notebook is used for the </w:t>
      </w:r>
      <w:proofErr w:type="spellStart"/>
      <w:r w:rsidRPr="00FE0519">
        <w:rPr>
          <w:rFonts w:ascii="Times New Roman" w:hAnsi="Times New Roman" w:cs="Times New Roman"/>
        </w:rPr>
        <w:t>Visuali</w:t>
      </w:r>
      <w:r w:rsidR="00A46D52">
        <w:rPr>
          <w:rFonts w:ascii="Times New Roman" w:hAnsi="Times New Roman" w:cs="Times New Roman"/>
        </w:rPr>
        <w:t>s</w:t>
      </w:r>
      <w:r w:rsidRPr="00FE0519">
        <w:rPr>
          <w:rFonts w:ascii="Times New Roman" w:hAnsi="Times New Roman" w:cs="Times New Roman"/>
        </w:rPr>
        <w:t>ation</w:t>
      </w:r>
      <w:proofErr w:type="spellEnd"/>
      <w:r w:rsidRPr="00FE0519">
        <w:rPr>
          <w:rFonts w:ascii="Times New Roman" w:hAnsi="Times New Roman" w:cs="Times New Roman"/>
        </w:rPr>
        <w:t xml:space="preserve"> of stock market data.</w:t>
      </w:r>
    </w:p>
    <w:p w14:paraId="4571FA1B" w14:textId="77777777" w:rsidR="00F55A2D" w:rsidRPr="00287DD4" w:rsidRDefault="00F55A2D" w:rsidP="00287DD4">
      <w:pPr>
        <w:pStyle w:val="Heading1"/>
        <w:rPr>
          <w:rFonts w:ascii="Times New Roman" w:hAnsi="Times New Roman" w:cs="Times New Roman"/>
          <w:sz w:val="44"/>
          <w:szCs w:val="44"/>
        </w:rPr>
      </w:pPr>
      <w:bookmarkStart w:id="1" w:name="_Toc161312189"/>
      <w:r w:rsidRPr="00287DD4">
        <w:rPr>
          <w:rFonts w:ascii="Times New Roman" w:hAnsi="Times New Roman" w:cs="Times New Roman"/>
          <w:sz w:val="44"/>
          <w:szCs w:val="44"/>
        </w:rPr>
        <w:t>2. Technical Analysis of Stock Market</w:t>
      </w:r>
      <w:bookmarkEnd w:id="1"/>
    </w:p>
    <w:p w14:paraId="4094AF8E" w14:textId="0FF59B25" w:rsidR="00DC72E6" w:rsidRPr="00FE0519" w:rsidRDefault="00F277DA" w:rsidP="00FE0519">
      <w:pPr>
        <w:spacing w:before="240" w:line="240" w:lineRule="auto"/>
        <w:jc w:val="both"/>
        <w:rPr>
          <w:rFonts w:ascii="Times New Roman" w:hAnsi="Times New Roman" w:cs="Times New Roman"/>
        </w:rPr>
      </w:pPr>
      <w:sdt>
        <w:sdtPr>
          <w:tag w:val="tii-similarity-U1VCTUlUVEVEX1dPUktfb2lkOjI6NzM0NjEzMzkx"/>
          <w:id w:val="1147105880"/>
          <w:placeholder>
            <w:docPart w:val="9DD60978709C45C6BCF30BEB09E4D71E"/>
          </w:placeholder>
          <w15:appearance w15:val="hidden"/>
        </w:sdtPr>
        <w:sdtContent>
          <w:r w:rsidR="00DC72E6" w:rsidRPr="00FE0519">
            <w:rPr>
              <w:rFonts w:ascii="Times New Roman" w:hAnsi="Times New Roman" w:cs="Times New Roman"/>
            </w:rPr>
            <w:t>A technical analysis of</w:t>
          </w:r>
        </w:sdtContent>
      </w:sdt>
      <w:r w:rsidR="00DC72E6" w:rsidRPr="00FE0519">
        <w:rPr>
          <w:rFonts w:ascii="Times New Roman" w:hAnsi="Times New Roman" w:cs="Times New Roman"/>
        </w:rPr>
        <w:t xml:space="preserve"> LEGAL &amp; GENERAL GROUP </w:t>
      </w:r>
      <w:sdt>
        <w:sdtPr>
          <w:tag w:val="tii-similarity-U1VCTUlUVEVEX1dPUktfb2lkOjI6NzM0NjczODEx"/>
          <w:id w:val="2065160516"/>
          <w:placeholder>
            <w:docPart w:val="9DD60978709C45C6BCF30BEB09E4D71E"/>
          </w:placeholder>
          <w15:appearance w15:val="hidden"/>
        </w:sdtPr>
        <w:sdtContent>
          <w:r w:rsidR="00DC72E6" w:rsidRPr="00FE0519">
            <w:rPr>
              <w:rFonts w:ascii="Times New Roman" w:hAnsi="Times New Roman" w:cs="Times New Roman"/>
            </w:rPr>
            <w:t>PLC’s stock market data</w:t>
          </w:r>
        </w:sdtContent>
      </w:sdt>
      <w:r w:rsidR="00DC72E6" w:rsidRPr="00FE0519">
        <w:rPr>
          <w:rFonts w:ascii="Times New Roman" w:hAnsi="Times New Roman" w:cs="Times New Roman"/>
        </w:rPr>
        <w:t xml:space="preserve"> produces interesting patterns and trends. The stock has demonstrated a steady upward trend during the last six months, with </w:t>
      </w:r>
      <w:r w:rsidR="6D090AB9" w:rsidRPr="03E9C218">
        <w:rPr>
          <w:rFonts w:ascii="Times New Roman" w:hAnsi="Times New Roman" w:cs="Times New Roman"/>
        </w:rPr>
        <w:t xml:space="preserve">a </w:t>
      </w:r>
      <w:r w:rsidR="00DC72E6" w:rsidRPr="00FE0519">
        <w:rPr>
          <w:rFonts w:ascii="Times New Roman" w:hAnsi="Times New Roman" w:cs="Times New Roman"/>
        </w:rPr>
        <w:t xml:space="preserve">spike in the trading volumes during positive price movements reflecting </w:t>
      </w:r>
      <w:r w:rsidR="135A2873" w:rsidRPr="03E9C218">
        <w:rPr>
          <w:rFonts w:ascii="Times New Roman" w:hAnsi="Times New Roman" w:cs="Times New Roman"/>
        </w:rPr>
        <w:t>investors’</w:t>
      </w:r>
      <w:r w:rsidR="00DC72E6" w:rsidRPr="00FE0519">
        <w:rPr>
          <w:rFonts w:ascii="Times New Roman" w:hAnsi="Times New Roman" w:cs="Times New Roman"/>
        </w:rPr>
        <w:t xml:space="preserve"> robust interest. Key technical indicators in the name of MACD and RSI indicate bullish momentum, strengthening the positive market view on the stock. Moreover, the share has managed to surpass important resistance levels, giving more signals </w:t>
      </w:r>
      <w:r w:rsidR="06AA9D42" w:rsidRPr="58222E41">
        <w:rPr>
          <w:rFonts w:ascii="Times New Roman" w:hAnsi="Times New Roman" w:cs="Times New Roman"/>
        </w:rPr>
        <w:t>of</w:t>
      </w:r>
      <w:r w:rsidR="00DC72E6" w:rsidRPr="00FE0519">
        <w:rPr>
          <w:rFonts w:ascii="Times New Roman" w:hAnsi="Times New Roman" w:cs="Times New Roman"/>
        </w:rPr>
        <w:t xml:space="preserve"> its strong ascending trend. Nevertheless, it is necessary to be cautious with possible overbought status if the RSI is close to overbought levels. In general, the technical analysis suggests bullish trend for LEGAL &amp; GENERAL GROUP PLC indicated by strong trading volumes and positive technical indicators, in such initiating careful monitoring to tackle with eventual corrections or reversals is recommended.</w:t>
      </w:r>
    </w:p>
    <w:p w14:paraId="231FBAF2" w14:textId="77777777" w:rsidR="005032D9" w:rsidRPr="00287DD4" w:rsidRDefault="005032D9" w:rsidP="00287DD4">
      <w:pPr>
        <w:pStyle w:val="Heading2"/>
        <w:rPr>
          <w:rFonts w:ascii="Times New Roman" w:hAnsi="Times New Roman" w:cs="Times New Roman"/>
          <w:sz w:val="36"/>
          <w:szCs w:val="36"/>
        </w:rPr>
      </w:pPr>
      <w:bookmarkStart w:id="2" w:name="_Toc161312190"/>
      <w:r w:rsidRPr="00287DD4">
        <w:rPr>
          <w:rFonts w:ascii="Times New Roman" w:hAnsi="Times New Roman" w:cs="Times New Roman"/>
          <w:sz w:val="36"/>
          <w:szCs w:val="36"/>
        </w:rPr>
        <w:t>2.1 Descriptive Analysis</w:t>
      </w:r>
      <w:bookmarkEnd w:id="2"/>
    </w:p>
    <w:p w14:paraId="1353A005" w14:textId="7E33B051" w:rsidR="0069532B" w:rsidRPr="00FE0519" w:rsidRDefault="00DC42AA" w:rsidP="00FE0519">
      <w:pPr>
        <w:spacing w:before="240" w:line="240" w:lineRule="auto"/>
        <w:jc w:val="both"/>
        <w:rPr>
          <w:rFonts w:ascii="Times New Roman" w:hAnsi="Times New Roman" w:cs="Times New Roman"/>
        </w:rPr>
      </w:pPr>
      <w:r w:rsidRPr="00FE0519">
        <w:rPr>
          <w:rFonts w:ascii="Times New Roman" w:hAnsi="Times New Roman" w:cs="Times New Roman"/>
        </w:rPr>
        <w:t>LGEN.L</w:t>
      </w:r>
      <w:r w:rsidR="0081176D" w:rsidRPr="00FE0519">
        <w:rPr>
          <w:rFonts w:ascii="Times New Roman" w:hAnsi="Times New Roman" w:cs="Times New Roman"/>
        </w:rPr>
        <w:t xml:space="preserve"> </w:t>
      </w:r>
      <w:r w:rsidRPr="00FE0519">
        <w:rPr>
          <w:rFonts w:ascii="Times New Roman" w:hAnsi="Times New Roman" w:cs="Times New Roman"/>
        </w:rPr>
        <w:t xml:space="preserve">was stable and resilient in performance over the period as </w:t>
      </w:r>
      <w:r w:rsidR="00C14E9C" w:rsidRPr="00FE0519">
        <w:rPr>
          <w:rFonts w:ascii="Times New Roman" w:hAnsi="Times New Roman" w:cs="Times New Roman"/>
        </w:rPr>
        <w:t>it</w:t>
      </w:r>
      <w:r w:rsidRPr="00FE0519">
        <w:rPr>
          <w:rFonts w:ascii="Times New Roman" w:hAnsi="Times New Roman" w:cs="Times New Roman"/>
        </w:rPr>
        <w:t xml:space="preserve"> has adjusted closing prices </w:t>
      </w:r>
      <w:r w:rsidR="36B3C2D4" w:rsidRPr="58222E41">
        <w:rPr>
          <w:rFonts w:ascii="Times New Roman" w:hAnsi="Times New Roman" w:cs="Times New Roman"/>
        </w:rPr>
        <w:t>ranging</w:t>
      </w:r>
      <w:r w:rsidRPr="00FE0519">
        <w:rPr>
          <w:rFonts w:ascii="Times New Roman" w:hAnsi="Times New Roman" w:cs="Times New Roman"/>
        </w:rPr>
        <w:t xml:space="preserve"> from 102.63 to 264.57. On the other hand, the mean adjusted close price is 205.95, marking a positional stability in value. </w:t>
      </w:r>
    </w:p>
    <w:p w14:paraId="0A2EABF2" w14:textId="77777777" w:rsidR="0069532B" w:rsidRDefault="006C7374" w:rsidP="004C3873">
      <w:pPr>
        <w:spacing w:line="360" w:lineRule="auto"/>
        <w:ind w:left="-720"/>
        <w:jc w:val="center"/>
        <w:rPr>
          <w:rFonts w:ascii="Times New Roman" w:hAnsi="Times New Roman" w:cs="Times New Roman"/>
          <w:sz w:val="24"/>
        </w:rPr>
      </w:pPr>
      <w:r>
        <w:rPr>
          <w:noProof/>
        </w:rPr>
        <w:lastRenderedPageBreak/>
        <w:drawing>
          <wp:inline distT="0" distB="0" distL="0" distR="0" wp14:anchorId="524C7753" wp14:editId="12C7A2B4">
            <wp:extent cx="5692089" cy="2743081"/>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294" cy="2745107"/>
                    </a:xfrm>
                    <a:prstGeom prst="rect">
                      <a:avLst/>
                    </a:prstGeom>
                  </pic:spPr>
                </pic:pic>
              </a:graphicData>
            </a:graphic>
          </wp:inline>
        </w:drawing>
      </w:r>
    </w:p>
    <w:p w14:paraId="249B86BE" w14:textId="0E221014" w:rsidR="008E2ED2" w:rsidRPr="008E2ED2" w:rsidRDefault="008E2ED2" w:rsidP="008E2ED2">
      <w:pPr>
        <w:pStyle w:val="Caption"/>
        <w:jc w:val="center"/>
        <w:rPr>
          <w:rFonts w:ascii="Times New Roman" w:hAnsi="Times New Roman" w:cs="Times New Roman"/>
          <w:sz w:val="22"/>
          <w:szCs w:val="22"/>
        </w:rPr>
      </w:pPr>
      <w:bookmarkStart w:id="3" w:name="_Toc161313378"/>
      <w:bookmarkStart w:id="4" w:name="_Toc161313613"/>
      <w:bookmarkStart w:id="5" w:name="_Toc161314061"/>
      <w:r w:rsidRPr="008E2ED2">
        <w:rPr>
          <w:rFonts w:ascii="Times New Roman" w:hAnsi="Times New Roman" w:cs="Times New Roman"/>
          <w:sz w:val="22"/>
          <w:szCs w:val="22"/>
        </w:rPr>
        <w:t xml:space="preserve">Figure </w:t>
      </w:r>
      <w:r w:rsidRPr="008E2ED2">
        <w:rPr>
          <w:rFonts w:ascii="Times New Roman" w:hAnsi="Times New Roman" w:cs="Times New Roman"/>
          <w:sz w:val="22"/>
          <w:szCs w:val="22"/>
        </w:rPr>
        <w:fldChar w:fldCharType="begin"/>
      </w:r>
      <w:r w:rsidRPr="008E2ED2">
        <w:rPr>
          <w:rFonts w:ascii="Times New Roman" w:hAnsi="Times New Roman" w:cs="Times New Roman"/>
          <w:sz w:val="22"/>
          <w:szCs w:val="22"/>
        </w:rPr>
        <w:instrText xml:space="preserve"> SEQ Figure \* ARABIC </w:instrText>
      </w:r>
      <w:r w:rsidRPr="008E2ED2">
        <w:rPr>
          <w:rFonts w:ascii="Times New Roman" w:hAnsi="Times New Roman" w:cs="Times New Roman"/>
          <w:sz w:val="22"/>
          <w:szCs w:val="22"/>
        </w:rPr>
        <w:fldChar w:fldCharType="separate"/>
      </w:r>
      <w:r w:rsidR="00D269E3">
        <w:rPr>
          <w:rFonts w:ascii="Times New Roman" w:hAnsi="Times New Roman" w:cs="Times New Roman"/>
          <w:noProof/>
          <w:sz w:val="22"/>
          <w:szCs w:val="22"/>
        </w:rPr>
        <w:t>1</w:t>
      </w:r>
      <w:r w:rsidRPr="008E2ED2">
        <w:rPr>
          <w:rFonts w:ascii="Times New Roman" w:hAnsi="Times New Roman" w:cs="Times New Roman"/>
          <w:sz w:val="22"/>
          <w:szCs w:val="22"/>
        </w:rPr>
        <w:fldChar w:fldCharType="end"/>
      </w:r>
      <w:r w:rsidRPr="008E2ED2">
        <w:rPr>
          <w:rFonts w:ascii="Times New Roman" w:hAnsi="Times New Roman" w:cs="Times New Roman"/>
          <w:sz w:val="22"/>
          <w:szCs w:val="22"/>
        </w:rPr>
        <w:t>: Standard Indicators (Descriptive Statistics)</w:t>
      </w:r>
      <w:bookmarkEnd w:id="3"/>
      <w:bookmarkEnd w:id="4"/>
      <w:bookmarkEnd w:id="5"/>
    </w:p>
    <w:p w14:paraId="4B97A7CA" w14:textId="42C8A16E" w:rsidR="005235B9" w:rsidRPr="00FE0519" w:rsidRDefault="00375214" w:rsidP="00FE0519">
      <w:pPr>
        <w:spacing w:line="240" w:lineRule="auto"/>
        <w:jc w:val="both"/>
        <w:rPr>
          <w:rFonts w:ascii="Times New Roman" w:hAnsi="Times New Roman" w:cs="Times New Roman"/>
        </w:rPr>
      </w:pPr>
      <w:r w:rsidRPr="00FE0519">
        <w:rPr>
          <w:rFonts w:ascii="Times New Roman" w:hAnsi="Times New Roman" w:cs="Times New Roman"/>
        </w:rPr>
        <w:t>Th</w:t>
      </w:r>
      <w:r w:rsidR="00952864" w:rsidRPr="00FE0519">
        <w:rPr>
          <w:rFonts w:ascii="Times New Roman" w:hAnsi="Times New Roman" w:cs="Times New Roman"/>
        </w:rPr>
        <w:t>e descriptive statistics figure 1</w:t>
      </w:r>
      <w:r w:rsidRPr="00FE0519">
        <w:rPr>
          <w:rFonts w:ascii="Times New Roman" w:hAnsi="Times New Roman" w:cs="Times New Roman"/>
        </w:rPr>
        <w:t xml:space="preserve"> show that the lower mean returns rating and lower volatility rating of the LGEN.L </w:t>
      </w:r>
      <w:r w:rsidR="0BDEE768" w:rsidRPr="58222E41">
        <w:rPr>
          <w:rFonts w:ascii="Times New Roman" w:hAnsi="Times New Roman" w:cs="Times New Roman"/>
        </w:rPr>
        <w:t>are</w:t>
      </w:r>
      <w:r w:rsidRPr="00FE0519">
        <w:rPr>
          <w:rFonts w:ascii="Times New Roman" w:hAnsi="Times New Roman" w:cs="Times New Roman"/>
        </w:rPr>
        <w:t xml:space="preserve"> different than the Aviva PLC and FTSE 100 index. LGEN.L </w:t>
      </w:r>
      <w:sdt>
        <w:sdtPr>
          <w:tag w:val="tii-similarity-U1VCTUlUVEVEX1dPUktfb2lkOjE6MjI1NzMzODMwNg=="/>
          <w:id w:val="1221271746"/>
          <w:placeholder>
            <w:docPart w:val="9DD60978709C45C6BCF30BEB09E4D71E"/>
          </w:placeholder>
          <w15:appearance w15:val="hidden"/>
        </w:sdtPr>
        <w:sdtContent>
          <w:r w:rsidRPr="00FE0519">
            <w:rPr>
              <w:rFonts w:ascii="Times New Roman" w:hAnsi="Times New Roman" w:cs="Times New Roman"/>
            </w:rPr>
            <w:t>has a mean</w:t>
          </w:r>
        </w:sdtContent>
      </w:sdt>
      <w:r w:rsidRPr="00FE0519">
        <w:rPr>
          <w:rFonts w:ascii="Times New Roman" w:hAnsi="Times New Roman" w:cs="Times New Roman"/>
        </w:rPr>
        <w:t xml:space="preserve"> return of 0.001019 with the standard deviation of 0.030457 which shows that on average its performance is </w:t>
      </w:r>
      <w:r w:rsidR="0003418C" w:rsidRPr="00FE0519">
        <w:rPr>
          <w:rFonts w:ascii="Times New Roman" w:hAnsi="Times New Roman" w:cs="Times New Roman"/>
        </w:rPr>
        <w:t>stable</w:t>
      </w:r>
      <w:r w:rsidRPr="00FE0519">
        <w:rPr>
          <w:rFonts w:ascii="Times New Roman" w:hAnsi="Times New Roman" w:cs="Times New Roman"/>
        </w:rPr>
        <w:t xml:space="preserve">. Aviva PLC, as a second example during the time range 2001 - 2015, displayed slightly higher mean returns and volatility </w:t>
      </w:r>
      <w:sdt>
        <w:sdtPr>
          <w:tag w:val="tii-similarity-U1VCTUlUVEVEX1dPUktfb2lkOjE6MjYzMTMyMDI3MQ=="/>
          <w:id w:val="1189801891"/>
          <w:placeholder>
            <w:docPart w:val="9DD60978709C45C6BCF30BEB09E4D71E"/>
          </w:placeholder>
          <w15:appearance w15:val="hidden"/>
        </w:sdtPr>
        <w:sdtContent>
          <w:r w:rsidRPr="00FE0519">
            <w:rPr>
              <w:rFonts w:ascii="Times New Roman" w:hAnsi="Times New Roman" w:cs="Times New Roman"/>
            </w:rPr>
            <w:t>with the mean</w:t>
          </w:r>
        </w:sdtContent>
      </w:sdt>
      <w:r w:rsidRPr="00FE0519">
        <w:rPr>
          <w:rFonts w:ascii="Times New Roman" w:hAnsi="Times New Roman" w:cs="Times New Roman"/>
        </w:rPr>
        <w:t xml:space="preserve"> return of 0.001108 </w:t>
      </w:r>
      <w:sdt>
        <w:sdtPr>
          <w:tag w:val="tii-similarity-U1VCTUlUVEVEX1dPUktfb2lkOjE6MjYzMTMyMDI3MQ=="/>
          <w:id w:val="1619996696"/>
          <w:placeholder>
            <w:docPart w:val="9DD60978709C45C6BCF30BEB09E4D71E"/>
          </w:placeholder>
          <w15:appearance w15:val="hidden"/>
        </w:sdtPr>
        <w:sdtContent>
          <w:r w:rsidRPr="00FE0519">
            <w:rPr>
              <w:rFonts w:ascii="Times New Roman" w:hAnsi="Times New Roman" w:cs="Times New Roman"/>
            </w:rPr>
            <w:t>and the standard deviation of</w:t>
          </w:r>
        </w:sdtContent>
      </w:sdt>
      <w:r w:rsidRPr="00FE0519">
        <w:rPr>
          <w:rFonts w:ascii="Times New Roman" w:hAnsi="Times New Roman" w:cs="Times New Roman"/>
        </w:rPr>
        <w:t xml:space="preserve"> 0.023747. On the contrary, the FTSE 100 index reaches lower mean returns but higher volatility, which I see as a mean return of 0.000340 and volatility of 0.014275, respectively. However, the impressive diversification is limited only by the fact that </w:t>
      </w:r>
      <w:r w:rsidR="1BE7EB82" w:rsidRPr="265F127A">
        <w:rPr>
          <w:rFonts w:ascii="Times New Roman" w:hAnsi="Times New Roman" w:cs="Times New Roman"/>
        </w:rPr>
        <w:t xml:space="preserve">the </w:t>
      </w:r>
      <w:r w:rsidRPr="00FE0519">
        <w:rPr>
          <w:rFonts w:ascii="Times New Roman" w:hAnsi="Times New Roman" w:cs="Times New Roman"/>
        </w:rPr>
        <w:t>performances of both Aviva PLC and the FTSE 100 index beat Legal &amp; General's. This means that Legal &amp; General's balanced risk-return profile prov</w:t>
      </w:r>
      <w:r w:rsidR="00952864" w:rsidRPr="00FE0519">
        <w:rPr>
          <w:rFonts w:ascii="Times New Roman" w:hAnsi="Times New Roman" w:cs="Times New Roman"/>
        </w:rPr>
        <w:t xml:space="preserve">ides </w:t>
      </w:r>
      <w:r w:rsidR="00785CA4" w:rsidRPr="00FE0519">
        <w:rPr>
          <w:rFonts w:ascii="Times New Roman" w:hAnsi="Times New Roman" w:cs="Times New Roman"/>
        </w:rPr>
        <w:t>a haven</w:t>
      </w:r>
      <w:r w:rsidR="00952864" w:rsidRPr="00FE0519">
        <w:rPr>
          <w:rFonts w:ascii="Times New Roman" w:hAnsi="Times New Roman" w:cs="Times New Roman"/>
        </w:rPr>
        <w:t xml:space="preserve"> for investors</w:t>
      </w:r>
      <w:r w:rsidR="00406FD9" w:rsidRPr="00FE0519">
        <w:rPr>
          <w:rFonts w:ascii="Times New Roman" w:hAnsi="Times New Roman" w:cs="Times New Roman"/>
        </w:rPr>
        <w:t>.</w:t>
      </w:r>
      <w:r w:rsidR="008C73B8" w:rsidRPr="00FE0519">
        <w:rPr>
          <w:rFonts w:ascii="Times New Roman" w:hAnsi="Times New Roman" w:cs="Times New Roman"/>
        </w:rPr>
        <w:t xml:space="preserve"> </w:t>
      </w:r>
    </w:p>
    <w:p w14:paraId="076D0E28" w14:textId="77777777" w:rsidR="002B0551" w:rsidRDefault="002B0551">
      <w:pPr>
        <w:rPr>
          <w:rFonts w:ascii="Times New Roman" w:eastAsiaTheme="majorEastAsia" w:hAnsi="Times New Roman" w:cs="Times New Roman"/>
          <w:color w:val="1F4D78" w:themeColor="accent1" w:themeShade="7F"/>
          <w:sz w:val="28"/>
          <w:szCs w:val="28"/>
        </w:rPr>
      </w:pPr>
      <w:r>
        <w:rPr>
          <w:rFonts w:ascii="Times New Roman" w:hAnsi="Times New Roman" w:cs="Times New Roman"/>
          <w:sz w:val="28"/>
          <w:szCs w:val="28"/>
        </w:rPr>
        <w:br w:type="page"/>
      </w:r>
    </w:p>
    <w:p w14:paraId="140CC6C7" w14:textId="1BD64DA2" w:rsidR="003B350C" w:rsidRPr="002B0551" w:rsidRDefault="00843F80" w:rsidP="002B0551">
      <w:pPr>
        <w:pStyle w:val="Heading3"/>
        <w:rPr>
          <w:rFonts w:ascii="Times New Roman" w:hAnsi="Times New Roman" w:cs="Times New Roman"/>
          <w:sz w:val="28"/>
          <w:szCs w:val="28"/>
          <w:lang w:val="en-GB"/>
        </w:rPr>
      </w:pPr>
      <w:bookmarkStart w:id="6" w:name="_Toc161312191"/>
      <w:r w:rsidRPr="002B0551">
        <w:rPr>
          <w:rFonts w:ascii="Times New Roman" w:hAnsi="Times New Roman" w:cs="Times New Roman"/>
          <w:sz w:val="28"/>
          <w:szCs w:val="28"/>
        </w:rPr>
        <w:lastRenderedPageBreak/>
        <w:t xml:space="preserve">2.1.1 </w:t>
      </w:r>
      <w:r w:rsidRPr="002B0551">
        <w:rPr>
          <w:rFonts w:ascii="Times New Roman" w:hAnsi="Times New Roman" w:cs="Times New Roman"/>
          <w:sz w:val="28"/>
          <w:szCs w:val="28"/>
          <w:lang w:val="en-GB"/>
        </w:rPr>
        <w:t>Stock Prices</w:t>
      </w:r>
      <w:bookmarkEnd w:id="6"/>
    </w:p>
    <w:p w14:paraId="49328454" w14:textId="77777777" w:rsidR="00D53FE6" w:rsidRPr="00785CA4" w:rsidRDefault="00D53FE6" w:rsidP="0004349C">
      <w:pPr>
        <w:pStyle w:val="ListParagraph"/>
        <w:numPr>
          <w:ilvl w:val="0"/>
          <w:numId w:val="1"/>
        </w:numPr>
        <w:spacing w:line="360" w:lineRule="auto"/>
        <w:jc w:val="both"/>
        <w:rPr>
          <w:rFonts w:ascii="Times New Roman" w:hAnsi="Times New Roman" w:cs="Times New Roman"/>
          <w:b/>
          <w:u w:val="single"/>
          <w:lang w:val="en-GB"/>
        </w:rPr>
      </w:pPr>
      <w:r w:rsidRPr="00785CA4">
        <w:rPr>
          <w:rFonts w:ascii="Times New Roman" w:hAnsi="Times New Roman" w:cs="Times New Roman"/>
          <w:b/>
          <w:u w:val="single"/>
          <w:lang w:val="en-GB"/>
        </w:rPr>
        <w:t>Line Chart</w:t>
      </w:r>
    </w:p>
    <w:p w14:paraId="320B61A9" w14:textId="77777777" w:rsidR="005442EE" w:rsidRPr="00FE0519" w:rsidRDefault="005442EE" w:rsidP="00FE0519">
      <w:pPr>
        <w:spacing w:line="240" w:lineRule="auto"/>
        <w:jc w:val="both"/>
        <w:rPr>
          <w:rFonts w:ascii="Times New Roman" w:hAnsi="Times New Roman" w:cs="Times New Roman"/>
          <w:lang w:val="en-GB"/>
        </w:rPr>
      </w:pPr>
      <w:r w:rsidRPr="00FE0519">
        <w:rPr>
          <w:rFonts w:ascii="Times New Roman" w:hAnsi="Times New Roman" w:cs="Times New Roman"/>
          <w:lang w:val="en-GB"/>
        </w:rPr>
        <w:t xml:space="preserve">The </w:t>
      </w:r>
      <w:r w:rsidR="00CF7717" w:rsidRPr="00FE0519">
        <w:rPr>
          <w:rFonts w:ascii="Times New Roman" w:hAnsi="Times New Roman" w:cs="Times New Roman"/>
          <w:lang w:val="en-GB"/>
        </w:rPr>
        <w:t>Figure 2</w:t>
      </w:r>
      <w:r w:rsidRPr="00FE0519">
        <w:rPr>
          <w:rFonts w:ascii="Times New Roman" w:hAnsi="Times New Roman" w:cs="Times New Roman"/>
          <w:lang w:val="en-GB"/>
        </w:rPr>
        <w:t xml:space="preserve"> represents the time series analysis of closing prices of Legal &amp; General Group PLC (LGEN.L), Aviva PLC, and the FTSE 100 index. </w:t>
      </w:r>
    </w:p>
    <w:p w14:paraId="79AE4D62" w14:textId="77777777" w:rsidR="0016322E" w:rsidRDefault="0016322E" w:rsidP="00A6709F">
      <w:pPr>
        <w:spacing w:line="360" w:lineRule="auto"/>
        <w:jc w:val="center"/>
        <w:rPr>
          <w:rFonts w:ascii="Times New Roman" w:hAnsi="Times New Roman" w:cs="Times New Roman"/>
          <w:b/>
          <w:sz w:val="24"/>
          <w:lang w:val="en-GB"/>
        </w:rPr>
      </w:pPr>
      <w:r>
        <w:rPr>
          <w:noProof/>
        </w:rPr>
        <w:drawing>
          <wp:inline distT="0" distB="0" distL="0" distR="0" wp14:anchorId="10140AD4" wp14:editId="6738A6C9">
            <wp:extent cx="5255260" cy="3212757"/>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6528" cy="3219646"/>
                    </a:xfrm>
                    <a:prstGeom prst="rect">
                      <a:avLst/>
                    </a:prstGeom>
                  </pic:spPr>
                </pic:pic>
              </a:graphicData>
            </a:graphic>
          </wp:inline>
        </w:drawing>
      </w:r>
    </w:p>
    <w:p w14:paraId="66DCD44E" w14:textId="2FCEFB11" w:rsidR="008E2ED2" w:rsidRPr="008E2ED2" w:rsidRDefault="008E2ED2" w:rsidP="008E2ED2">
      <w:pPr>
        <w:pStyle w:val="Caption"/>
        <w:jc w:val="center"/>
        <w:rPr>
          <w:rStyle w:val="normaltextrun"/>
          <w:rFonts w:ascii="Times New Roman" w:eastAsiaTheme="majorEastAsia" w:hAnsi="Times New Roman" w:cs="Times New Roman"/>
          <w:iCs w:val="0"/>
          <w:sz w:val="22"/>
          <w:szCs w:val="22"/>
        </w:rPr>
      </w:pPr>
      <w:bookmarkStart w:id="7" w:name="_Toc161313379"/>
      <w:bookmarkStart w:id="8" w:name="_Toc161313614"/>
      <w:bookmarkStart w:id="9" w:name="_Toc161314062"/>
      <w:r w:rsidRPr="008E2ED2">
        <w:rPr>
          <w:rFonts w:ascii="Times New Roman" w:hAnsi="Times New Roman" w:cs="Times New Roman"/>
          <w:sz w:val="22"/>
          <w:szCs w:val="22"/>
        </w:rPr>
        <w:t xml:space="preserve">Figure </w:t>
      </w:r>
      <w:r w:rsidRPr="008E2ED2">
        <w:rPr>
          <w:rFonts w:ascii="Times New Roman" w:hAnsi="Times New Roman" w:cs="Times New Roman"/>
          <w:sz w:val="22"/>
          <w:szCs w:val="22"/>
        </w:rPr>
        <w:fldChar w:fldCharType="begin"/>
      </w:r>
      <w:r w:rsidRPr="008E2ED2">
        <w:rPr>
          <w:rFonts w:ascii="Times New Roman" w:hAnsi="Times New Roman" w:cs="Times New Roman"/>
          <w:sz w:val="22"/>
          <w:szCs w:val="22"/>
        </w:rPr>
        <w:instrText xml:space="preserve"> SEQ Figure \* ARABIC </w:instrText>
      </w:r>
      <w:r w:rsidRPr="008E2ED2">
        <w:rPr>
          <w:rFonts w:ascii="Times New Roman" w:hAnsi="Times New Roman" w:cs="Times New Roman"/>
          <w:sz w:val="22"/>
          <w:szCs w:val="22"/>
        </w:rPr>
        <w:fldChar w:fldCharType="separate"/>
      </w:r>
      <w:r w:rsidR="00D269E3">
        <w:rPr>
          <w:rFonts w:ascii="Times New Roman" w:hAnsi="Times New Roman" w:cs="Times New Roman"/>
          <w:noProof/>
          <w:sz w:val="22"/>
          <w:szCs w:val="22"/>
        </w:rPr>
        <w:t>2</w:t>
      </w:r>
      <w:r w:rsidRPr="008E2ED2">
        <w:rPr>
          <w:rFonts w:ascii="Times New Roman" w:hAnsi="Times New Roman" w:cs="Times New Roman"/>
          <w:sz w:val="22"/>
          <w:szCs w:val="22"/>
        </w:rPr>
        <w:fldChar w:fldCharType="end"/>
      </w:r>
      <w:r w:rsidRPr="008E2ED2">
        <w:rPr>
          <w:rFonts w:ascii="Times New Roman" w:hAnsi="Times New Roman" w:cs="Times New Roman"/>
          <w:sz w:val="22"/>
          <w:szCs w:val="22"/>
        </w:rPr>
        <w:t>: Line Chart</w:t>
      </w:r>
      <w:bookmarkEnd w:id="7"/>
      <w:bookmarkEnd w:id="8"/>
      <w:bookmarkEnd w:id="9"/>
    </w:p>
    <w:p w14:paraId="05075770" w14:textId="787B280F" w:rsidR="00855354" w:rsidRPr="00FE0519" w:rsidRDefault="00F277DA" w:rsidP="00FE0519">
      <w:pPr>
        <w:spacing w:line="240" w:lineRule="auto"/>
        <w:jc w:val="both"/>
        <w:rPr>
          <w:rStyle w:val="normaltextrun"/>
          <w:rFonts w:ascii="Times New Roman" w:eastAsiaTheme="majorEastAsia" w:hAnsi="Times New Roman" w:cs="Times New Roman"/>
          <w:iCs/>
        </w:rPr>
      </w:pPr>
      <w:sdt>
        <w:sdtPr>
          <w:tag w:val="tii-similarity-U1VCTUlUVEVEX1dPUktfb2lkOjI6Njk0MTMzMDc5"/>
          <w:id w:val="1851930973"/>
          <w:placeholder>
            <w:docPart w:val="9DD60978709C45C6BCF30BEB09E4D71E"/>
          </w:placeholder>
          <w15:appearance w15:val="hidden"/>
        </w:sdtPr>
        <w:sdtContent>
          <w:r w:rsidR="007D3EF6" w:rsidRPr="00FE0519">
            <w:rPr>
              <w:rStyle w:val="normaltextrun"/>
              <w:rFonts w:ascii="Times New Roman" w:eastAsiaTheme="majorEastAsia" w:hAnsi="Times New Roman" w:cs="Times New Roman"/>
              <w:iCs/>
            </w:rPr>
            <w:t>The line chart</w:t>
          </w:r>
        </w:sdtContent>
      </w:sdt>
      <w:r w:rsidR="007D3EF6" w:rsidRPr="00FE0519">
        <w:rPr>
          <w:rStyle w:val="normaltextrun"/>
          <w:rFonts w:ascii="Times New Roman" w:eastAsiaTheme="majorEastAsia" w:hAnsi="Times New Roman" w:cs="Times New Roman"/>
          <w:iCs/>
        </w:rPr>
        <w:t xml:space="preserve"> </w:t>
      </w:r>
      <w:r w:rsidR="005F5E02">
        <w:rPr>
          <w:rStyle w:val="normaltextrun"/>
          <w:rFonts w:ascii="Times New Roman" w:eastAsiaTheme="majorEastAsia" w:hAnsi="Times New Roman" w:cs="Times New Roman"/>
          <w:iCs/>
        </w:rPr>
        <w:t>(</w:t>
      </w:r>
      <w:r w:rsidR="009C63D7" w:rsidRPr="00FE0519">
        <w:rPr>
          <w:rStyle w:val="normaltextrun"/>
          <w:rFonts w:ascii="Times New Roman" w:eastAsiaTheme="majorEastAsia" w:hAnsi="Times New Roman" w:cs="Times New Roman"/>
          <w:iCs/>
        </w:rPr>
        <w:t>figure 2</w:t>
      </w:r>
      <w:r w:rsidR="005F5E02">
        <w:rPr>
          <w:rStyle w:val="normaltextrun"/>
          <w:rFonts w:ascii="Times New Roman" w:eastAsiaTheme="majorEastAsia" w:hAnsi="Times New Roman" w:cs="Times New Roman"/>
          <w:iCs/>
        </w:rPr>
        <w:t>)</w:t>
      </w:r>
      <w:r w:rsidR="007F47EE" w:rsidRPr="00FE0519">
        <w:rPr>
          <w:rStyle w:val="normaltextrun"/>
          <w:rFonts w:ascii="Times New Roman" w:eastAsiaTheme="majorEastAsia" w:hAnsi="Times New Roman" w:cs="Times New Roman"/>
          <w:iCs/>
        </w:rPr>
        <w:t xml:space="preserve"> </w:t>
      </w:r>
      <w:r w:rsidR="007D3EF6" w:rsidRPr="00FE0519">
        <w:rPr>
          <w:rStyle w:val="normaltextrun"/>
          <w:rFonts w:ascii="Times New Roman" w:eastAsiaTheme="majorEastAsia" w:hAnsi="Times New Roman" w:cs="Times New Roman"/>
          <w:iCs/>
        </w:rPr>
        <w:t>analysis of Legal &amp; General Group PLC</w:t>
      </w:r>
      <w:r w:rsidR="007F47EE" w:rsidRPr="00FE0519">
        <w:rPr>
          <w:rStyle w:val="normaltextrun"/>
          <w:rFonts w:ascii="Times New Roman" w:eastAsiaTheme="majorEastAsia" w:hAnsi="Times New Roman" w:cs="Times New Roman"/>
          <w:iCs/>
        </w:rPr>
        <w:t xml:space="preserve"> </w:t>
      </w:r>
      <w:r w:rsidR="007D3EF6" w:rsidRPr="00FE0519">
        <w:rPr>
          <w:rStyle w:val="normaltextrun"/>
          <w:rFonts w:ascii="Times New Roman" w:eastAsiaTheme="majorEastAsia" w:hAnsi="Times New Roman" w:cs="Times New Roman"/>
          <w:iCs/>
        </w:rPr>
        <w:t xml:space="preserve">(LGEN.L), Aviva PLC, together with the FTSE 100 index over three years, 2020, 2021, and 2022, is intriguing, as it exposes a certain trend. LGEN.L tends to show stable behavior with sometimes minor deviations beginning in 2020 with a </w:t>
      </w:r>
      <w:r w:rsidR="005F5E02" w:rsidRPr="00FE0519">
        <w:rPr>
          <w:rStyle w:val="normaltextrun"/>
          <w:rFonts w:ascii="Times New Roman" w:eastAsiaTheme="majorEastAsia" w:hAnsi="Times New Roman" w:cs="Times New Roman"/>
          <w:iCs/>
        </w:rPr>
        <w:t>200-point</w:t>
      </w:r>
      <w:r w:rsidR="007D3EF6" w:rsidRPr="00FE0519">
        <w:rPr>
          <w:rStyle w:val="normaltextrun"/>
          <w:rFonts w:ascii="Times New Roman" w:eastAsiaTheme="majorEastAsia" w:hAnsi="Times New Roman" w:cs="Times New Roman"/>
          <w:iCs/>
        </w:rPr>
        <w:t xml:space="preserve"> rating dipping temporarily in 2021 and then rebounding in 2022 </w:t>
      </w:r>
      <w:r w:rsidR="201862CB" w:rsidRPr="0A2CD063">
        <w:rPr>
          <w:rStyle w:val="normaltextrun"/>
          <w:rFonts w:ascii="Times New Roman" w:eastAsiaTheme="majorEastAsia" w:hAnsi="Times New Roman" w:cs="Times New Roman"/>
        </w:rPr>
        <w:t>to</w:t>
      </w:r>
      <w:r w:rsidR="1C74FFAD" w:rsidRPr="0A2CD063">
        <w:rPr>
          <w:rStyle w:val="normaltextrun"/>
          <w:rFonts w:ascii="Times New Roman" w:eastAsiaTheme="majorEastAsia" w:hAnsi="Times New Roman" w:cs="Times New Roman"/>
        </w:rPr>
        <w:t xml:space="preserve"> 220.</w:t>
      </w:r>
      <w:r w:rsidR="007D3EF6" w:rsidRPr="00FE0519">
        <w:rPr>
          <w:rStyle w:val="normaltextrun"/>
          <w:rFonts w:ascii="Times New Roman" w:eastAsiaTheme="majorEastAsia" w:hAnsi="Times New Roman" w:cs="Times New Roman"/>
          <w:iCs/>
        </w:rPr>
        <w:t xml:space="preserve"> The case of Aviva PLC shows a similar </w:t>
      </w:r>
      <w:r w:rsidR="007F47EE" w:rsidRPr="00FE0519">
        <w:rPr>
          <w:rStyle w:val="normaltextrun"/>
          <w:rFonts w:ascii="Times New Roman" w:eastAsiaTheme="majorEastAsia" w:hAnsi="Times New Roman" w:cs="Times New Roman"/>
          <w:iCs/>
        </w:rPr>
        <w:t>movement, starting</w:t>
      </w:r>
      <w:r w:rsidR="007D3EF6" w:rsidRPr="00FE0519">
        <w:rPr>
          <w:rStyle w:val="normaltextrun"/>
          <w:rFonts w:ascii="Times New Roman" w:eastAsiaTheme="majorEastAsia" w:hAnsi="Times New Roman" w:cs="Times New Roman"/>
          <w:iCs/>
        </w:rPr>
        <w:t xml:space="preserve"> near 300 in 2020, falling slightly in 2021 and recovering to around 320 or so in 2022. While </w:t>
      </w:r>
      <w:sdt>
        <w:sdtPr>
          <w:tag w:val="tii-similarity-U1VCTUlUVEVEX1dPUktfb2lkOjI6NjU5MjU2NTc5"/>
          <w:id w:val="1066097596"/>
          <w:placeholder>
            <w:docPart w:val="9DD60978709C45C6BCF30BEB09E4D71E"/>
          </w:placeholder>
          <w15:appearance w15:val="hidden"/>
        </w:sdtPr>
        <w:sdtContent>
          <w:r w:rsidR="007D3EF6" w:rsidRPr="00FE0519">
            <w:rPr>
              <w:rStyle w:val="normaltextrun"/>
              <w:rFonts w:ascii="Times New Roman" w:eastAsiaTheme="majorEastAsia" w:hAnsi="Times New Roman" w:cs="Times New Roman"/>
              <w:iCs/>
            </w:rPr>
            <w:t>the S&amp;P 500</w:t>
          </w:r>
        </w:sdtContent>
      </w:sdt>
      <w:r w:rsidR="007D3EF6" w:rsidRPr="00FE0519">
        <w:rPr>
          <w:rStyle w:val="normaltextrun"/>
          <w:rFonts w:ascii="Times New Roman" w:eastAsiaTheme="majorEastAsia" w:hAnsi="Times New Roman" w:cs="Times New Roman"/>
          <w:iCs/>
        </w:rPr>
        <w:t xml:space="preserve"> index is </w:t>
      </w:r>
      <w:r w:rsidR="007F47EE" w:rsidRPr="00FE0519">
        <w:rPr>
          <w:rStyle w:val="normaltextrun"/>
          <w:rFonts w:ascii="Times New Roman" w:eastAsiaTheme="majorEastAsia" w:hAnsi="Times New Roman" w:cs="Times New Roman"/>
          <w:iCs/>
        </w:rPr>
        <w:t>steadier</w:t>
      </w:r>
      <w:r w:rsidR="007D3EF6" w:rsidRPr="00FE0519">
        <w:rPr>
          <w:rStyle w:val="normaltextrun"/>
          <w:rFonts w:ascii="Times New Roman" w:eastAsiaTheme="majorEastAsia" w:hAnsi="Times New Roman" w:cs="Times New Roman"/>
          <w:iCs/>
        </w:rPr>
        <w:t xml:space="preserve">, the FTSE 100 displays more volatility, beginning around 600 in 2020 and then dropping in 2021. However, it gradually recovered and reached approximately 670 in 2022. In general, LGEN.L and Aviva PLC tend to see more steady direction compared with the lower degree of fluctuation seen with </w:t>
      </w:r>
      <w:r w:rsidR="32B827C7" w:rsidRPr="51EA0BF1">
        <w:rPr>
          <w:rStyle w:val="normaltextrun"/>
          <w:rFonts w:ascii="Times New Roman" w:eastAsiaTheme="majorEastAsia" w:hAnsi="Times New Roman" w:cs="Times New Roman"/>
        </w:rPr>
        <w:t xml:space="preserve">the </w:t>
      </w:r>
      <w:r w:rsidR="007D3EF6" w:rsidRPr="00FE0519">
        <w:rPr>
          <w:rStyle w:val="normaltextrun"/>
          <w:rFonts w:ascii="Times New Roman" w:eastAsiaTheme="majorEastAsia" w:hAnsi="Times New Roman" w:cs="Times New Roman"/>
          <w:iCs/>
        </w:rPr>
        <w:t>FTSE 100 index and this illustrates the diverging performance between the individual stocks and the market index.</w:t>
      </w:r>
      <w:r w:rsidR="008C73B8" w:rsidRPr="00FE0519">
        <w:rPr>
          <w:rStyle w:val="normaltextrun"/>
          <w:rFonts w:ascii="Times New Roman" w:eastAsiaTheme="majorEastAsia" w:hAnsi="Times New Roman" w:cs="Times New Roman"/>
          <w:iCs/>
        </w:rPr>
        <w:t xml:space="preserve"> </w:t>
      </w:r>
      <w:sdt>
        <w:sdtPr>
          <w:tag w:val="tii-similarity-SU5URVJORVRfd3d3LmZvb2wuY28udWs="/>
          <w:id w:val="1143435406"/>
          <w:placeholder>
            <w:docPart w:val="9DD60978709C45C6BCF30BEB09E4D71E"/>
          </w:placeholder>
          <w15:appearance w15:val="hidden"/>
        </w:sdtPr>
        <w:sdtContent>
          <w:r w:rsidR="008C73B8" w:rsidRPr="00FE0519">
            <w:rPr>
              <w:rStyle w:val="normaltextrun"/>
              <w:rFonts w:ascii="Times New Roman" w:eastAsiaTheme="majorEastAsia" w:hAnsi="Times New Roman" w:cs="Times New Roman"/>
              <w:iCs/>
            </w:rPr>
            <w:t>Analysts have them both down to</w:t>
          </w:r>
        </w:sdtContent>
      </w:sdt>
      <w:r w:rsidR="3A03DBC2" w:rsidRPr="77AD8B01">
        <w:rPr>
          <w:rStyle w:val="normaltextrun"/>
          <w:rFonts w:ascii="Times New Roman" w:eastAsiaTheme="majorEastAsia" w:hAnsi="Times New Roman" w:cs="Times New Roman"/>
        </w:rPr>
        <w:t xml:space="preserve"> </w:t>
      </w:r>
      <w:sdt>
        <w:sdtPr>
          <w:tag w:val="tii-similarity-SU5URVJORVRfd3d3LmZvb2wuY28udWs="/>
          <w:id w:val="1821633036"/>
          <w:placeholder>
            <w:docPart w:val="9DD60978709C45C6BCF30BEB09E4D71E"/>
          </w:placeholder>
          <w15:appearance w15:val="hidden"/>
        </w:sdtPr>
        <w:sdtContent>
          <w:r w:rsidR="008C73B8" w:rsidRPr="00FE0519">
            <w:rPr>
              <w:rStyle w:val="normaltextrun"/>
              <w:rFonts w:ascii="Times New Roman" w:eastAsiaTheme="majorEastAsia" w:hAnsi="Times New Roman" w:cs="Times New Roman"/>
              <w:iCs/>
            </w:rPr>
            <w:t>grow their earnings per share by more than 20% by the end of 2025. And they expect</w:t>
          </w:r>
        </w:sdtContent>
      </w:sdt>
      <w:r w:rsidR="3A03DBC2" w:rsidRPr="77AD8B01">
        <w:rPr>
          <w:rStyle w:val="normaltextrun"/>
          <w:rFonts w:ascii="Times New Roman" w:eastAsiaTheme="majorEastAsia" w:hAnsi="Times New Roman" w:cs="Times New Roman"/>
        </w:rPr>
        <w:t xml:space="preserve"> </w:t>
      </w:r>
      <w:sdt>
        <w:sdtPr>
          <w:tag w:val="tii-similarity-SU5URVJORVRfd3d3LmZvb2wuY28udWs="/>
          <w:id w:val="200922904"/>
          <w:placeholder>
            <w:docPart w:val="9DD60978709C45C6BCF30BEB09E4D71E"/>
          </w:placeholder>
          <w15:appearance w15:val="hidden"/>
        </w:sdtPr>
        <w:sdtContent>
          <w:r w:rsidR="008C73B8" w:rsidRPr="00FE0519">
            <w:rPr>
              <w:rStyle w:val="normaltextrun"/>
              <w:rFonts w:ascii="Times New Roman" w:eastAsiaTheme="majorEastAsia" w:hAnsi="Times New Roman" w:cs="Times New Roman"/>
              <w:iCs/>
            </w:rPr>
            <w:t>similar dividend rises of around 10</w:t>
          </w:r>
        </w:sdtContent>
      </w:sdt>
      <w:r w:rsidR="008C73B8" w:rsidRPr="00FE0519">
        <w:rPr>
          <w:rStyle w:val="normaltextrun"/>
          <w:rFonts w:ascii="Times New Roman" w:eastAsiaTheme="majorEastAsia" w:hAnsi="Times New Roman" w:cs="Times New Roman"/>
          <w:iCs/>
        </w:rPr>
        <w:t xml:space="preserve">% </w:t>
      </w:r>
      <w:r w:rsidR="0033048E" w:rsidRPr="00FE0519">
        <w:rPr>
          <w:rStyle w:val="normaltextrun"/>
          <w:rFonts w:ascii="Times New Roman" w:eastAsiaTheme="majorEastAsia" w:hAnsi="Times New Roman" w:cs="Times New Roman"/>
          <w:iCs/>
        </w:rPr>
        <w:t>at</w:t>
      </w:r>
      <w:r w:rsidR="008C73B8" w:rsidRPr="00FE0519">
        <w:rPr>
          <w:rStyle w:val="normaltextrun"/>
          <w:rFonts w:ascii="Times New Roman" w:eastAsiaTheme="majorEastAsia" w:hAnsi="Times New Roman" w:cs="Times New Roman"/>
          <w:iCs/>
        </w:rPr>
        <w:t xml:space="preserve"> the same time</w:t>
      </w:r>
      <w:r w:rsidR="00855354" w:rsidRPr="00FE0519">
        <w:t xml:space="preserve"> </w:t>
      </w:r>
      <w:r w:rsidR="00855354" w:rsidRPr="00FE0519">
        <w:rPr>
          <w:rStyle w:val="normaltextrun"/>
          <w:rFonts w:ascii="Times New Roman" w:eastAsiaTheme="majorEastAsia" w:hAnsi="Times New Roman" w:cs="Times New Roman"/>
          <w:iCs/>
        </w:rPr>
        <w:t>(</w:t>
      </w:r>
      <w:proofErr w:type="spellStart"/>
      <w:r w:rsidR="00855354" w:rsidRPr="00FE0519">
        <w:rPr>
          <w:rStyle w:val="normaltextrun"/>
          <w:rFonts w:ascii="Times New Roman" w:eastAsiaTheme="majorEastAsia" w:hAnsi="Times New Roman" w:cs="Times New Roman"/>
          <w:iCs/>
        </w:rPr>
        <w:t>Oscroft</w:t>
      </w:r>
      <w:proofErr w:type="spellEnd"/>
      <w:r w:rsidR="00855354" w:rsidRPr="00FE0519">
        <w:rPr>
          <w:rStyle w:val="normaltextrun"/>
          <w:rFonts w:ascii="Times New Roman" w:eastAsiaTheme="majorEastAsia" w:hAnsi="Times New Roman" w:cs="Times New Roman"/>
          <w:iCs/>
        </w:rPr>
        <w:t>, 2023).</w:t>
      </w:r>
    </w:p>
    <w:p w14:paraId="63467093" w14:textId="44D6F1CE" w:rsidR="000B05AA" w:rsidRPr="0033048E" w:rsidRDefault="000B05AA" w:rsidP="00855354">
      <w:pPr>
        <w:spacing w:line="360" w:lineRule="auto"/>
        <w:jc w:val="both"/>
        <w:rPr>
          <w:rFonts w:ascii="Times New Roman" w:hAnsi="Times New Roman" w:cs="Times New Roman"/>
          <w:b/>
          <w:u w:val="single"/>
        </w:rPr>
      </w:pPr>
      <w:r w:rsidRPr="0033048E">
        <w:rPr>
          <w:rFonts w:ascii="Times New Roman" w:hAnsi="Times New Roman" w:cs="Times New Roman"/>
          <w:b/>
          <w:u w:val="single"/>
        </w:rPr>
        <w:t>Stock Return</w:t>
      </w:r>
    </w:p>
    <w:p w14:paraId="3EF18D17" w14:textId="77777777" w:rsidR="008C73B8" w:rsidRPr="0033048E" w:rsidRDefault="000E08F9" w:rsidP="006F49D0">
      <w:pPr>
        <w:pStyle w:val="ListParagraph"/>
        <w:numPr>
          <w:ilvl w:val="0"/>
          <w:numId w:val="1"/>
        </w:numPr>
        <w:spacing w:line="360" w:lineRule="auto"/>
        <w:rPr>
          <w:rFonts w:ascii="Times New Roman" w:hAnsi="Times New Roman" w:cs="Times New Roman"/>
          <w:b/>
        </w:rPr>
      </w:pPr>
      <w:r w:rsidRPr="0033048E">
        <w:rPr>
          <w:rFonts w:ascii="Times New Roman" w:hAnsi="Times New Roman" w:cs="Times New Roman"/>
          <w:b/>
        </w:rPr>
        <w:t xml:space="preserve">Histogram and </w:t>
      </w:r>
      <w:r w:rsidR="00FF3749" w:rsidRPr="0033048E">
        <w:rPr>
          <w:rFonts w:ascii="Times New Roman" w:hAnsi="Times New Roman" w:cs="Times New Roman"/>
          <w:b/>
        </w:rPr>
        <w:t>Box Plot</w:t>
      </w:r>
    </w:p>
    <w:p w14:paraId="6FC7DBE0" w14:textId="2608E979" w:rsidR="006F49D0" w:rsidRPr="00FE0519" w:rsidRDefault="00F277DA" w:rsidP="00FE0519">
      <w:pPr>
        <w:pStyle w:val="ListParagraph"/>
        <w:spacing w:line="240" w:lineRule="auto"/>
        <w:rPr>
          <w:rFonts w:ascii="Times New Roman" w:hAnsi="Times New Roman" w:cs="Times New Roman"/>
          <w:b/>
        </w:rPr>
      </w:pPr>
      <w:sdt>
        <w:sdtPr>
          <w:tag w:val="tii-similarity-U1VCTUlUVEVEX1dPUktfb2lkOjI6NjU5MzY3NjM5"/>
          <w:id w:val="1518859908"/>
          <w:placeholder>
            <w:docPart w:val="9DD60978709C45C6BCF30BEB09E4D71E"/>
          </w:placeholder>
          <w15:appearance w15:val="hidden"/>
        </w:sdtPr>
        <w:sdtContent>
          <w:r w:rsidR="006F49D0" w:rsidRPr="00FE0519">
            <w:rPr>
              <w:rFonts w:ascii="Times New Roman" w:hAnsi="Times New Roman" w:cs="Times New Roman"/>
            </w:rPr>
            <w:t>Comparing the</w:t>
          </w:r>
        </w:sdtContent>
      </w:sdt>
      <w:r w:rsidR="006F49D0" w:rsidRPr="00FE0519">
        <w:rPr>
          <w:rFonts w:ascii="Times New Roman" w:hAnsi="Times New Roman" w:cs="Times New Roman"/>
        </w:rPr>
        <w:t xml:space="preserve"> stock returns of Legal &amp; General Group PLC (LGEN.L), Aviva PLC, and the FTSE 100 index.</w:t>
      </w:r>
    </w:p>
    <w:p w14:paraId="614B2359" w14:textId="4B25D5B5" w:rsidR="006F49D0" w:rsidRDefault="00DA4F39" w:rsidP="008C73B8">
      <w:pPr>
        <w:spacing w:line="360" w:lineRule="auto"/>
        <w:jc w:val="center"/>
        <w:rPr>
          <w:rFonts w:ascii="Times New Roman" w:hAnsi="Times New Roman" w:cs="Times New Roman"/>
          <w:sz w:val="24"/>
        </w:rPr>
      </w:pPr>
      <w:r>
        <w:rPr>
          <w:noProof/>
        </w:rPr>
        <w:lastRenderedPageBreak/>
        <w:drawing>
          <wp:inline distT="0" distB="0" distL="0" distR="0" wp14:anchorId="5F7D79CB" wp14:editId="32A4B34D">
            <wp:extent cx="2755083" cy="20485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934" cy="2061039"/>
                    </a:xfrm>
                    <a:prstGeom prst="rect">
                      <a:avLst/>
                    </a:prstGeom>
                  </pic:spPr>
                </pic:pic>
              </a:graphicData>
            </a:graphic>
          </wp:inline>
        </w:drawing>
      </w:r>
      <w:r w:rsidR="008C73B8">
        <w:rPr>
          <w:noProof/>
        </w:rPr>
        <w:drawing>
          <wp:inline distT="0" distB="0" distL="0" distR="0" wp14:anchorId="05845401" wp14:editId="2932859D">
            <wp:extent cx="2998237" cy="2018270"/>
            <wp:effectExtent l="0" t="0" r="0" b="1270"/>
            <wp:docPr id="11" name="Picture 1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lines&#10;&#10;Description automatically generated with medium confidence"/>
                    <pic:cNvPicPr/>
                  </pic:nvPicPr>
                  <pic:blipFill>
                    <a:blip r:embed="rId12"/>
                    <a:stretch>
                      <a:fillRect/>
                    </a:stretch>
                  </pic:blipFill>
                  <pic:spPr>
                    <a:xfrm>
                      <a:off x="0" y="0"/>
                      <a:ext cx="3056319" cy="2057368"/>
                    </a:xfrm>
                    <a:prstGeom prst="rect">
                      <a:avLst/>
                    </a:prstGeom>
                  </pic:spPr>
                </pic:pic>
              </a:graphicData>
            </a:graphic>
          </wp:inline>
        </w:drawing>
      </w:r>
    </w:p>
    <w:p w14:paraId="35C448B5" w14:textId="24374231" w:rsidR="000F450C" w:rsidRPr="000F450C" w:rsidRDefault="000F450C" w:rsidP="000F450C">
      <w:pPr>
        <w:pStyle w:val="Caption"/>
        <w:jc w:val="center"/>
        <w:rPr>
          <w:rFonts w:ascii="Times New Roman" w:hAnsi="Times New Roman" w:cs="Times New Roman"/>
          <w:sz w:val="22"/>
          <w:szCs w:val="22"/>
        </w:rPr>
      </w:pPr>
      <w:bookmarkStart w:id="10" w:name="_Toc161313615"/>
      <w:bookmarkStart w:id="11" w:name="_Toc161314063"/>
      <w:r w:rsidRPr="000F450C">
        <w:rPr>
          <w:rFonts w:ascii="Times New Roman" w:hAnsi="Times New Roman" w:cs="Times New Roman"/>
          <w:sz w:val="22"/>
          <w:szCs w:val="22"/>
        </w:rPr>
        <w:t xml:space="preserve">Figure </w:t>
      </w:r>
      <w:r w:rsidRPr="000F450C">
        <w:rPr>
          <w:rFonts w:ascii="Times New Roman" w:hAnsi="Times New Roman" w:cs="Times New Roman"/>
          <w:sz w:val="22"/>
          <w:szCs w:val="22"/>
        </w:rPr>
        <w:fldChar w:fldCharType="begin"/>
      </w:r>
      <w:r w:rsidRPr="000F450C">
        <w:rPr>
          <w:rFonts w:ascii="Times New Roman" w:hAnsi="Times New Roman" w:cs="Times New Roman"/>
          <w:sz w:val="22"/>
          <w:szCs w:val="22"/>
        </w:rPr>
        <w:instrText xml:space="preserve"> SEQ Figure \* ARABIC </w:instrText>
      </w:r>
      <w:r w:rsidRPr="000F450C">
        <w:rPr>
          <w:rFonts w:ascii="Times New Roman" w:hAnsi="Times New Roman" w:cs="Times New Roman"/>
          <w:sz w:val="22"/>
          <w:szCs w:val="22"/>
        </w:rPr>
        <w:fldChar w:fldCharType="separate"/>
      </w:r>
      <w:r w:rsidR="00D269E3">
        <w:rPr>
          <w:rFonts w:ascii="Times New Roman" w:hAnsi="Times New Roman" w:cs="Times New Roman"/>
          <w:noProof/>
          <w:sz w:val="22"/>
          <w:szCs w:val="22"/>
        </w:rPr>
        <w:t>3</w:t>
      </w:r>
      <w:r w:rsidRPr="000F450C">
        <w:rPr>
          <w:rFonts w:ascii="Times New Roman" w:hAnsi="Times New Roman" w:cs="Times New Roman"/>
          <w:sz w:val="22"/>
          <w:szCs w:val="22"/>
        </w:rPr>
        <w:fldChar w:fldCharType="end"/>
      </w:r>
      <w:r w:rsidRPr="000F450C">
        <w:rPr>
          <w:rFonts w:ascii="Times New Roman" w:hAnsi="Times New Roman" w:cs="Times New Roman"/>
          <w:sz w:val="22"/>
          <w:szCs w:val="22"/>
        </w:rPr>
        <w:t xml:space="preserve"> Comparing Daily Returns (Histogram and Boxplot)</w:t>
      </w:r>
      <w:bookmarkEnd w:id="10"/>
      <w:bookmarkEnd w:id="11"/>
    </w:p>
    <w:p w14:paraId="7A84942D" w14:textId="36A22BE9" w:rsidR="001566ED" w:rsidRPr="000F450C" w:rsidRDefault="00233D5A" w:rsidP="000F450C">
      <w:pPr>
        <w:pStyle w:val="Caption"/>
        <w:rPr>
          <w:rFonts w:ascii="Times New Roman" w:hAnsi="Times New Roman" w:cs="Times New Roman"/>
          <w:i w:val="0"/>
          <w:iCs w:val="0"/>
          <w:color w:val="auto"/>
          <w:sz w:val="22"/>
          <w:szCs w:val="22"/>
        </w:rPr>
      </w:pPr>
      <w:r w:rsidRPr="000F450C">
        <w:rPr>
          <w:rFonts w:ascii="Times New Roman" w:hAnsi="Times New Roman" w:cs="Times New Roman"/>
          <w:i w:val="0"/>
          <w:iCs w:val="0"/>
          <w:color w:val="auto"/>
          <w:sz w:val="22"/>
          <w:szCs w:val="22"/>
        </w:rPr>
        <w:t xml:space="preserve">The figure (Figure </w:t>
      </w:r>
      <w:r w:rsidR="008C73B8" w:rsidRPr="000F450C">
        <w:rPr>
          <w:rFonts w:ascii="Times New Roman" w:hAnsi="Times New Roman" w:cs="Times New Roman"/>
          <w:i w:val="0"/>
          <w:iCs w:val="0"/>
          <w:color w:val="auto"/>
          <w:sz w:val="22"/>
          <w:szCs w:val="22"/>
        </w:rPr>
        <w:t>3</w:t>
      </w:r>
      <w:r w:rsidRPr="000F450C">
        <w:rPr>
          <w:rFonts w:ascii="Times New Roman" w:hAnsi="Times New Roman" w:cs="Times New Roman"/>
          <w:i w:val="0"/>
          <w:iCs w:val="0"/>
          <w:color w:val="auto"/>
          <w:sz w:val="22"/>
          <w:szCs w:val="22"/>
        </w:rPr>
        <w:t xml:space="preserve">) provides a histogram for </w:t>
      </w:r>
      <w:r w:rsidR="0CD263EB" w:rsidRPr="51EA0BF1">
        <w:rPr>
          <w:rFonts w:ascii="Times New Roman" w:hAnsi="Times New Roman" w:cs="Times New Roman"/>
          <w:i w:val="0"/>
          <w:iCs w:val="0"/>
          <w:color w:val="auto"/>
          <w:sz w:val="22"/>
          <w:szCs w:val="22"/>
        </w:rPr>
        <w:t xml:space="preserve">the </w:t>
      </w:r>
      <w:r w:rsidRPr="000F450C">
        <w:rPr>
          <w:rFonts w:ascii="Times New Roman" w:hAnsi="Times New Roman" w:cs="Times New Roman"/>
          <w:i w:val="0"/>
          <w:iCs w:val="0"/>
          <w:color w:val="auto"/>
          <w:sz w:val="22"/>
          <w:szCs w:val="22"/>
        </w:rPr>
        <w:t xml:space="preserve">company LGEN.L (Legal &amp; General </w:t>
      </w:r>
      <w:sdt>
        <w:sdtPr>
          <w:tag w:val="tii-similarity-U1VCTUlUVEVEX1dPUktfb2lkOjI6NzM2NTExNTU3"/>
          <w:id w:val="1428467413"/>
          <w:placeholder>
            <w:docPart w:val="9DD60978709C45C6BCF30BEB09E4D71E"/>
          </w:placeholder>
          <w15:appearance w15:val="hidden"/>
        </w:sdtPr>
        <w:sdtContent>
          <w:r w:rsidRPr="000F450C">
            <w:rPr>
              <w:rFonts w:ascii="Times New Roman" w:hAnsi="Times New Roman" w:cs="Times New Roman"/>
              <w:i w:val="0"/>
              <w:iCs w:val="0"/>
              <w:color w:val="auto"/>
              <w:sz w:val="22"/>
              <w:szCs w:val="22"/>
            </w:rPr>
            <w:t>Group plc) and Aviva PLC</w:t>
          </w:r>
        </w:sdtContent>
      </w:sdt>
      <w:r w:rsidRPr="000F450C">
        <w:rPr>
          <w:rFonts w:ascii="Times New Roman" w:hAnsi="Times New Roman" w:cs="Times New Roman"/>
          <w:i w:val="0"/>
          <w:iCs w:val="0"/>
          <w:color w:val="auto"/>
          <w:sz w:val="22"/>
          <w:szCs w:val="22"/>
        </w:rPr>
        <w:t xml:space="preserve"> as well as the FTSE 100 index, allowing </w:t>
      </w:r>
      <w:r w:rsidR="0CD263EB" w:rsidRPr="51EA0BF1">
        <w:rPr>
          <w:rFonts w:ascii="Times New Roman" w:hAnsi="Times New Roman" w:cs="Times New Roman"/>
          <w:i w:val="0"/>
          <w:iCs w:val="0"/>
          <w:color w:val="auto"/>
          <w:sz w:val="22"/>
          <w:szCs w:val="22"/>
        </w:rPr>
        <w:t>us</w:t>
      </w:r>
      <w:r w:rsidR="69804DE3" w:rsidRPr="51EA0BF1">
        <w:rPr>
          <w:rFonts w:ascii="Times New Roman" w:hAnsi="Times New Roman" w:cs="Times New Roman"/>
          <w:i w:val="0"/>
          <w:iCs w:val="0"/>
          <w:color w:val="auto"/>
          <w:sz w:val="22"/>
          <w:szCs w:val="22"/>
        </w:rPr>
        <w:t xml:space="preserve"> </w:t>
      </w:r>
      <w:r w:rsidRPr="000F450C">
        <w:rPr>
          <w:rFonts w:ascii="Times New Roman" w:hAnsi="Times New Roman" w:cs="Times New Roman"/>
          <w:i w:val="0"/>
          <w:iCs w:val="0"/>
          <w:color w:val="auto"/>
          <w:sz w:val="22"/>
          <w:szCs w:val="22"/>
        </w:rPr>
        <w:t xml:space="preserve">to deduct returns within different intervals. As is visible on the histogram for Aviva, the distribution is concentrated around </w:t>
      </w:r>
      <w:r w:rsidR="50A27079" w:rsidRPr="76856151">
        <w:rPr>
          <w:rFonts w:ascii="Times New Roman" w:hAnsi="Times New Roman" w:cs="Times New Roman"/>
          <w:i w:val="0"/>
          <w:iCs w:val="0"/>
          <w:color w:val="auto"/>
          <w:sz w:val="22"/>
          <w:szCs w:val="22"/>
        </w:rPr>
        <w:t>implying</w:t>
      </w:r>
      <w:r w:rsidRPr="000F450C">
        <w:rPr>
          <w:rFonts w:ascii="Times New Roman" w:hAnsi="Times New Roman" w:cs="Times New Roman"/>
          <w:i w:val="0"/>
          <w:iCs w:val="0"/>
          <w:color w:val="auto"/>
          <w:sz w:val="22"/>
          <w:szCs w:val="22"/>
        </w:rPr>
        <w:t xml:space="preserve"> stable returns, while the L&amp;G ends have a wider spread and are different, meaning that the daily returns vary more. As is apparent from the FTSE 100 histogram, this distribution is symmetric which means that it is balanced and controlled. Positive and negative return curves appear in the peaks and tails of histograms, respectively, which is critical when it comes to evaluating market patterns and determining an investor's risk attribution. Moreover, as illustrated in the box plot (Figure </w:t>
      </w:r>
      <w:r w:rsidR="002D75AF">
        <w:rPr>
          <w:rFonts w:ascii="Times New Roman" w:hAnsi="Times New Roman" w:cs="Times New Roman"/>
          <w:i w:val="0"/>
          <w:iCs w:val="0"/>
          <w:color w:val="auto"/>
          <w:sz w:val="22"/>
          <w:szCs w:val="22"/>
        </w:rPr>
        <w:t>3)</w:t>
      </w:r>
      <w:r w:rsidRPr="000F450C">
        <w:rPr>
          <w:rFonts w:ascii="Times New Roman" w:hAnsi="Times New Roman" w:cs="Times New Roman"/>
          <w:i w:val="0"/>
          <w:iCs w:val="0"/>
          <w:color w:val="auto"/>
          <w:sz w:val="22"/>
          <w:szCs w:val="22"/>
        </w:rPr>
        <w:t>, daily stock returns are also visually represented, where Aviva demonstrates a smaller interquartile range (IQR) than LGEN.L or FTSE 100, suggesting consistent daily performance. It is</w:t>
      </w:r>
      <w:r w:rsidRPr="000F450C">
        <w:rPr>
          <w:rFonts w:ascii="Times New Roman" w:hAnsi="Times New Roman" w:cs="Times New Roman"/>
          <w:i w:val="0"/>
          <w:iCs w:val="0"/>
          <w:color w:val="auto"/>
          <w:sz w:val="22"/>
          <w:szCs w:val="22"/>
        </w:rPr>
        <w:t xml:space="preserve"> </w:t>
      </w:r>
      <w:r w:rsidRPr="000F450C">
        <w:rPr>
          <w:rFonts w:ascii="Times New Roman" w:hAnsi="Times New Roman" w:cs="Times New Roman"/>
          <w:i w:val="0"/>
          <w:iCs w:val="0"/>
          <w:color w:val="auto"/>
          <w:sz w:val="22"/>
          <w:szCs w:val="22"/>
        </w:rPr>
        <w:t xml:space="preserve">the broader spread of L&amp;G stock that is a point in </w:t>
      </w:r>
      <w:r w:rsidR="00A440F0" w:rsidRPr="000F450C">
        <w:rPr>
          <w:rFonts w:ascii="Times New Roman" w:hAnsi="Times New Roman" w:cs="Times New Roman"/>
          <w:i w:val="0"/>
          <w:iCs w:val="0"/>
          <w:color w:val="auto"/>
          <w:sz w:val="22"/>
          <w:szCs w:val="22"/>
        </w:rPr>
        <w:t>favor</w:t>
      </w:r>
      <w:r w:rsidRPr="000F450C">
        <w:rPr>
          <w:rFonts w:ascii="Times New Roman" w:hAnsi="Times New Roman" w:cs="Times New Roman"/>
          <w:i w:val="0"/>
          <w:iCs w:val="0"/>
          <w:color w:val="auto"/>
          <w:sz w:val="22"/>
          <w:szCs w:val="22"/>
        </w:rPr>
        <w:t xml:space="preserve"> of the higher volatility. The distribution of FTSE 100 stock shows a symmetric distribution suggesting the market-wide pattern. In general, these pictures depict concise information about the volatility that depends on the dispersion of returns, as well as the risk-reward trade-off, all of whic</w:t>
      </w:r>
      <w:r w:rsidR="00565E95" w:rsidRPr="000F450C">
        <w:rPr>
          <w:rFonts w:ascii="Times New Roman" w:hAnsi="Times New Roman" w:cs="Times New Roman"/>
          <w:i w:val="0"/>
          <w:iCs w:val="0"/>
          <w:color w:val="auto"/>
          <w:sz w:val="22"/>
          <w:szCs w:val="22"/>
        </w:rPr>
        <w:t>h help investors make decisions</w:t>
      </w:r>
      <w:r w:rsidR="001566ED" w:rsidRPr="000F450C">
        <w:rPr>
          <w:rFonts w:ascii="Times New Roman" w:hAnsi="Times New Roman" w:cs="Times New Roman"/>
          <w:i w:val="0"/>
          <w:iCs w:val="0"/>
          <w:color w:val="auto"/>
          <w:sz w:val="22"/>
          <w:szCs w:val="22"/>
        </w:rPr>
        <w:t>.</w:t>
      </w:r>
    </w:p>
    <w:p w14:paraId="4B35798F" w14:textId="287E3A44" w:rsidR="00251835" w:rsidRPr="0051211A" w:rsidRDefault="00F277DA" w:rsidP="00251835">
      <w:pPr>
        <w:pStyle w:val="ListParagraph"/>
        <w:numPr>
          <w:ilvl w:val="0"/>
          <w:numId w:val="1"/>
        </w:numPr>
        <w:spacing w:line="360" w:lineRule="auto"/>
        <w:jc w:val="both"/>
        <w:rPr>
          <w:rFonts w:ascii="Times New Roman" w:hAnsi="Times New Roman" w:cs="Times New Roman"/>
          <w:b/>
        </w:rPr>
      </w:pPr>
      <w:sdt>
        <w:sdtPr>
          <w:tag w:val="tii-similarity-U1VCTUlUVEVEX1dPUktfb2lkOjI6NzAyNjk2NzQ5"/>
          <w:id w:val="385384260"/>
          <w:placeholder>
            <w:docPart w:val="9DD60978709C45C6BCF30BEB09E4D71E"/>
          </w:placeholder>
          <w15:appearance w15:val="hidden"/>
        </w:sdtPr>
        <w:sdtContent>
          <w:r w:rsidR="00251835" w:rsidRPr="0051211A">
            <w:rPr>
              <w:rFonts w:ascii="Times New Roman" w:hAnsi="Times New Roman" w:cs="Times New Roman"/>
              <w:b/>
            </w:rPr>
            <w:t xml:space="preserve">Using empirical principles, </w:t>
          </w:r>
          <w:proofErr w:type="spellStart"/>
          <w:r w:rsidR="44B0DD01" w:rsidRPr="01780FDD">
            <w:rPr>
              <w:rFonts w:ascii="Times New Roman" w:hAnsi="Times New Roman" w:cs="Times New Roman"/>
              <w:b/>
              <w:bCs/>
            </w:rPr>
            <w:t>Analyse</w:t>
          </w:r>
          <w:proofErr w:type="spellEnd"/>
          <w:r w:rsidR="00251835" w:rsidRPr="0051211A">
            <w:rPr>
              <w:rFonts w:ascii="Times New Roman" w:hAnsi="Times New Roman" w:cs="Times New Roman"/>
              <w:b/>
            </w:rPr>
            <w:t xml:space="preserve"> the return of</w:t>
          </w:r>
        </w:sdtContent>
      </w:sdt>
      <w:r w:rsidR="00251835" w:rsidRPr="0051211A">
        <w:rPr>
          <w:rFonts w:ascii="Times New Roman" w:hAnsi="Times New Roman" w:cs="Times New Roman"/>
          <w:b/>
        </w:rPr>
        <w:t xml:space="preserve"> </w:t>
      </w:r>
      <w:r w:rsidR="001772C4" w:rsidRPr="0051211A">
        <w:rPr>
          <w:rFonts w:ascii="Times New Roman" w:hAnsi="Times New Roman" w:cs="Times New Roman"/>
          <w:b/>
        </w:rPr>
        <w:t>LGEN.L</w:t>
      </w:r>
    </w:p>
    <w:p w14:paraId="5D853C7D" w14:textId="789F6874" w:rsidR="00E8385F" w:rsidRPr="00FE0519" w:rsidRDefault="00E8385F" w:rsidP="00FE0519">
      <w:pPr>
        <w:spacing w:line="240" w:lineRule="auto"/>
        <w:jc w:val="both"/>
        <w:rPr>
          <w:rFonts w:ascii="Times New Roman" w:hAnsi="Times New Roman" w:cs="Times New Roman"/>
        </w:rPr>
      </w:pPr>
      <w:r w:rsidRPr="00FE0519">
        <w:rPr>
          <w:rFonts w:ascii="Times New Roman" w:hAnsi="Times New Roman" w:cs="Times New Roman"/>
        </w:rPr>
        <w:t xml:space="preserve">The time series analysis of this kind is </w:t>
      </w:r>
      <w:r w:rsidR="297366D4" w:rsidRPr="094030AD">
        <w:rPr>
          <w:rFonts w:ascii="Times New Roman" w:hAnsi="Times New Roman" w:cs="Times New Roman"/>
        </w:rPr>
        <w:t>highly</w:t>
      </w:r>
      <w:r w:rsidRPr="00FE0519">
        <w:rPr>
          <w:rFonts w:ascii="Times New Roman" w:hAnsi="Times New Roman" w:cs="Times New Roman"/>
        </w:rPr>
        <w:t xml:space="preserve"> informative and helps to compare performance of LGEN.L, Aviva PLC, and the FTSE 100, allowing to understand the stock behavior history in more detail and to find implications for investment strategies.</w:t>
      </w:r>
    </w:p>
    <w:p w14:paraId="5B6E6392" w14:textId="77777777" w:rsidR="00DC35AA" w:rsidRDefault="00DC35AA" w:rsidP="00DC35AA">
      <w:pPr>
        <w:spacing w:line="360" w:lineRule="auto"/>
        <w:jc w:val="both"/>
        <w:rPr>
          <w:rFonts w:ascii="Times New Roman" w:hAnsi="Times New Roman" w:cs="Times New Roman"/>
          <w:b/>
          <w:sz w:val="24"/>
        </w:rPr>
      </w:pPr>
    </w:p>
    <w:p w14:paraId="34EEC1EA" w14:textId="77777777" w:rsidR="00DC35AA" w:rsidRDefault="00DC35AA" w:rsidP="004C3873">
      <w:pPr>
        <w:spacing w:line="360" w:lineRule="auto"/>
        <w:jc w:val="center"/>
        <w:rPr>
          <w:rFonts w:ascii="Times New Roman" w:hAnsi="Times New Roman" w:cs="Times New Roman"/>
          <w:sz w:val="24"/>
        </w:rPr>
      </w:pPr>
      <w:r>
        <w:rPr>
          <w:noProof/>
        </w:rPr>
        <w:lastRenderedPageBreak/>
        <w:drawing>
          <wp:inline distT="0" distB="0" distL="0" distR="0" wp14:anchorId="6DB43440" wp14:editId="35457A8E">
            <wp:extent cx="4648200" cy="288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3901" cy="2886811"/>
                    </a:xfrm>
                    <a:prstGeom prst="rect">
                      <a:avLst/>
                    </a:prstGeom>
                  </pic:spPr>
                </pic:pic>
              </a:graphicData>
            </a:graphic>
          </wp:inline>
        </w:drawing>
      </w:r>
    </w:p>
    <w:p w14:paraId="47F38CC3" w14:textId="6E6650C0" w:rsidR="007F4889" w:rsidRPr="007F4889" w:rsidRDefault="007F4889" w:rsidP="007F4889">
      <w:pPr>
        <w:pStyle w:val="Caption"/>
        <w:jc w:val="center"/>
        <w:rPr>
          <w:rFonts w:ascii="Times New Roman" w:hAnsi="Times New Roman" w:cs="Times New Roman"/>
          <w:sz w:val="22"/>
          <w:szCs w:val="22"/>
        </w:rPr>
      </w:pPr>
      <w:bookmarkStart w:id="12" w:name="_Toc161314064"/>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4</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Comparing Daily Returns of LGEN.L</w:t>
      </w:r>
      <w:bookmarkEnd w:id="12"/>
    </w:p>
    <w:p w14:paraId="694CD822" w14:textId="767E2C66" w:rsidR="00D567C0" w:rsidRPr="00FE0519" w:rsidRDefault="00D567C0" w:rsidP="00FE0519">
      <w:pPr>
        <w:spacing w:line="240" w:lineRule="auto"/>
        <w:jc w:val="both"/>
        <w:rPr>
          <w:rFonts w:ascii="Times New Roman" w:hAnsi="Times New Roman" w:cs="Times New Roman"/>
          <w:highlight w:val="yellow"/>
        </w:rPr>
      </w:pPr>
      <w:r w:rsidRPr="00FE0519">
        <w:rPr>
          <w:rFonts w:ascii="Times New Roman" w:hAnsi="Times New Roman" w:cs="Times New Roman"/>
        </w:rPr>
        <w:t xml:space="preserve">The comparison, in terms </w:t>
      </w:r>
      <w:sdt>
        <w:sdtPr>
          <w:tag w:val="tii-similarity-U1VCTUlUVEVEX1dPUktfb2lkOjI6NjY3MjUzMTAz"/>
          <w:id w:val="1519724913"/>
          <w:placeholder>
            <w:docPart w:val="9DD60978709C45C6BCF30BEB09E4D71E"/>
          </w:placeholder>
          <w15:appearance w15:val="hidden"/>
        </w:sdtPr>
        <w:sdtContent>
          <w:r w:rsidRPr="00FE0519">
            <w:rPr>
              <w:rFonts w:ascii="Times New Roman" w:hAnsi="Times New Roman" w:cs="Times New Roman"/>
            </w:rPr>
            <w:t>of the daily</w:t>
          </w:r>
        </w:sdtContent>
      </w:sdt>
      <w:r w:rsidRPr="00FE0519">
        <w:rPr>
          <w:rFonts w:ascii="Times New Roman" w:hAnsi="Times New Roman" w:cs="Times New Roman"/>
        </w:rPr>
        <w:t xml:space="preserve"> returns of Legal &amp; General Group PLC (LGEN.L) for the years 2020, 2021, and 2022, reveals different dynamics of the stock performance. In 2020 LGEN.L had a varying performance, mostly influenced by Covid-19 pandemic related market volatility, with </w:t>
      </w:r>
      <w:r w:rsidR="264628C2" w:rsidRPr="3A079C53">
        <w:rPr>
          <w:rFonts w:ascii="Times New Roman" w:hAnsi="Times New Roman" w:cs="Times New Roman"/>
        </w:rPr>
        <w:t xml:space="preserve">an </w:t>
      </w:r>
      <w:r w:rsidRPr="00FE0519">
        <w:rPr>
          <w:rFonts w:ascii="Times New Roman" w:hAnsi="Times New Roman" w:cs="Times New Roman"/>
        </w:rPr>
        <w:t>average return approaching zero.</w:t>
      </w:r>
      <w:r w:rsidR="001B2791">
        <w:rPr>
          <w:rFonts w:ascii="Times New Roman" w:hAnsi="Times New Roman" w:cs="Times New Roman"/>
        </w:rPr>
        <w:t xml:space="preserve"> </w:t>
      </w:r>
      <w:r w:rsidR="11CF5AD0" w:rsidRPr="77704EC7">
        <w:rPr>
          <w:rFonts w:ascii="Times New Roman" w:hAnsi="Times New Roman" w:cs="Times New Roman"/>
        </w:rPr>
        <w:t>In</w:t>
      </w:r>
      <w:r w:rsidRPr="00FE0519">
        <w:rPr>
          <w:rFonts w:ascii="Times New Roman" w:hAnsi="Times New Roman" w:cs="Times New Roman"/>
        </w:rPr>
        <w:t xml:space="preserve"> 2021</w:t>
      </w:r>
      <w:r w:rsidR="11CF5AD0" w:rsidRPr="77704EC7">
        <w:rPr>
          <w:rFonts w:ascii="Times New Roman" w:hAnsi="Times New Roman" w:cs="Times New Roman"/>
        </w:rPr>
        <w:t>, it</w:t>
      </w:r>
      <w:r w:rsidRPr="00FE0519">
        <w:rPr>
          <w:rFonts w:ascii="Times New Roman" w:hAnsi="Times New Roman" w:cs="Times New Roman"/>
        </w:rPr>
        <w:t xml:space="preserve"> was on the side of better stability with </w:t>
      </w:r>
      <w:r w:rsidR="67BF6504" w:rsidRPr="7578BCFA">
        <w:rPr>
          <w:rFonts w:ascii="Times New Roman" w:hAnsi="Times New Roman" w:cs="Times New Roman"/>
        </w:rPr>
        <w:t xml:space="preserve">a </w:t>
      </w:r>
      <w:r w:rsidRPr="00FE0519">
        <w:rPr>
          <w:rFonts w:ascii="Times New Roman" w:hAnsi="Times New Roman" w:cs="Times New Roman"/>
        </w:rPr>
        <w:t xml:space="preserve">higher chance of returns being positive. It appeared as a time of recovery and adjustment. Conversely, in 2022, LGEN.L showed increased volatility once more as the returns were becoming more widely dispersed around a low mean return level, which indicates some kind of market uncertainty or changing company specific factors affecting investor perceptions. </w:t>
      </w:r>
      <w:r w:rsidR="7054586B" w:rsidRPr="3A079C53">
        <w:rPr>
          <w:rFonts w:ascii="Times New Roman" w:hAnsi="Times New Roman" w:cs="Times New Roman"/>
        </w:rPr>
        <w:t>A</w:t>
      </w:r>
      <w:r w:rsidRPr="00FE0519">
        <w:rPr>
          <w:rFonts w:ascii="Times New Roman" w:hAnsi="Times New Roman" w:cs="Times New Roman"/>
        </w:rPr>
        <w:t xml:space="preserve"> close examination of LGEN.L's daily returns gives the necessary data to understand </w:t>
      </w:r>
      <w:r w:rsidR="001B2791" w:rsidRPr="00FE0519">
        <w:rPr>
          <w:rFonts w:ascii="Times New Roman" w:hAnsi="Times New Roman" w:cs="Times New Roman"/>
        </w:rPr>
        <w:t>risk and</w:t>
      </w:r>
      <w:r w:rsidRPr="00FE0519">
        <w:rPr>
          <w:rFonts w:ascii="Times New Roman" w:hAnsi="Times New Roman" w:cs="Times New Roman"/>
        </w:rPr>
        <w:t xml:space="preserve"> expected returns over the long term.</w:t>
      </w:r>
    </w:p>
    <w:p w14:paraId="440C8863" w14:textId="36BCE498" w:rsidR="00D52D9E" w:rsidRPr="00311F6E" w:rsidRDefault="00D52D9E" w:rsidP="00B36AC4">
      <w:pPr>
        <w:pStyle w:val="ListParagraph"/>
        <w:numPr>
          <w:ilvl w:val="0"/>
          <w:numId w:val="1"/>
        </w:numPr>
        <w:spacing w:line="360" w:lineRule="auto"/>
        <w:rPr>
          <w:rFonts w:ascii="Times New Roman" w:hAnsi="Times New Roman" w:cs="Times New Roman"/>
          <w:b/>
        </w:rPr>
      </w:pPr>
      <w:r w:rsidRPr="00311F6E">
        <w:rPr>
          <w:rFonts w:ascii="Times New Roman" w:hAnsi="Times New Roman" w:cs="Times New Roman"/>
          <w:b/>
        </w:rPr>
        <w:t>Comparison of LGEN.L, Aviva PLC</w:t>
      </w:r>
      <w:r w:rsidR="0BFBC31F" w:rsidRPr="76856151">
        <w:rPr>
          <w:rFonts w:ascii="Times New Roman" w:hAnsi="Times New Roman" w:cs="Times New Roman"/>
          <w:b/>
          <w:bCs/>
        </w:rPr>
        <w:t>,</w:t>
      </w:r>
      <w:r w:rsidRPr="00311F6E">
        <w:rPr>
          <w:rFonts w:ascii="Times New Roman" w:hAnsi="Times New Roman" w:cs="Times New Roman"/>
          <w:b/>
        </w:rPr>
        <w:t xml:space="preserve"> and FTSE 100 returns</w:t>
      </w:r>
    </w:p>
    <w:p w14:paraId="2FD9175B" w14:textId="6C8AF680" w:rsidR="002B2AEA" w:rsidRPr="00FE0519" w:rsidRDefault="002B2AEA" w:rsidP="00FE0519">
      <w:pPr>
        <w:spacing w:line="240" w:lineRule="auto"/>
        <w:jc w:val="both"/>
        <w:rPr>
          <w:rFonts w:ascii="Times New Roman" w:hAnsi="Times New Roman" w:cs="Times New Roman"/>
        </w:rPr>
      </w:pPr>
      <w:r w:rsidRPr="00FE0519">
        <w:rPr>
          <w:rFonts w:ascii="Times New Roman" w:hAnsi="Times New Roman" w:cs="Times New Roman"/>
        </w:rPr>
        <w:t>When compared in terms of returns</w:t>
      </w:r>
      <w:r w:rsidR="00C22745" w:rsidRPr="00FE0519">
        <w:rPr>
          <w:rFonts w:ascii="Times New Roman" w:hAnsi="Times New Roman" w:cs="Times New Roman"/>
        </w:rPr>
        <w:t xml:space="preserve"> (Figure </w:t>
      </w:r>
      <w:r w:rsidR="002D75AF">
        <w:rPr>
          <w:rFonts w:ascii="Times New Roman" w:hAnsi="Times New Roman" w:cs="Times New Roman"/>
        </w:rPr>
        <w:t>5</w:t>
      </w:r>
      <w:r w:rsidR="00C22745" w:rsidRPr="00FE0519">
        <w:rPr>
          <w:rFonts w:ascii="Times New Roman" w:hAnsi="Times New Roman" w:cs="Times New Roman"/>
        </w:rPr>
        <w:t>)</w:t>
      </w:r>
      <w:r w:rsidRPr="00FE0519">
        <w:rPr>
          <w:rFonts w:ascii="Times New Roman" w:hAnsi="Times New Roman" w:cs="Times New Roman"/>
        </w:rPr>
        <w:t xml:space="preserve">, Legal &amp; General Group PLC (LGEN.L) and Aviva PLC demonstrate different performance characteristics </w:t>
      </w:r>
      <w:r w:rsidR="67BF6504" w:rsidRPr="7578BCFA">
        <w:rPr>
          <w:rFonts w:ascii="Times New Roman" w:hAnsi="Times New Roman" w:cs="Times New Roman"/>
        </w:rPr>
        <w:t>to</w:t>
      </w:r>
      <w:r w:rsidRPr="00FE0519">
        <w:rPr>
          <w:rFonts w:ascii="Times New Roman" w:hAnsi="Times New Roman" w:cs="Times New Roman"/>
        </w:rPr>
        <w:t xml:space="preserve"> the FTSE 100 index. </w:t>
      </w:r>
    </w:p>
    <w:p w14:paraId="3661CC49" w14:textId="77777777" w:rsidR="00C429FF" w:rsidRDefault="00C429FF" w:rsidP="004C3873">
      <w:pPr>
        <w:spacing w:line="360" w:lineRule="auto"/>
        <w:jc w:val="center"/>
        <w:rPr>
          <w:rStyle w:val="normaltextrun"/>
          <w:rFonts w:ascii="Times New Roman" w:eastAsiaTheme="majorEastAsia" w:hAnsi="Times New Roman" w:cs="Times New Roman"/>
          <w:iCs/>
          <w:sz w:val="24"/>
        </w:rPr>
      </w:pPr>
      <w:r>
        <w:rPr>
          <w:noProof/>
        </w:rPr>
        <w:lastRenderedPageBreak/>
        <w:drawing>
          <wp:inline distT="0" distB="0" distL="0" distR="0" wp14:anchorId="457B6470" wp14:editId="29C90823">
            <wp:extent cx="5086350" cy="3149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1770" cy="3152980"/>
                    </a:xfrm>
                    <a:prstGeom prst="rect">
                      <a:avLst/>
                    </a:prstGeom>
                  </pic:spPr>
                </pic:pic>
              </a:graphicData>
            </a:graphic>
          </wp:inline>
        </w:drawing>
      </w:r>
    </w:p>
    <w:p w14:paraId="4C28C674" w14:textId="0AE6218A" w:rsidR="0037499D" w:rsidRPr="00411536" w:rsidRDefault="007F4889" w:rsidP="007F4889">
      <w:pPr>
        <w:pStyle w:val="Caption"/>
        <w:jc w:val="center"/>
        <w:rPr>
          <w:rFonts w:ascii="Times New Roman" w:hAnsi="Times New Roman" w:cs="Times New Roman"/>
          <w:sz w:val="22"/>
          <w:szCs w:val="22"/>
        </w:rPr>
      </w:pPr>
      <w:bookmarkStart w:id="13" w:name="_Toc161314065"/>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5</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Comparison of LGEN.L, Aviva PLC</w:t>
      </w:r>
      <w:r w:rsidR="74B80011" w:rsidRPr="430F27FF">
        <w:rPr>
          <w:rFonts w:ascii="Times New Roman" w:hAnsi="Times New Roman" w:cs="Times New Roman"/>
          <w:sz w:val="22"/>
          <w:szCs w:val="22"/>
        </w:rPr>
        <w:t>,</w:t>
      </w:r>
      <w:r w:rsidRPr="007F4889">
        <w:rPr>
          <w:rFonts w:ascii="Times New Roman" w:hAnsi="Times New Roman" w:cs="Times New Roman"/>
          <w:sz w:val="22"/>
          <w:szCs w:val="22"/>
        </w:rPr>
        <w:t xml:space="preserve"> and FTSE 100 returns</w:t>
      </w:r>
      <w:bookmarkEnd w:id="13"/>
    </w:p>
    <w:p w14:paraId="1303C169" w14:textId="115EAEB6" w:rsidR="00EC1427" w:rsidRDefault="00254DF9" w:rsidP="00FE0519">
      <w:pPr>
        <w:spacing w:line="240" w:lineRule="auto"/>
        <w:rPr>
          <w:rFonts w:ascii="Times New Roman" w:hAnsi="Times New Roman" w:cs="Times New Roman"/>
        </w:rPr>
      </w:pPr>
      <w:r w:rsidRPr="00FE0519">
        <w:rPr>
          <w:rFonts w:ascii="Times New Roman" w:hAnsi="Times New Roman" w:cs="Times New Roman"/>
        </w:rPr>
        <w:t>Aviva has a higher average return compared to that of Legal &amp; General and the broader market</w:t>
      </w:r>
      <w:r w:rsidRPr="00FE0519">
        <w:rPr>
          <w:rFonts w:ascii="Times New Roman" w:hAnsi="Times New Roman" w:cs="Times New Roman"/>
        </w:rPr>
        <w:t xml:space="preserve"> </w:t>
      </w:r>
      <w:r w:rsidRPr="00FE0519">
        <w:rPr>
          <w:rFonts w:ascii="Times New Roman" w:hAnsi="Times New Roman" w:cs="Times New Roman"/>
        </w:rPr>
        <w:t>shows a stronger market performance. Legal &amp; General</w:t>
      </w:r>
      <w:r w:rsidR="53E4990E" w:rsidRPr="7578BCFA">
        <w:rPr>
          <w:rFonts w:ascii="Times New Roman" w:hAnsi="Times New Roman" w:cs="Times New Roman"/>
        </w:rPr>
        <w:t>,</w:t>
      </w:r>
      <w:r w:rsidRPr="00FE0519">
        <w:rPr>
          <w:rFonts w:ascii="Times New Roman" w:hAnsi="Times New Roman" w:cs="Times New Roman"/>
        </w:rPr>
        <w:t xml:space="preserve"> though showing attractive returns, seems to have registered an improvement in its relative performance against the FTSE 100 during 2021 </w:t>
      </w:r>
      <w:r w:rsidR="003C36AB" w:rsidRPr="00FE0519">
        <w:rPr>
          <w:rFonts w:ascii="Times New Roman" w:hAnsi="Times New Roman" w:cs="Times New Roman"/>
        </w:rPr>
        <w:t>Q1</w:t>
      </w:r>
      <w:r w:rsidRPr="00FE0519">
        <w:rPr>
          <w:rFonts w:ascii="Times New Roman" w:hAnsi="Times New Roman" w:cs="Times New Roman"/>
        </w:rPr>
        <w:t>. This comparative overview delivers a glimpse of the diverse return dynamics of LGEN.L, Aviva PLC, and FTSE 100, which help provide insights to investors and market observers (Welc, 2022).</w:t>
      </w:r>
    </w:p>
    <w:p w14:paraId="1014E8A9" w14:textId="60132346" w:rsidR="00EC1427" w:rsidRPr="00FE0519" w:rsidRDefault="00EC1427" w:rsidP="00EC1427">
      <w:pPr>
        <w:rPr>
          <w:rFonts w:ascii="Times New Roman" w:hAnsi="Times New Roman" w:cs="Times New Roman"/>
        </w:rPr>
      </w:pPr>
      <w:r>
        <w:rPr>
          <w:rFonts w:ascii="Times New Roman" w:hAnsi="Times New Roman" w:cs="Times New Roman"/>
        </w:rPr>
        <w:br w:type="page"/>
      </w:r>
    </w:p>
    <w:p w14:paraId="121F93AB" w14:textId="23B0FBF7" w:rsidR="009A46EB" w:rsidRPr="00BB4741" w:rsidRDefault="00BB4741" w:rsidP="00BB4741">
      <w:pPr>
        <w:pStyle w:val="Heading2"/>
        <w:rPr>
          <w:rFonts w:ascii="Times New Roman" w:hAnsi="Times New Roman" w:cs="Times New Roman"/>
          <w:sz w:val="36"/>
          <w:szCs w:val="36"/>
        </w:rPr>
      </w:pPr>
      <w:bookmarkStart w:id="14" w:name="_Toc161312192"/>
      <w:r w:rsidRPr="00BB4741">
        <w:rPr>
          <w:rFonts w:ascii="Times New Roman" w:hAnsi="Times New Roman" w:cs="Times New Roman"/>
          <w:sz w:val="36"/>
          <w:szCs w:val="36"/>
        </w:rPr>
        <w:lastRenderedPageBreak/>
        <w:t xml:space="preserve">2.2 </w:t>
      </w:r>
      <w:r w:rsidR="00147024" w:rsidRPr="00BB4741">
        <w:rPr>
          <w:rFonts w:ascii="Times New Roman" w:hAnsi="Times New Roman" w:cs="Times New Roman"/>
          <w:sz w:val="36"/>
          <w:szCs w:val="36"/>
        </w:rPr>
        <w:t>Correlation and Regression Analysis</w:t>
      </w:r>
      <w:bookmarkEnd w:id="14"/>
    </w:p>
    <w:p w14:paraId="6070B546" w14:textId="77777777" w:rsidR="00EB2192" w:rsidRPr="00BB4741" w:rsidRDefault="00EB2192" w:rsidP="00BB4741">
      <w:pPr>
        <w:pStyle w:val="Heading3"/>
        <w:spacing w:after="240"/>
        <w:rPr>
          <w:rFonts w:ascii="Times New Roman" w:hAnsi="Times New Roman" w:cs="Times New Roman"/>
          <w:sz w:val="28"/>
          <w:szCs w:val="28"/>
        </w:rPr>
      </w:pPr>
      <w:bookmarkStart w:id="15" w:name="_Toc161312193"/>
      <w:r w:rsidRPr="00BB4741">
        <w:rPr>
          <w:rFonts w:ascii="Times New Roman" w:hAnsi="Times New Roman" w:cs="Times New Roman"/>
          <w:sz w:val="28"/>
          <w:szCs w:val="28"/>
        </w:rPr>
        <w:t>2.2.1 Correlation between Stock Prices/ Returns</w:t>
      </w:r>
      <w:bookmarkEnd w:id="15"/>
    </w:p>
    <w:p w14:paraId="5EE73A6F" w14:textId="77777777" w:rsidR="00F66B5E" w:rsidRPr="00EC1427" w:rsidRDefault="00F66B5E" w:rsidP="00F66B5E">
      <w:pPr>
        <w:pStyle w:val="ListParagraph"/>
        <w:numPr>
          <w:ilvl w:val="0"/>
          <w:numId w:val="1"/>
        </w:numPr>
        <w:spacing w:line="360" w:lineRule="auto"/>
        <w:rPr>
          <w:rFonts w:ascii="Times New Roman" w:hAnsi="Times New Roman" w:cs="Times New Roman"/>
          <w:b/>
        </w:rPr>
      </w:pPr>
      <w:r w:rsidRPr="00EC1427">
        <w:rPr>
          <w:rFonts w:ascii="Times New Roman" w:hAnsi="Times New Roman" w:cs="Times New Roman"/>
          <w:b/>
        </w:rPr>
        <w:t>Stock Prices</w:t>
      </w:r>
    </w:p>
    <w:p w14:paraId="0762824C" w14:textId="20EC153A" w:rsidR="0037736A" w:rsidRPr="00FE0519" w:rsidRDefault="0037736A" w:rsidP="00FE0519">
      <w:pPr>
        <w:spacing w:line="240" w:lineRule="auto"/>
        <w:jc w:val="both"/>
        <w:rPr>
          <w:rFonts w:ascii="Times New Roman" w:hAnsi="Times New Roman" w:cs="Times New Roman"/>
        </w:rPr>
      </w:pPr>
      <w:r w:rsidRPr="00FE0519">
        <w:rPr>
          <w:rFonts w:ascii="Times New Roman" w:hAnsi="Times New Roman" w:cs="Times New Roman"/>
        </w:rPr>
        <w:t>LGEN.L, Aviva PLC</w:t>
      </w:r>
      <w:r w:rsidR="5F80E67B" w:rsidRPr="430F27FF">
        <w:rPr>
          <w:rFonts w:ascii="Times New Roman" w:hAnsi="Times New Roman" w:cs="Times New Roman"/>
        </w:rPr>
        <w:t>,</w:t>
      </w:r>
      <w:r w:rsidRPr="00FE0519">
        <w:rPr>
          <w:rFonts w:ascii="Times New Roman" w:hAnsi="Times New Roman" w:cs="Times New Roman"/>
        </w:rPr>
        <w:t xml:space="preserve"> </w:t>
      </w:r>
      <w:sdt>
        <w:sdtPr>
          <w:tag w:val="tii-similarity-U1VCTUlUVEVEX1dPUktfb2lkOjI6NzM0NTk5NTE0"/>
          <w:id w:val="336589808"/>
          <w:placeholder>
            <w:docPart w:val="9DD60978709C45C6BCF30BEB09E4D71E"/>
          </w:placeholder>
          <w15:appearance w15:val="hidden"/>
        </w:sdtPr>
        <w:sdtContent>
          <w:r w:rsidRPr="00FE0519">
            <w:rPr>
              <w:rFonts w:ascii="Times New Roman" w:hAnsi="Times New Roman" w:cs="Times New Roman"/>
            </w:rPr>
            <w:t>and FTSE 100 returns Correlation Graph</w:t>
          </w:r>
        </w:sdtContent>
      </w:sdt>
    </w:p>
    <w:p w14:paraId="692D4638" w14:textId="77777777" w:rsidR="003929FA" w:rsidRDefault="003929FA" w:rsidP="004C3873">
      <w:pPr>
        <w:spacing w:line="360" w:lineRule="auto"/>
        <w:jc w:val="center"/>
        <w:rPr>
          <w:rFonts w:ascii="Times New Roman" w:hAnsi="Times New Roman" w:cs="Times New Roman"/>
          <w:b/>
          <w:sz w:val="24"/>
        </w:rPr>
      </w:pPr>
      <w:r>
        <w:rPr>
          <w:noProof/>
        </w:rPr>
        <w:drawing>
          <wp:inline distT="0" distB="0" distL="0" distR="0" wp14:anchorId="340623E3" wp14:editId="57C81311">
            <wp:extent cx="4477391"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2113" cy="3173263"/>
                    </a:xfrm>
                    <a:prstGeom prst="rect">
                      <a:avLst/>
                    </a:prstGeom>
                  </pic:spPr>
                </pic:pic>
              </a:graphicData>
            </a:graphic>
          </wp:inline>
        </w:drawing>
      </w:r>
    </w:p>
    <w:p w14:paraId="08EBBD6C" w14:textId="77777777" w:rsidR="00E05E27" w:rsidRDefault="00E05E27" w:rsidP="003929FA">
      <w:pPr>
        <w:spacing w:line="360" w:lineRule="auto"/>
        <w:jc w:val="center"/>
        <w:rPr>
          <w:rFonts w:ascii="Times New Roman" w:hAnsi="Times New Roman" w:cs="Times New Roman"/>
          <w:sz w:val="24"/>
        </w:rPr>
      </w:pPr>
      <w:r>
        <w:rPr>
          <w:noProof/>
        </w:rPr>
        <w:drawing>
          <wp:inline distT="0" distB="0" distL="0" distR="0" wp14:anchorId="6E14BEFF" wp14:editId="0D12F66D">
            <wp:extent cx="3336325" cy="11904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1747" cy="1192376"/>
                    </a:xfrm>
                    <a:prstGeom prst="rect">
                      <a:avLst/>
                    </a:prstGeom>
                  </pic:spPr>
                </pic:pic>
              </a:graphicData>
            </a:graphic>
          </wp:inline>
        </w:drawing>
      </w:r>
    </w:p>
    <w:p w14:paraId="496A12BF" w14:textId="50322525" w:rsidR="007F4889" w:rsidRPr="007F4889" w:rsidRDefault="007F4889" w:rsidP="007F4889">
      <w:pPr>
        <w:pStyle w:val="Caption"/>
        <w:jc w:val="center"/>
        <w:rPr>
          <w:rFonts w:ascii="Times New Roman" w:hAnsi="Times New Roman" w:cs="Times New Roman"/>
          <w:sz w:val="22"/>
          <w:szCs w:val="22"/>
        </w:rPr>
      </w:pPr>
      <w:bookmarkStart w:id="16" w:name="_Toc161314066"/>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6</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Correlation of Stock PRICES of LGEN.L, Aviva PLC</w:t>
      </w:r>
      <w:r w:rsidR="285980B5" w:rsidRPr="66613E06">
        <w:rPr>
          <w:rFonts w:ascii="Times New Roman" w:hAnsi="Times New Roman" w:cs="Times New Roman"/>
          <w:sz w:val="22"/>
          <w:szCs w:val="22"/>
        </w:rPr>
        <w:t>,</w:t>
      </w:r>
      <w:r w:rsidRPr="007F4889">
        <w:rPr>
          <w:rFonts w:ascii="Times New Roman" w:hAnsi="Times New Roman" w:cs="Times New Roman"/>
          <w:sz w:val="22"/>
          <w:szCs w:val="22"/>
        </w:rPr>
        <w:t xml:space="preserve"> and FTSE 100</w:t>
      </w:r>
      <w:bookmarkEnd w:id="16"/>
    </w:p>
    <w:p w14:paraId="4A5193A1" w14:textId="511DDA16" w:rsidR="003929FA" w:rsidRPr="00FE0519" w:rsidRDefault="00324913" w:rsidP="00FE0519">
      <w:pPr>
        <w:spacing w:line="240" w:lineRule="auto"/>
        <w:jc w:val="both"/>
        <w:rPr>
          <w:rFonts w:ascii="Times New Roman" w:hAnsi="Times New Roman" w:cs="Times New Roman"/>
        </w:rPr>
      </w:pPr>
      <w:r w:rsidRPr="00FE0519">
        <w:rPr>
          <w:rFonts w:ascii="Times New Roman" w:hAnsi="Times New Roman" w:cs="Times New Roman"/>
        </w:rPr>
        <w:t xml:space="preserve">Figure </w:t>
      </w:r>
      <w:r w:rsidR="00941EDB">
        <w:rPr>
          <w:rFonts w:ascii="Times New Roman" w:hAnsi="Times New Roman" w:cs="Times New Roman"/>
        </w:rPr>
        <w:t>6</w:t>
      </w:r>
      <w:r w:rsidRPr="00FE0519">
        <w:rPr>
          <w:rFonts w:ascii="Times New Roman" w:hAnsi="Times New Roman" w:cs="Times New Roman"/>
        </w:rPr>
        <w:t xml:space="preserve"> represents a correlation matrix of stock prices for LGEN.L (Legal &amp; General Group), A</w:t>
      </w:r>
      <w:r w:rsidR="00ED5115">
        <w:rPr>
          <w:rFonts w:ascii="Times New Roman" w:hAnsi="Times New Roman" w:cs="Times New Roman"/>
        </w:rPr>
        <w:t>VIVA</w:t>
      </w:r>
      <w:r w:rsidRPr="00FE0519">
        <w:rPr>
          <w:rFonts w:ascii="Times New Roman" w:hAnsi="Times New Roman" w:cs="Times New Roman"/>
        </w:rPr>
        <w:t xml:space="preserve">, and the FTSE 100. The row comprises of the values, which demonstrate the Pearson correlation coefficients that in their turn show the degree and the direction of the linear relationships among the stock quotes. There </w:t>
      </w:r>
      <w:r w:rsidR="464771DE" w:rsidRPr="7578BCFA">
        <w:rPr>
          <w:rFonts w:ascii="Times New Roman" w:hAnsi="Times New Roman" w:cs="Times New Roman"/>
        </w:rPr>
        <w:t>are</w:t>
      </w:r>
      <w:r w:rsidRPr="00FE0519">
        <w:rPr>
          <w:rFonts w:ascii="Times New Roman" w:hAnsi="Times New Roman" w:cs="Times New Roman"/>
        </w:rPr>
        <w:t xml:space="preserve"> strong co-movements or strong positive correlations observed between LGEN.L and Aviva</w:t>
      </w:r>
      <w:r w:rsidR="0097739B" w:rsidRPr="00FE0519">
        <w:rPr>
          <w:rFonts w:ascii="Times New Roman" w:hAnsi="Times New Roman" w:cs="Times New Roman"/>
        </w:rPr>
        <w:t xml:space="preserve"> (0.953) </w:t>
      </w:r>
      <w:r w:rsidR="00C14921" w:rsidRPr="00FE0519">
        <w:rPr>
          <w:rFonts w:ascii="Times New Roman" w:hAnsi="Times New Roman" w:cs="Times New Roman"/>
        </w:rPr>
        <w:t>and</w:t>
      </w:r>
      <w:r w:rsidR="0097739B" w:rsidRPr="00FE0519">
        <w:rPr>
          <w:rFonts w:ascii="Times New Roman" w:hAnsi="Times New Roman" w:cs="Times New Roman"/>
        </w:rPr>
        <w:t xml:space="preserve"> between LGEN.L</w:t>
      </w:r>
      <w:r w:rsidRPr="00FE0519">
        <w:rPr>
          <w:rFonts w:ascii="Times New Roman" w:hAnsi="Times New Roman" w:cs="Times New Roman"/>
        </w:rPr>
        <w:t xml:space="preserve"> and the FTSE 100 (0.970) which </w:t>
      </w:r>
      <w:r w:rsidR="6981E778" w:rsidRPr="7578BCFA">
        <w:rPr>
          <w:rFonts w:ascii="Times New Roman" w:hAnsi="Times New Roman" w:cs="Times New Roman"/>
        </w:rPr>
        <w:t>suggests</w:t>
      </w:r>
      <w:r w:rsidRPr="00FE0519">
        <w:rPr>
          <w:rFonts w:ascii="Times New Roman" w:hAnsi="Times New Roman" w:cs="Times New Roman"/>
        </w:rPr>
        <w:t xml:space="preserve"> a high degree of </w:t>
      </w:r>
      <w:r w:rsidR="00B73F4F">
        <w:rPr>
          <w:rFonts w:ascii="Times New Roman" w:hAnsi="Times New Roman" w:cs="Times New Roman"/>
        </w:rPr>
        <w:t>similarity</w:t>
      </w:r>
      <w:r w:rsidRPr="00FE0519">
        <w:rPr>
          <w:rFonts w:ascii="Times New Roman" w:hAnsi="Times New Roman" w:cs="Times New Roman"/>
        </w:rPr>
        <w:t xml:space="preserve"> in these three price trends. Particularly, Aviva PLC and FTSE 100 are positively correlated with each other up to the extent of 0.957. Hence, these data show that the transitory fluctuations in one stock price usually have a close relationship with the transitory variations in others' prices, which may demonstrate the possible interdependencies and systemic probabilities throughout the market.</w:t>
      </w:r>
    </w:p>
    <w:p w14:paraId="7225C415" w14:textId="77777777" w:rsidR="005F3440" w:rsidRDefault="005F3440" w:rsidP="005D3D79">
      <w:pPr>
        <w:spacing w:line="360" w:lineRule="auto"/>
        <w:rPr>
          <w:rFonts w:ascii="Times New Roman" w:hAnsi="Times New Roman" w:cs="Times New Roman"/>
          <w:sz w:val="24"/>
        </w:rPr>
      </w:pPr>
    </w:p>
    <w:p w14:paraId="2F2C04F9" w14:textId="1C11CE58" w:rsidR="005D3D79" w:rsidRPr="00BB4741" w:rsidRDefault="003531B0" w:rsidP="00BB4741">
      <w:pPr>
        <w:pStyle w:val="Heading3"/>
        <w:rPr>
          <w:rFonts w:ascii="Times New Roman" w:hAnsi="Times New Roman" w:cs="Times New Roman"/>
          <w:sz w:val="28"/>
          <w:szCs w:val="28"/>
        </w:rPr>
      </w:pPr>
      <w:bookmarkStart w:id="17" w:name="_Toc161312194"/>
      <w:r w:rsidRPr="00BB4741">
        <w:rPr>
          <w:rFonts w:ascii="Times New Roman" w:hAnsi="Times New Roman" w:cs="Times New Roman"/>
          <w:sz w:val="28"/>
          <w:szCs w:val="28"/>
        </w:rPr>
        <w:lastRenderedPageBreak/>
        <w:t>2.2.2</w:t>
      </w:r>
      <w:r w:rsidR="005D3D79" w:rsidRPr="00BB4741">
        <w:rPr>
          <w:rFonts w:ascii="Times New Roman" w:hAnsi="Times New Roman" w:cs="Times New Roman"/>
          <w:sz w:val="28"/>
          <w:szCs w:val="28"/>
        </w:rPr>
        <w:t xml:space="preserve"> </w:t>
      </w:r>
      <w:r w:rsidR="00AD46DA" w:rsidRPr="00BB4741">
        <w:rPr>
          <w:rFonts w:ascii="Times New Roman" w:hAnsi="Times New Roman" w:cs="Times New Roman"/>
          <w:sz w:val="28"/>
          <w:szCs w:val="28"/>
        </w:rPr>
        <w:t>Regression Analysis</w:t>
      </w:r>
      <w:bookmarkEnd w:id="17"/>
    </w:p>
    <w:p w14:paraId="46C77E87" w14:textId="77777777" w:rsidR="007E58D1" w:rsidRPr="00FE0519" w:rsidRDefault="00F277DA" w:rsidP="00FE0519">
      <w:pPr>
        <w:spacing w:before="240" w:line="240" w:lineRule="auto"/>
        <w:jc w:val="both"/>
        <w:rPr>
          <w:rFonts w:ascii="Times New Roman" w:hAnsi="Times New Roman" w:cs="Times New Roman"/>
        </w:rPr>
      </w:pPr>
      <w:sdt>
        <w:sdtPr>
          <w:tag w:val="tii-similarity-U1VCTUlUVEVEX1dPUktfb2lkOjI6NzQzNTk3NDY4"/>
          <w:id w:val="1364268452"/>
          <w:placeholder>
            <w:docPart w:val="9DD60978709C45C6BCF30BEB09E4D71E"/>
          </w:placeholder>
          <w15:appearance w15:val="hidden"/>
        </w:sdtPr>
        <w:sdtContent>
          <w:r w:rsidR="001612F7" w:rsidRPr="00FE0519">
            <w:rPr>
              <w:rFonts w:ascii="Times New Roman" w:hAnsi="Times New Roman" w:cs="Times New Roman"/>
            </w:rPr>
            <w:t>Regression analysis is a statistical method used to examine the relationship between</w:t>
          </w:r>
        </w:sdtContent>
      </w:sdt>
      <w:r w:rsidR="4F4AE17F" w:rsidRPr="77AD8B01">
        <w:rPr>
          <w:rFonts w:ascii="Times New Roman" w:hAnsi="Times New Roman" w:cs="Times New Roman"/>
        </w:rPr>
        <w:t xml:space="preserve"> </w:t>
      </w:r>
      <w:sdt>
        <w:sdtPr>
          <w:tag w:val="tii-similarity-U1VCTUlUVEVEX1dPUktfb2lkOjI6NzQzNTk3NDY4"/>
          <w:id w:val="671066106"/>
          <w:placeholder>
            <w:docPart w:val="9DD60978709C45C6BCF30BEB09E4D71E"/>
          </w:placeholder>
          <w15:appearance w15:val="hidden"/>
        </w:sdtPr>
        <w:sdtContent>
          <w:r w:rsidR="001612F7" w:rsidRPr="00FE0519">
            <w:rPr>
              <w:rFonts w:ascii="Times New Roman" w:hAnsi="Times New Roman" w:cs="Times New Roman"/>
            </w:rPr>
            <w:t>one dependent variable and one or more independent variables</w:t>
          </w:r>
        </w:sdtContent>
      </w:sdt>
      <w:r w:rsidR="001612F7" w:rsidRPr="00FE0519">
        <w:rPr>
          <w:rFonts w:ascii="Times New Roman" w:hAnsi="Times New Roman" w:cs="Times New Roman"/>
        </w:rPr>
        <w:t xml:space="preserve"> by estimating the parameters of a linear equation</w:t>
      </w:r>
      <w:r w:rsidR="00F656D2" w:rsidRPr="00FE0519">
        <w:rPr>
          <w:rFonts w:ascii="Times New Roman" w:hAnsi="Times New Roman" w:cs="Times New Roman"/>
        </w:rPr>
        <w:t xml:space="preserve"> (Welc et al., 2022)</w:t>
      </w:r>
      <w:r w:rsidR="001612F7" w:rsidRPr="00FE0519">
        <w:rPr>
          <w:rFonts w:ascii="Times New Roman" w:hAnsi="Times New Roman" w:cs="Times New Roman"/>
        </w:rPr>
        <w:t>.</w:t>
      </w:r>
    </w:p>
    <w:p w14:paraId="6E4DD21D" w14:textId="77777777" w:rsidR="007E58D1" w:rsidRDefault="00450604" w:rsidP="00A37CCB">
      <w:pPr>
        <w:spacing w:line="360" w:lineRule="auto"/>
        <w:jc w:val="center"/>
        <w:rPr>
          <w:rFonts w:ascii="Times New Roman" w:hAnsi="Times New Roman" w:cs="Times New Roman"/>
          <w:sz w:val="24"/>
        </w:rPr>
      </w:pPr>
      <w:r>
        <w:rPr>
          <w:noProof/>
        </w:rPr>
        <w:drawing>
          <wp:inline distT="0" distB="0" distL="0" distR="0" wp14:anchorId="57AC6F6B" wp14:editId="0D3B4E37">
            <wp:extent cx="3448050" cy="1569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219" cy="1570747"/>
                    </a:xfrm>
                    <a:prstGeom prst="rect">
                      <a:avLst/>
                    </a:prstGeom>
                  </pic:spPr>
                </pic:pic>
              </a:graphicData>
            </a:graphic>
          </wp:inline>
        </w:drawing>
      </w:r>
    </w:p>
    <w:p w14:paraId="5FEDBAB4" w14:textId="41FD18DD" w:rsidR="007F4889" w:rsidRPr="007F4889" w:rsidRDefault="007F4889" w:rsidP="007F4889">
      <w:pPr>
        <w:pStyle w:val="Caption"/>
        <w:jc w:val="center"/>
        <w:rPr>
          <w:rFonts w:ascii="Times New Roman" w:hAnsi="Times New Roman" w:cs="Times New Roman"/>
          <w:sz w:val="22"/>
          <w:szCs w:val="22"/>
        </w:rPr>
      </w:pPr>
      <w:bookmarkStart w:id="18" w:name="_Toc161314067"/>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7</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Regression Analysis</w:t>
      </w:r>
      <w:bookmarkEnd w:id="18"/>
    </w:p>
    <w:p w14:paraId="3DFDDD30" w14:textId="5948FBB8" w:rsidR="00345F34" w:rsidRDefault="004237E4" w:rsidP="0002268F">
      <w:pPr>
        <w:spacing w:line="240" w:lineRule="auto"/>
        <w:jc w:val="center"/>
        <w:rPr>
          <w:rFonts w:ascii="Times New Roman" w:hAnsi="Times New Roman" w:cs="Times New Roman"/>
          <w:sz w:val="24"/>
        </w:rPr>
      </w:pPr>
      <w:r w:rsidRPr="0002268F">
        <w:rPr>
          <w:rFonts w:ascii="Times New Roman" w:hAnsi="Times New Roman" w:cs="Times New Roman"/>
        </w:rPr>
        <w:t>Regression analysis of Legal</w:t>
      </w:r>
      <w:r w:rsidR="005F3440" w:rsidRPr="0002268F">
        <w:rPr>
          <w:rFonts w:ascii="Times New Roman" w:hAnsi="Times New Roman" w:cs="Times New Roman"/>
        </w:rPr>
        <w:t xml:space="preserve"> </w:t>
      </w:r>
      <w:r w:rsidRPr="0002268F">
        <w:rPr>
          <w:rFonts w:ascii="Times New Roman" w:hAnsi="Times New Roman" w:cs="Times New Roman"/>
        </w:rPr>
        <w:t>&amp; General Group PLC (LGEN.L), Aviva PLC and FTSE 100 are</w:t>
      </w:r>
      <w:r>
        <w:rPr>
          <w:rFonts w:ascii="Times New Roman" w:hAnsi="Times New Roman" w:cs="Times New Roman"/>
          <w:sz w:val="24"/>
        </w:rPr>
        <w:t xml:space="preserve"> follows</w:t>
      </w:r>
      <w:r>
        <w:rPr>
          <w:rFonts w:ascii="Times New Roman" w:hAnsi="Times New Roman" w:cs="Times New Roman"/>
          <w:sz w:val="24"/>
        </w:rPr>
        <w:br/>
      </w:r>
      <w:r w:rsidR="003E40B4">
        <w:rPr>
          <w:noProof/>
        </w:rPr>
        <w:drawing>
          <wp:inline distT="0" distB="0" distL="0" distR="0" wp14:anchorId="37344E80" wp14:editId="5DC6806D">
            <wp:extent cx="3649393" cy="5096239"/>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280" cy="5112839"/>
                    </a:xfrm>
                    <a:prstGeom prst="rect">
                      <a:avLst/>
                    </a:prstGeom>
                  </pic:spPr>
                </pic:pic>
              </a:graphicData>
            </a:graphic>
          </wp:inline>
        </w:drawing>
      </w:r>
    </w:p>
    <w:p w14:paraId="4F1B4A29" w14:textId="77777777" w:rsidR="00863AD5" w:rsidRDefault="00863AD5" w:rsidP="003E40B4">
      <w:pPr>
        <w:spacing w:line="360" w:lineRule="auto"/>
        <w:jc w:val="center"/>
        <w:rPr>
          <w:rFonts w:ascii="Times New Roman" w:hAnsi="Times New Roman" w:cs="Times New Roman"/>
          <w:sz w:val="24"/>
        </w:rPr>
      </w:pPr>
      <w:r>
        <w:rPr>
          <w:noProof/>
        </w:rPr>
        <w:lastRenderedPageBreak/>
        <w:drawing>
          <wp:inline distT="0" distB="0" distL="0" distR="0" wp14:anchorId="5DC7EA75" wp14:editId="133BCD9B">
            <wp:extent cx="4647047" cy="3044825"/>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59" cy="3055317"/>
                    </a:xfrm>
                    <a:prstGeom prst="rect">
                      <a:avLst/>
                    </a:prstGeom>
                  </pic:spPr>
                </pic:pic>
              </a:graphicData>
            </a:graphic>
          </wp:inline>
        </w:drawing>
      </w:r>
    </w:p>
    <w:p w14:paraId="5F692841" w14:textId="05CD848B" w:rsidR="007F4889" w:rsidRPr="007F4889" w:rsidRDefault="007F4889" w:rsidP="007F4889">
      <w:pPr>
        <w:pStyle w:val="Caption"/>
        <w:jc w:val="center"/>
        <w:rPr>
          <w:rFonts w:ascii="Times New Roman" w:hAnsi="Times New Roman" w:cs="Times New Roman"/>
          <w:sz w:val="22"/>
          <w:szCs w:val="22"/>
        </w:rPr>
      </w:pPr>
      <w:bookmarkStart w:id="19" w:name="_Toc161314068"/>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8</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Regression Analysis LG vs Aviva</w:t>
      </w:r>
      <w:bookmarkEnd w:id="19"/>
    </w:p>
    <w:p w14:paraId="0A1B1ADA" w14:textId="572C3D23" w:rsidR="006F3C3C" w:rsidRPr="00FE0519" w:rsidRDefault="00DA5006" w:rsidP="00FE0519">
      <w:pPr>
        <w:spacing w:line="240" w:lineRule="auto"/>
        <w:jc w:val="both"/>
        <w:rPr>
          <w:rFonts w:ascii="Times New Roman" w:hAnsi="Times New Roman" w:cs="Times New Roman"/>
        </w:rPr>
      </w:pPr>
      <w:r w:rsidRPr="00FE0519">
        <w:rPr>
          <w:rFonts w:ascii="Times New Roman" w:hAnsi="Times New Roman" w:cs="Times New Roman"/>
        </w:rPr>
        <w:t xml:space="preserve">Figure </w:t>
      </w:r>
      <w:r w:rsidR="00ED5115">
        <w:rPr>
          <w:rFonts w:ascii="Times New Roman" w:hAnsi="Times New Roman" w:cs="Times New Roman"/>
        </w:rPr>
        <w:t>8</w:t>
      </w:r>
      <w:r w:rsidR="000664C2" w:rsidRPr="00FE0519">
        <w:rPr>
          <w:rFonts w:ascii="Times New Roman" w:hAnsi="Times New Roman" w:cs="Times New Roman"/>
        </w:rPr>
        <w:t xml:space="preserve"> </w:t>
      </w:r>
      <w:r w:rsidR="00954725" w:rsidRPr="00FE0519">
        <w:rPr>
          <w:rFonts w:ascii="Times New Roman" w:hAnsi="Times New Roman" w:cs="Times New Roman"/>
        </w:rPr>
        <w:t>shows the high positive correlation between LG</w:t>
      </w:r>
      <w:r w:rsidR="0002268F">
        <w:rPr>
          <w:rFonts w:ascii="Times New Roman" w:hAnsi="Times New Roman" w:cs="Times New Roman"/>
        </w:rPr>
        <w:t xml:space="preserve"> </w:t>
      </w:r>
      <w:r w:rsidR="00954725" w:rsidRPr="00FE0519">
        <w:rPr>
          <w:rFonts w:ascii="Times New Roman" w:hAnsi="Times New Roman" w:cs="Times New Roman"/>
        </w:rPr>
        <w:t>Price (Legal and General Group PLC) and Aviva</w:t>
      </w:r>
      <w:r w:rsidR="00522C57">
        <w:rPr>
          <w:rFonts w:ascii="Times New Roman" w:hAnsi="Times New Roman" w:cs="Times New Roman"/>
        </w:rPr>
        <w:t xml:space="preserve"> </w:t>
      </w:r>
      <w:r w:rsidR="00954725" w:rsidRPr="00FE0519">
        <w:rPr>
          <w:rFonts w:ascii="Times New Roman" w:hAnsi="Times New Roman" w:cs="Times New Roman"/>
        </w:rPr>
        <w:t>Price through the regression analysis with 0.909 R-square values, so it suggests that about of 90.9% on LG</w:t>
      </w:r>
      <w:r w:rsidR="00522C57">
        <w:rPr>
          <w:rFonts w:ascii="Times New Roman" w:hAnsi="Times New Roman" w:cs="Times New Roman"/>
        </w:rPr>
        <w:t xml:space="preserve"> </w:t>
      </w:r>
      <w:r w:rsidR="00954725" w:rsidRPr="00FE0519">
        <w:rPr>
          <w:rFonts w:ascii="Times New Roman" w:hAnsi="Times New Roman" w:cs="Times New Roman"/>
        </w:rPr>
        <w:t xml:space="preserve">Price variation </w:t>
      </w:r>
      <w:r w:rsidR="00BF0232">
        <w:rPr>
          <w:rFonts w:ascii="Times New Roman" w:hAnsi="Times New Roman" w:cs="Times New Roman"/>
        </w:rPr>
        <w:t>can be explained</w:t>
      </w:r>
      <w:r w:rsidR="00954725" w:rsidRPr="00FE0519">
        <w:rPr>
          <w:rFonts w:ascii="Times New Roman" w:hAnsi="Times New Roman" w:cs="Times New Roman"/>
        </w:rPr>
        <w:t xml:space="preserve"> by the changes on Aviva</w:t>
      </w:r>
      <w:r w:rsidR="00522C57">
        <w:rPr>
          <w:rFonts w:ascii="Times New Roman" w:hAnsi="Times New Roman" w:cs="Times New Roman"/>
        </w:rPr>
        <w:t xml:space="preserve"> </w:t>
      </w:r>
      <w:r w:rsidR="00954725" w:rsidRPr="00FE0519">
        <w:rPr>
          <w:rFonts w:ascii="Times New Roman" w:hAnsi="Times New Roman" w:cs="Times New Roman"/>
        </w:rPr>
        <w:t>Price. The P-value for Aviva</w:t>
      </w:r>
      <w:r w:rsidR="00522C57">
        <w:rPr>
          <w:rFonts w:ascii="Times New Roman" w:hAnsi="Times New Roman" w:cs="Times New Roman"/>
        </w:rPr>
        <w:t xml:space="preserve"> </w:t>
      </w:r>
      <w:r w:rsidR="00954725" w:rsidRPr="00FE0519">
        <w:rPr>
          <w:rFonts w:ascii="Times New Roman" w:hAnsi="Times New Roman" w:cs="Times New Roman"/>
        </w:rPr>
        <w:t>Price is less than 0.0</w:t>
      </w:r>
      <w:r w:rsidR="005F3440" w:rsidRPr="00FE0519">
        <w:rPr>
          <w:rFonts w:ascii="Times New Roman" w:hAnsi="Times New Roman" w:cs="Times New Roman"/>
        </w:rPr>
        <w:t>5</w:t>
      </w:r>
      <w:r w:rsidR="00954725" w:rsidRPr="00FE0519">
        <w:rPr>
          <w:rFonts w:ascii="Times New Roman" w:hAnsi="Times New Roman" w:cs="Times New Roman"/>
        </w:rPr>
        <w:t>, which implies that for each unit increase over the Aviva</w:t>
      </w:r>
      <w:r w:rsidR="00522C57">
        <w:rPr>
          <w:rFonts w:ascii="Times New Roman" w:hAnsi="Times New Roman" w:cs="Times New Roman"/>
        </w:rPr>
        <w:t xml:space="preserve"> </w:t>
      </w:r>
      <w:r w:rsidR="00954725" w:rsidRPr="00FE0519">
        <w:rPr>
          <w:rFonts w:ascii="Times New Roman" w:hAnsi="Times New Roman" w:cs="Times New Roman"/>
        </w:rPr>
        <w:t>Price, LG</w:t>
      </w:r>
      <w:r w:rsidR="00522C57">
        <w:rPr>
          <w:rFonts w:ascii="Times New Roman" w:hAnsi="Times New Roman" w:cs="Times New Roman"/>
        </w:rPr>
        <w:t xml:space="preserve"> </w:t>
      </w:r>
      <w:r w:rsidR="00954725" w:rsidRPr="00FE0519">
        <w:rPr>
          <w:rFonts w:ascii="Times New Roman" w:hAnsi="Times New Roman" w:cs="Times New Roman"/>
        </w:rPr>
        <w:t>Price will be expected to increase by an amount 0.5253. The latter is equally significant statistically (p&lt;0.0</w:t>
      </w:r>
      <w:r w:rsidR="005F3440" w:rsidRPr="00FE0519">
        <w:rPr>
          <w:rFonts w:ascii="Times New Roman" w:hAnsi="Times New Roman" w:cs="Times New Roman"/>
        </w:rPr>
        <w:t>5</w:t>
      </w:r>
      <w:r w:rsidR="00954725" w:rsidRPr="00FE0519">
        <w:rPr>
          <w:rFonts w:ascii="Times New Roman" w:hAnsi="Times New Roman" w:cs="Times New Roman"/>
        </w:rPr>
        <w:t>) and implies that in the absence of LG</w:t>
      </w:r>
      <w:r w:rsidR="00522C57">
        <w:rPr>
          <w:rFonts w:ascii="Times New Roman" w:hAnsi="Times New Roman" w:cs="Times New Roman"/>
        </w:rPr>
        <w:t xml:space="preserve"> </w:t>
      </w:r>
      <w:r w:rsidR="00954725" w:rsidRPr="00FE0519">
        <w:rPr>
          <w:rFonts w:ascii="Times New Roman" w:hAnsi="Times New Roman" w:cs="Times New Roman"/>
        </w:rPr>
        <w:t>Price mention, we are likely to see an amount of 43.5994 units by means of Aviva</w:t>
      </w:r>
      <w:r w:rsidR="00522C57">
        <w:rPr>
          <w:rFonts w:ascii="Times New Roman" w:hAnsi="Times New Roman" w:cs="Times New Roman"/>
        </w:rPr>
        <w:t xml:space="preserve"> </w:t>
      </w:r>
      <w:r w:rsidR="00954725" w:rsidRPr="00FE0519">
        <w:rPr>
          <w:rFonts w:ascii="Times New Roman" w:hAnsi="Times New Roman" w:cs="Times New Roman"/>
        </w:rPr>
        <w:t xml:space="preserve">Price instead. </w:t>
      </w:r>
    </w:p>
    <w:p w14:paraId="336BCF9D" w14:textId="77777777" w:rsidR="00D10D10" w:rsidRPr="00087A13" w:rsidRDefault="00D10D10" w:rsidP="00C66175">
      <w:pPr>
        <w:spacing w:line="360" w:lineRule="auto"/>
        <w:jc w:val="center"/>
        <w:rPr>
          <w:rFonts w:ascii="Times New Roman" w:hAnsi="Times New Roman" w:cs="Times New Roman"/>
          <w:sz w:val="24"/>
        </w:rPr>
      </w:pPr>
      <w:r>
        <w:rPr>
          <w:noProof/>
        </w:rPr>
        <w:lastRenderedPageBreak/>
        <w:drawing>
          <wp:inline distT="0" distB="0" distL="0" distR="0" wp14:anchorId="7F6610E8" wp14:editId="74CCD019">
            <wp:extent cx="3749808" cy="467015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0384" cy="4683325"/>
                    </a:xfrm>
                    <a:prstGeom prst="rect">
                      <a:avLst/>
                    </a:prstGeom>
                  </pic:spPr>
                </pic:pic>
              </a:graphicData>
            </a:graphic>
          </wp:inline>
        </w:drawing>
      </w:r>
    </w:p>
    <w:p w14:paraId="19331B06" w14:textId="5E3631E0" w:rsidR="007F4889" w:rsidRPr="007F4889" w:rsidRDefault="007F4889" w:rsidP="007F4889">
      <w:pPr>
        <w:pStyle w:val="Caption"/>
        <w:jc w:val="center"/>
        <w:rPr>
          <w:rFonts w:ascii="Times New Roman" w:hAnsi="Times New Roman" w:cs="Times New Roman"/>
          <w:sz w:val="22"/>
          <w:szCs w:val="22"/>
        </w:rPr>
      </w:pPr>
      <w:bookmarkStart w:id="20" w:name="_Toc161314069"/>
      <w:r w:rsidRPr="007F4889">
        <w:rPr>
          <w:rFonts w:ascii="Times New Roman" w:hAnsi="Times New Roman" w:cs="Times New Roman"/>
          <w:sz w:val="22"/>
          <w:szCs w:val="22"/>
        </w:rPr>
        <w:t xml:space="preserve">Figure </w:t>
      </w:r>
      <w:r w:rsidRPr="007F4889">
        <w:rPr>
          <w:rFonts w:ascii="Times New Roman" w:hAnsi="Times New Roman" w:cs="Times New Roman"/>
          <w:sz w:val="22"/>
          <w:szCs w:val="22"/>
        </w:rPr>
        <w:fldChar w:fldCharType="begin"/>
      </w:r>
      <w:r w:rsidRPr="007F4889">
        <w:rPr>
          <w:rFonts w:ascii="Times New Roman" w:hAnsi="Times New Roman" w:cs="Times New Roman"/>
          <w:sz w:val="22"/>
          <w:szCs w:val="22"/>
        </w:rPr>
        <w:instrText xml:space="preserve"> SEQ Figure \* ARABIC </w:instrText>
      </w:r>
      <w:r w:rsidRPr="007F4889">
        <w:rPr>
          <w:rFonts w:ascii="Times New Roman" w:hAnsi="Times New Roman" w:cs="Times New Roman"/>
          <w:sz w:val="22"/>
          <w:szCs w:val="22"/>
        </w:rPr>
        <w:fldChar w:fldCharType="separate"/>
      </w:r>
      <w:r w:rsidR="00D269E3">
        <w:rPr>
          <w:rFonts w:ascii="Times New Roman" w:hAnsi="Times New Roman" w:cs="Times New Roman"/>
          <w:noProof/>
          <w:sz w:val="22"/>
          <w:szCs w:val="22"/>
        </w:rPr>
        <w:t>9</w:t>
      </w:r>
      <w:r w:rsidRPr="007F4889">
        <w:rPr>
          <w:rFonts w:ascii="Times New Roman" w:hAnsi="Times New Roman" w:cs="Times New Roman"/>
          <w:sz w:val="22"/>
          <w:szCs w:val="22"/>
        </w:rPr>
        <w:fldChar w:fldCharType="end"/>
      </w:r>
      <w:r w:rsidRPr="007F4889">
        <w:rPr>
          <w:rFonts w:ascii="Times New Roman" w:hAnsi="Times New Roman" w:cs="Times New Roman"/>
          <w:sz w:val="22"/>
          <w:szCs w:val="22"/>
        </w:rPr>
        <w:t>: Analysis of multiple regression</w:t>
      </w:r>
      <w:bookmarkEnd w:id="20"/>
    </w:p>
    <w:p w14:paraId="42E4CF2A" w14:textId="50FC38AC" w:rsidR="006D6D84" w:rsidRPr="00FE0519" w:rsidRDefault="006D6D84" w:rsidP="00FE0519">
      <w:pPr>
        <w:spacing w:line="240" w:lineRule="auto"/>
        <w:jc w:val="both"/>
        <w:rPr>
          <w:rFonts w:ascii="Times New Roman" w:hAnsi="Times New Roman" w:cs="Times New Roman"/>
        </w:rPr>
      </w:pPr>
      <w:r w:rsidRPr="00FE0519">
        <w:rPr>
          <w:rFonts w:ascii="Times New Roman" w:hAnsi="Times New Roman" w:cs="Times New Roman"/>
        </w:rPr>
        <w:t>The multiple regression for LG</w:t>
      </w:r>
      <w:r w:rsidR="00323899">
        <w:rPr>
          <w:rFonts w:ascii="Times New Roman" w:hAnsi="Times New Roman" w:cs="Times New Roman"/>
        </w:rPr>
        <w:t xml:space="preserve"> </w:t>
      </w:r>
      <w:r w:rsidRPr="00FE0519">
        <w:rPr>
          <w:rFonts w:ascii="Times New Roman" w:hAnsi="Times New Roman" w:cs="Times New Roman"/>
        </w:rPr>
        <w:t xml:space="preserve">Price (Legal &amp; General Group PLC) </w:t>
      </w:r>
      <w:r w:rsidR="60D66BD0" w:rsidRPr="52D54026">
        <w:rPr>
          <w:rFonts w:ascii="Times New Roman" w:hAnsi="Times New Roman" w:cs="Times New Roman"/>
        </w:rPr>
        <w:t>is</w:t>
      </w:r>
      <w:r w:rsidRPr="00FE0519">
        <w:rPr>
          <w:rFonts w:ascii="Times New Roman" w:hAnsi="Times New Roman" w:cs="Times New Roman"/>
        </w:rPr>
        <w:t xml:space="preserve"> </w:t>
      </w:r>
      <w:r w:rsidR="00323899" w:rsidRPr="00FE0519">
        <w:rPr>
          <w:rFonts w:ascii="Times New Roman" w:hAnsi="Times New Roman" w:cs="Times New Roman"/>
        </w:rPr>
        <w:t>considered</w:t>
      </w:r>
      <w:r w:rsidRPr="00FE0519">
        <w:rPr>
          <w:rFonts w:ascii="Times New Roman" w:hAnsi="Times New Roman" w:cs="Times New Roman"/>
        </w:rPr>
        <w:t xml:space="preserve"> Aviva</w:t>
      </w:r>
      <w:r w:rsidR="00323899">
        <w:rPr>
          <w:rFonts w:ascii="Times New Roman" w:hAnsi="Times New Roman" w:cs="Times New Roman"/>
        </w:rPr>
        <w:t xml:space="preserve"> </w:t>
      </w:r>
      <w:r w:rsidRPr="00FE0519">
        <w:rPr>
          <w:rFonts w:ascii="Times New Roman" w:hAnsi="Times New Roman" w:cs="Times New Roman"/>
        </w:rPr>
        <w:t>Price and FTSE</w:t>
      </w:r>
      <w:r w:rsidR="00323899">
        <w:rPr>
          <w:rFonts w:ascii="Times New Roman" w:hAnsi="Times New Roman" w:cs="Times New Roman"/>
        </w:rPr>
        <w:t xml:space="preserve"> </w:t>
      </w:r>
      <w:r w:rsidRPr="00FE0519">
        <w:rPr>
          <w:rFonts w:ascii="Times New Roman" w:hAnsi="Times New Roman" w:cs="Times New Roman"/>
        </w:rPr>
        <w:t xml:space="preserve">Price, as shown in Figure </w:t>
      </w:r>
      <w:r w:rsidR="006017FF">
        <w:rPr>
          <w:rFonts w:ascii="Times New Roman" w:hAnsi="Times New Roman" w:cs="Times New Roman"/>
        </w:rPr>
        <w:t>9</w:t>
      </w:r>
      <w:r w:rsidRPr="00FE0519">
        <w:rPr>
          <w:rFonts w:ascii="Times New Roman" w:hAnsi="Times New Roman" w:cs="Times New Roman"/>
        </w:rPr>
        <w:t xml:space="preserve">. The model generates </w:t>
      </w:r>
      <w:sdt>
        <w:sdtPr>
          <w:tag w:val="tii-similarity-SU5URVJORVRfZmFzdGVyY2FwaXRhbC5jb20="/>
          <w:id w:val="367553723"/>
          <w:placeholder>
            <w:docPart w:val="9DD60978709C45C6BCF30BEB09E4D71E"/>
          </w:placeholder>
          <w15:appearance w15:val="hidden"/>
        </w:sdtPr>
        <w:sdtContent>
          <w:r w:rsidRPr="00FE0519">
            <w:rPr>
              <w:rFonts w:ascii="Times New Roman" w:hAnsi="Times New Roman" w:cs="Times New Roman"/>
            </w:rPr>
            <w:t>an R-squared value</w:t>
          </w:r>
        </w:sdtContent>
      </w:sdt>
      <w:r w:rsidRPr="00FE0519">
        <w:rPr>
          <w:rFonts w:ascii="Times New Roman" w:hAnsi="Times New Roman" w:cs="Times New Roman"/>
        </w:rPr>
        <w:t xml:space="preserve"> of 0.948 demonstrating that all of fluctuations of LG</w:t>
      </w:r>
      <w:r w:rsidR="00323899">
        <w:rPr>
          <w:rFonts w:ascii="Times New Roman" w:hAnsi="Times New Roman" w:cs="Times New Roman"/>
        </w:rPr>
        <w:t xml:space="preserve"> </w:t>
      </w:r>
      <w:r w:rsidRPr="00FE0519">
        <w:rPr>
          <w:rFonts w:ascii="Times New Roman" w:hAnsi="Times New Roman" w:cs="Times New Roman"/>
        </w:rPr>
        <w:t>Price can be explained and described with consecutive changes of Aviva</w:t>
      </w:r>
      <w:r w:rsidR="00323899">
        <w:rPr>
          <w:rFonts w:ascii="Times New Roman" w:hAnsi="Times New Roman" w:cs="Times New Roman"/>
        </w:rPr>
        <w:t xml:space="preserve"> </w:t>
      </w:r>
      <w:r w:rsidRPr="00FE0519">
        <w:rPr>
          <w:rFonts w:ascii="Times New Roman" w:hAnsi="Times New Roman" w:cs="Times New Roman"/>
        </w:rPr>
        <w:t>Price and FTSE</w:t>
      </w:r>
      <w:r w:rsidR="00323899">
        <w:rPr>
          <w:rFonts w:ascii="Times New Roman" w:hAnsi="Times New Roman" w:cs="Times New Roman"/>
        </w:rPr>
        <w:t xml:space="preserve"> </w:t>
      </w:r>
      <w:r w:rsidRPr="00FE0519">
        <w:rPr>
          <w:rFonts w:ascii="Times New Roman" w:hAnsi="Times New Roman" w:cs="Times New Roman"/>
        </w:rPr>
        <w:t xml:space="preserve">Price. The results, as displayed in Figure </w:t>
      </w:r>
      <w:r w:rsidR="008A4FBF">
        <w:rPr>
          <w:rFonts w:ascii="Times New Roman" w:hAnsi="Times New Roman" w:cs="Times New Roman"/>
        </w:rPr>
        <w:t>9</w:t>
      </w:r>
      <w:r w:rsidRPr="00FE0519">
        <w:rPr>
          <w:rFonts w:ascii="Times New Roman" w:hAnsi="Times New Roman" w:cs="Times New Roman"/>
        </w:rPr>
        <w:t>, indicate that both Aviva</w:t>
      </w:r>
      <w:r w:rsidR="00323899">
        <w:rPr>
          <w:rFonts w:ascii="Times New Roman" w:hAnsi="Times New Roman" w:cs="Times New Roman"/>
        </w:rPr>
        <w:t xml:space="preserve"> </w:t>
      </w:r>
      <w:r w:rsidRPr="00FE0519">
        <w:rPr>
          <w:rFonts w:ascii="Times New Roman" w:hAnsi="Times New Roman" w:cs="Times New Roman"/>
        </w:rPr>
        <w:t>Price and FTSE</w:t>
      </w:r>
      <w:r w:rsidR="00323899">
        <w:rPr>
          <w:rFonts w:ascii="Times New Roman" w:hAnsi="Times New Roman" w:cs="Times New Roman"/>
        </w:rPr>
        <w:t xml:space="preserve"> </w:t>
      </w:r>
      <w:r w:rsidRPr="00FE0519">
        <w:rPr>
          <w:rFonts w:ascii="Times New Roman" w:hAnsi="Times New Roman" w:cs="Times New Roman"/>
        </w:rPr>
        <w:t>Price are statistically significant (p &lt; 0.0</w:t>
      </w:r>
      <w:r w:rsidR="00FE7B49" w:rsidRPr="00FE0519">
        <w:rPr>
          <w:rFonts w:ascii="Times New Roman" w:hAnsi="Times New Roman" w:cs="Times New Roman"/>
        </w:rPr>
        <w:t>5</w:t>
      </w:r>
      <w:r w:rsidRPr="00FE0519">
        <w:rPr>
          <w:rFonts w:ascii="Times New Roman" w:hAnsi="Times New Roman" w:cs="Times New Roman"/>
        </w:rPr>
        <w:t>), showing that each unit increase of Aviva</w:t>
      </w:r>
      <w:r w:rsidR="00323899">
        <w:rPr>
          <w:rFonts w:ascii="Times New Roman" w:hAnsi="Times New Roman" w:cs="Times New Roman"/>
        </w:rPr>
        <w:t xml:space="preserve"> </w:t>
      </w:r>
      <w:r w:rsidRPr="00FE0519">
        <w:rPr>
          <w:rFonts w:ascii="Times New Roman" w:hAnsi="Times New Roman" w:cs="Times New Roman"/>
        </w:rPr>
        <w:t>Price and FTSE</w:t>
      </w:r>
      <w:r w:rsidR="00323899">
        <w:rPr>
          <w:rFonts w:ascii="Times New Roman" w:hAnsi="Times New Roman" w:cs="Times New Roman"/>
        </w:rPr>
        <w:t xml:space="preserve"> </w:t>
      </w:r>
      <w:r w:rsidRPr="00FE0519">
        <w:rPr>
          <w:rFonts w:ascii="Times New Roman" w:hAnsi="Times New Roman" w:cs="Times New Roman"/>
        </w:rPr>
        <w:t>Price results in an increase of around 0.1634 and 0.0443 units of LG</w:t>
      </w:r>
      <w:r w:rsidR="00323899">
        <w:rPr>
          <w:rFonts w:ascii="Times New Roman" w:hAnsi="Times New Roman" w:cs="Times New Roman"/>
        </w:rPr>
        <w:t xml:space="preserve"> </w:t>
      </w:r>
      <w:r w:rsidRPr="00FE0519">
        <w:rPr>
          <w:rFonts w:ascii="Times New Roman" w:hAnsi="Times New Roman" w:cs="Times New Roman"/>
        </w:rPr>
        <w:t>Price, respectively. The F-statistic of the model turns out to be 4400, with the presence of probability (p &lt; 0.0</w:t>
      </w:r>
      <w:r w:rsidR="00FE7B49" w:rsidRPr="00FE0519">
        <w:rPr>
          <w:rFonts w:ascii="Times New Roman" w:hAnsi="Times New Roman" w:cs="Times New Roman"/>
        </w:rPr>
        <w:t>5</w:t>
      </w:r>
      <w:r w:rsidRPr="00FE0519">
        <w:rPr>
          <w:rFonts w:ascii="Times New Roman" w:hAnsi="Times New Roman" w:cs="Times New Roman"/>
        </w:rPr>
        <w:t>) that the model occurs by chance, suggesting that the overall regression model is highly significant.</w:t>
      </w:r>
    </w:p>
    <w:p w14:paraId="36500150" w14:textId="77777777" w:rsidR="00FE0519" w:rsidRDefault="00FE0519">
      <w:pPr>
        <w:rPr>
          <w:rFonts w:ascii="Times New Roman" w:eastAsiaTheme="majorEastAsia" w:hAnsi="Times New Roman" w:cs="Times New Roman"/>
          <w:color w:val="2E74B5" w:themeColor="accent1" w:themeShade="BF"/>
          <w:sz w:val="36"/>
          <w:szCs w:val="36"/>
        </w:rPr>
      </w:pPr>
      <w:bookmarkStart w:id="21" w:name="_Toc161312195"/>
      <w:r>
        <w:rPr>
          <w:rFonts w:ascii="Times New Roman" w:hAnsi="Times New Roman" w:cs="Times New Roman"/>
          <w:sz w:val="36"/>
          <w:szCs w:val="36"/>
        </w:rPr>
        <w:br w:type="page"/>
      </w:r>
    </w:p>
    <w:p w14:paraId="5EEC5120" w14:textId="1D0DD278" w:rsidR="00A57ECA" w:rsidRPr="00EC216D" w:rsidRDefault="00973B07" w:rsidP="00EC216D">
      <w:pPr>
        <w:pStyle w:val="Heading2"/>
        <w:rPr>
          <w:rFonts w:ascii="Times New Roman" w:hAnsi="Times New Roman" w:cs="Times New Roman"/>
          <w:sz w:val="36"/>
          <w:szCs w:val="36"/>
          <w:lang w:val="en-GB"/>
        </w:rPr>
      </w:pPr>
      <w:r w:rsidRPr="00EC216D">
        <w:rPr>
          <w:rFonts w:ascii="Times New Roman" w:hAnsi="Times New Roman" w:cs="Times New Roman"/>
          <w:sz w:val="36"/>
          <w:szCs w:val="36"/>
        </w:rPr>
        <w:lastRenderedPageBreak/>
        <w:t>2.</w:t>
      </w:r>
      <w:r w:rsidR="007E5EBA" w:rsidRPr="00EC216D">
        <w:rPr>
          <w:rFonts w:ascii="Times New Roman" w:hAnsi="Times New Roman" w:cs="Times New Roman"/>
          <w:sz w:val="36"/>
          <w:szCs w:val="36"/>
        </w:rPr>
        <w:t xml:space="preserve">3. </w:t>
      </w:r>
      <w:bookmarkStart w:id="22" w:name="_Toc100319739"/>
      <w:r w:rsidR="007E5EBA" w:rsidRPr="00EC216D">
        <w:rPr>
          <w:rFonts w:ascii="Times New Roman" w:hAnsi="Times New Roman" w:cs="Times New Roman"/>
          <w:sz w:val="36"/>
          <w:szCs w:val="36"/>
          <w:lang w:val="en-GB"/>
        </w:rPr>
        <w:t>Time Series Analysis</w:t>
      </w:r>
      <w:bookmarkEnd w:id="21"/>
      <w:bookmarkEnd w:id="22"/>
    </w:p>
    <w:p w14:paraId="2AF134C8" w14:textId="77777777" w:rsidR="0075250C" w:rsidRPr="00EC216D" w:rsidRDefault="00FA2185" w:rsidP="00EC216D">
      <w:pPr>
        <w:pStyle w:val="Heading3"/>
        <w:rPr>
          <w:rFonts w:ascii="Times New Roman" w:hAnsi="Times New Roman" w:cs="Times New Roman"/>
          <w:sz w:val="28"/>
          <w:szCs w:val="28"/>
        </w:rPr>
      </w:pPr>
      <w:bookmarkStart w:id="23" w:name="_Toc161312196"/>
      <w:r w:rsidRPr="00EC216D">
        <w:rPr>
          <w:rFonts w:ascii="Times New Roman" w:hAnsi="Times New Roman" w:cs="Times New Roman"/>
          <w:sz w:val="28"/>
          <w:szCs w:val="28"/>
        </w:rPr>
        <w:t>2.</w:t>
      </w:r>
      <w:r w:rsidR="0075250C" w:rsidRPr="00EC216D">
        <w:rPr>
          <w:rFonts w:ascii="Times New Roman" w:hAnsi="Times New Roman" w:cs="Times New Roman"/>
          <w:sz w:val="28"/>
          <w:szCs w:val="28"/>
        </w:rPr>
        <w:t>3.1 Moving Average</w:t>
      </w:r>
      <w:bookmarkEnd w:id="23"/>
    </w:p>
    <w:p w14:paraId="0751785F" w14:textId="5EDFB020" w:rsidR="002D75AF" w:rsidRPr="00EF51C1" w:rsidRDefault="12F9AA88" w:rsidP="00EF51C1">
      <w:pPr>
        <w:spacing w:before="240" w:line="240" w:lineRule="auto"/>
        <w:jc w:val="both"/>
        <w:rPr>
          <w:rFonts w:ascii="Times New Roman" w:hAnsi="Times New Roman" w:cs="Times New Roman"/>
        </w:rPr>
      </w:pPr>
      <w:r w:rsidRPr="52D54026">
        <w:rPr>
          <w:rFonts w:ascii="Times New Roman" w:hAnsi="Times New Roman" w:cs="Times New Roman"/>
        </w:rPr>
        <w:t xml:space="preserve">The </w:t>
      </w:r>
      <w:r w:rsidR="009A07C6" w:rsidRPr="00EF51C1">
        <w:rPr>
          <w:rFonts w:ascii="Times New Roman" w:hAnsi="Times New Roman" w:cs="Times New Roman"/>
        </w:rPr>
        <w:t>Time series analysis of Legal &amp; General Group PLC (LGEN.L</w:t>
      </w:r>
      <w:r w:rsidR="004237E4" w:rsidRPr="00EF51C1">
        <w:rPr>
          <w:rFonts w:ascii="Times New Roman" w:hAnsi="Times New Roman" w:cs="Times New Roman"/>
        </w:rPr>
        <w:t>),</w:t>
      </w:r>
      <w:r w:rsidR="009A07C6" w:rsidRPr="00EF51C1">
        <w:rPr>
          <w:rFonts w:ascii="Times New Roman" w:hAnsi="Times New Roman" w:cs="Times New Roman"/>
        </w:rPr>
        <w:t xml:space="preserve"> Aviva PLC and FTSE 100 </w:t>
      </w:r>
      <w:r w:rsidR="008A4FBF" w:rsidRPr="00EF51C1">
        <w:rPr>
          <w:rFonts w:ascii="Times New Roman" w:hAnsi="Times New Roman" w:cs="Times New Roman"/>
        </w:rPr>
        <w:t>involved</w:t>
      </w:r>
      <w:r w:rsidR="009A07C6" w:rsidRPr="00EF51C1">
        <w:rPr>
          <w:rFonts w:ascii="Times New Roman" w:hAnsi="Times New Roman" w:cs="Times New Roman"/>
        </w:rPr>
        <w:t xml:space="preserve"> forecasting as the ways of forecasting were reviewed and the results are given i</w:t>
      </w:r>
      <w:r w:rsidR="00E41BD9" w:rsidRPr="00EF51C1">
        <w:rPr>
          <w:rFonts w:ascii="Times New Roman" w:hAnsi="Times New Roman" w:cs="Times New Roman"/>
        </w:rPr>
        <w:t xml:space="preserve">n the graphs </w:t>
      </w:r>
      <w:r w:rsidR="4108BC05" w:rsidRPr="52D54026">
        <w:rPr>
          <w:rFonts w:ascii="Times New Roman" w:hAnsi="Times New Roman" w:cs="Times New Roman"/>
        </w:rPr>
        <w:t>in</w:t>
      </w:r>
      <w:r w:rsidR="00E41BD9" w:rsidRPr="00EF51C1">
        <w:rPr>
          <w:rFonts w:ascii="Times New Roman" w:hAnsi="Times New Roman" w:cs="Times New Roman"/>
        </w:rPr>
        <w:t xml:space="preserve"> Figures </w:t>
      </w:r>
      <w:r w:rsidR="0006740E" w:rsidRPr="00EF51C1">
        <w:rPr>
          <w:rFonts w:ascii="Times New Roman" w:hAnsi="Times New Roman" w:cs="Times New Roman"/>
        </w:rPr>
        <w:t>1</w:t>
      </w:r>
      <w:r w:rsidR="002D75AF" w:rsidRPr="00EF51C1">
        <w:rPr>
          <w:rFonts w:ascii="Times New Roman" w:hAnsi="Times New Roman" w:cs="Times New Roman"/>
        </w:rPr>
        <w:t>0</w:t>
      </w:r>
      <w:r w:rsidR="009A07C6" w:rsidRPr="00EF51C1">
        <w:rPr>
          <w:rFonts w:ascii="Times New Roman" w:hAnsi="Times New Roman" w:cs="Times New Roman"/>
        </w:rPr>
        <w:t>.</w:t>
      </w:r>
      <w:r w:rsidR="002D75AF" w:rsidRPr="00EF51C1">
        <w:rPr>
          <w:rFonts w:ascii="Times New Roman" w:hAnsi="Times New Roman" w:cs="Times New Roman"/>
        </w:rPr>
        <w:t xml:space="preserve"> </w:t>
      </w:r>
      <w:r w:rsidR="00F710A0" w:rsidRPr="00EF51C1">
        <w:rPr>
          <w:rFonts w:ascii="Times New Roman" w:hAnsi="Times New Roman" w:cs="Times New Roman"/>
        </w:rPr>
        <w:t>Here, we can see the Golden cross</w:t>
      </w:r>
      <w:r w:rsidR="003D75C7" w:rsidRPr="00EF51C1">
        <w:rPr>
          <w:rFonts w:ascii="Times New Roman" w:hAnsi="Times New Roman" w:cs="Times New Roman"/>
        </w:rPr>
        <w:t xml:space="preserve"> in 2020 where MA5 is crossing MA20 and going upward</w:t>
      </w:r>
      <w:r w:rsidR="001677AE" w:rsidRPr="00EF51C1">
        <w:rPr>
          <w:rFonts w:ascii="Times New Roman" w:hAnsi="Times New Roman" w:cs="Times New Roman"/>
        </w:rPr>
        <w:t xml:space="preserve">s. </w:t>
      </w:r>
      <w:r w:rsidR="00DA55EE" w:rsidRPr="00EF51C1">
        <w:rPr>
          <w:rFonts w:ascii="Times New Roman" w:hAnsi="Times New Roman" w:cs="Times New Roman"/>
        </w:rPr>
        <w:t>Again,</w:t>
      </w:r>
      <w:r w:rsidR="009E5DB4" w:rsidRPr="00EF51C1">
        <w:rPr>
          <w:rFonts w:ascii="Times New Roman" w:hAnsi="Times New Roman" w:cs="Times New Roman"/>
        </w:rPr>
        <w:t xml:space="preserve"> this happened here </w:t>
      </w:r>
      <w:r w:rsidR="20EFA53A" w:rsidRPr="689A0721">
        <w:rPr>
          <w:rFonts w:ascii="Times New Roman" w:hAnsi="Times New Roman" w:cs="Times New Roman"/>
        </w:rPr>
        <w:t>at</w:t>
      </w:r>
      <w:r w:rsidR="009E5DB4" w:rsidRPr="00EF51C1">
        <w:rPr>
          <w:rFonts w:ascii="Times New Roman" w:hAnsi="Times New Roman" w:cs="Times New Roman"/>
        </w:rPr>
        <w:t xml:space="preserve"> the end of the year 2020.</w:t>
      </w:r>
      <w:r w:rsidR="008A19FB" w:rsidRPr="00EF51C1">
        <w:rPr>
          <w:rFonts w:ascii="Times New Roman" w:hAnsi="Times New Roman" w:cs="Times New Roman"/>
        </w:rPr>
        <w:t xml:space="preserve"> This is where </w:t>
      </w:r>
      <w:r w:rsidR="00DA55EE" w:rsidRPr="00EF51C1">
        <w:rPr>
          <w:rFonts w:ascii="Times New Roman" w:hAnsi="Times New Roman" w:cs="Times New Roman"/>
        </w:rPr>
        <w:t>traders</w:t>
      </w:r>
      <w:r w:rsidR="008A19FB" w:rsidRPr="00EF51C1">
        <w:rPr>
          <w:rFonts w:ascii="Times New Roman" w:hAnsi="Times New Roman" w:cs="Times New Roman"/>
        </w:rPr>
        <w:t xml:space="preserve"> should consider it as a buy signal. On the contrary, </w:t>
      </w:r>
      <w:r w:rsidR="00A16FD5" w:rsidRPr="00EF51C1">
        <w:rPr>
          <w:rFonts w:ascii="Times New Roman" w:hAnsi="Times New Roman" w:cs="Times New Roman"/>
        </w:rPr>
        <w:t>in the beginning of the year 2021, the Death cross has happened</w:t>
      </w:r>
      <w:r w:rsidR="000A6A8C" w:rsidRPr="00EF51C1">
        <w:rPr>
          <w:rFonts w:ascii="Times New Roman" w:hAnsi="Times New Roman" w:cs="Times New Roman"/>
        </w:rPr>
        <w:t xml:space="preserve"> which suggest a downward trend in </w:t>
      </w:r>
      <w:r w:rsidR="00790D81" w:rsidRPr="00EF51C1">
        <w:rPr>
          <w:rFonts w:ascii="Times New Roman" w:hAnsi="Times New Roman" w:cs="Times New Roman"/>
        </w:rPr>
        <w:t xml:space="preserve">prices. This is </w:t>
      </w:r>
      <w:r w:rsidR="29747641" w:rsidRPr="094030AD">
        <w:rPr>
          <w:rFonts w:ascii="Times New Roman" w:hAnsi="Times New Roman" w:cs="Times New Roman"/>
        </w:rPr>
        <w:t>what</w:t>
      </w:r>
      <w:r w:rsidR="00790D81" w:rsidRPr="00EF51C1">
        <w:rPr>
          <w:rFonts w:ascii="Times New Roman" w:hAnsi="Times New Roman" w:cs="Times New Roman"/>
        </w:rPr>
        <w:t xml:space="preserve"> traders or investors</w:t>
      </w:r>
      <w:r w:rsidR="00DA55EE" w:rsidRPr="00EF51C1">
        <w:rPr>
          <w:rFonts w:ascii="Times New Roman" w:hAnsi="Times New Roman" w:cs="Times New Roman"/>
        </w:rPr>
        <w:t xml:space="preserve"> interpret as a sign to sell.</w:t>
      </w:r>
      <w:r w:rsidR="00EF51C1" w:rsidRPr="00EF51C1">
        <w:rPr>
          <w:rFonts w:ascii="Times New Roman" w:hAnsi="Times New Roman" w:cs="Times New Roman"/>
        </w:rPr>
        <w:t xml:space="preserve"> (Tsai et al., 2017)</w:t>
      </w:r>
    </w:p>
    <w:p w14:paraId="35EC0CCB" w14:textId="7F029C24" w:rsidR="007E3828" w:rsidRDefault="00622FE5" w:rsidP="00C66175">
      <w:pPr>
        <w:spacing w:line="360" w:lineRule="auto"/>
        <w:jc w:val="center"/>
        <w:rPr>
          <w:rFonts w:ascii="Times New Roman" w:hAnsi="Times New Roman" w:cs="Times New Roman"/>
          <w:b/>
          <w:sz w:val="24"/>
        </w:rPr>
      </w:pPr>
      <w:r>
        <w:rPr>
          <w:noProof/>
        </w:rPr>
        <w:drawing>
          <wp:inline distT="0" distB="0" distL="0" distR="0" wp14:anchorId="614B0466" wp14:editId="617FA030">
            <wp:extent cx="5187735" cy="33939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0470" cy="3435033"/>
                    </a:xfrm>
                    <a:prstGeom prst="rect">
                      <a:avLst/>
                    </a:prstGeom>
                  </pic:spPr>
                </pic:pic>
              </a:graphicData>
            </a:graphic>
          </wp:inline>
        </w:drawing>
      </w:r>
    </w:p>
    <w:p w14:paraId="290C080B" w14:textId="16ABEE23" w:rsidR="00940205" w:rsidRPr="00940205" w:rsidRDefault="00940205" w:rsidP="00940205">
      <w:pPr>
        <w:pStyle w:val="Caption"/>
        <w:jc w:val="center"/>
        <w:rPr>
          <w:rFonts w:ascii="Times New Roman" w:hAnsi="Times New Roman" w:cs="Times New Roman"/>
          <w:sz w:val="22"/>
          <w:szCs w:val="22"/>
        </w:rPr>
      </w:pPr>
      <w:bookmarkStart w:id="24" w:name="_Toc161314070"/>
      <w:r w:rsidRPr="00940205">
        <w:rPr>
          <w:rFonts w:ascii="Times New Roman" w:hAnsi="Times New Roman" w:cs="Times New Roman"/>
          <w:sz w:val="22"/>
          <w:szCs w:val="22"/>
        </w:rPr>
        <w:t xml:space="preserve">Figure </w:t>
      </w:r>
      <w:r w:rsidRPr="00940205">
        <w:rPr>
          <w:rFonts w:ascii="Times New Roman" w:hAnsi="Times New Roman" w:cs="Times New Roman"/>
          <w:sz w:val="22"/>
          <w:szCs w:val="22"/>
        </w:rPr>
        <w:fldChar w:fldCharType="begin"/>
      </w:r>
      <w:r w:rsidRPr="00940205">
        <w:rPr>
          <w:rFonts w:ascii="Times New Roman" w:hAnsi="Times New Roman" w:cs="Times New Roman"/>
          <w:sz w:val="22"/>
          <w:szCs w:val="22"/>
        </w:rPr>
        <w:instrText xml:space="preserve"> SEQ Figure \* ARABIC </w:instrText>
      </w:r>
      <w:r w:rsidRPr="00940205">
        <w:rPr>
          <w:rFonts w:ascii="Times New Roman" w:hAnsi="Times New Roman" w:cs="Times New Roman"/>
          <w:sz w:val="22"/>
          <w:szCs w:val="22"/>
        </w:rPr>
        <w:fldChar w:fldCharType="separate"/>
      </w:r>
      <w:r w:rsidR="00D269E3">
        <w:rPr>
          <w:rFonts w:ascii="Times New Roman" w:hAnsi="Times New Roman" w:cs="Times New Roman"/>
          <w:noProof/>
          <w:sz w:val="22"/>
          <w:szCs w:val="22"/>
        </w:rPr>
        <w:t>10</w:t>
      </w:r>
      <w:r w:rsidRPr="00940205">
        <w:rPr>
          <w:rFonts w:ascii="Times New Roman" w:hAnsi="Times New Roman" w:cs="Times New Roman"/>
          <w:sz w:val="22"/>
          <w:szCs w:val="22"/>
        </w:rPr>
        <w:fldChar w:fldCharType="end"/>
      </w:r>
      <w:r w:rsidRPr="00940205">
        <w:rPr>
          <w:rFonts w:ascii="Times New Roman" w:hAnsi="Times New Roman" w:cs="Times New Roman"/>
          <w:sz w:val="22"/>
          <w:szCs w:val="22"/>
        </w:rPr>
        <w:t>: Moving Average</w:t>
      </w:r>
      <w:bookmarkEnd w:id="24"/>
    </w:p>
    <w:p w14:paraId="5BC2834D" w14:textId="77777777" w:rsidR="005C41C0" w:rsidRDefault="005C41C0">
      <w:pPr>
        <w:rPr>
          <w:rFonts w:ascii="Times New Roman" w:hAnsi="Times New Roman" w:cs="Times New Roman"/>
          <w:b/>
          <w:sz w:val="24"/>
        </w:rPr>
      </w:pPr>
      <w:r>
        <w:rPr>
          <w:rFonts w:ascii="Times New Roman" w:hAnsi="Times New Roman" w:cs="Times New Roman"/>
          <w:b/>
          <w:sz w:val="24"/>
        </w:rPr>
        <w:br w:type="page"/>
      </w:r>
    </w:p>
    <w:p w14:paraId="0808B2F0" w14:textId="7EB408CC" w:rsidR="0075250C" w:rsidRPr="00EC216D" w:rsidRDefault="007B7AAE" w:rsidP="00EC216D">
      <w:pPr>
        <w:pStyle w:val="Heading3"/>
        <w:spacing w:after="240"/>
        <w:rPr>
          <w:rFonts w:ascii="Times New Roman" w:hAnsi="Times New Roman" w:cs="Times New Roman"/>
          <w:sz w:val="28"/>
          <w:szCs w:val="28"/>
        </w:rPr>
      </w:pPr>
      <w:bookmarkStart w:id="25" w:name="_Toc161312197"/>
      <w:r w:rsidRPr="00EC216D">
        <w:rPr>
          <w:rFonts w:ascii="Times New Roman" w:hAnsi="Times New Roman" w:cs="Times New Roman"/>
          <w:sz w:val="28"/>
          <w:szCs w:val="28"/>
        </w:rPr>
        <w:lastRenderedPageBreak/>
        <w:t>2.</w:t>
      </w:r>
      <w:r w:rsidR="0075250C" w:rsidRPr="00EC216D">
        <w:rPr>
          <w:rFonts w:ascii="Times New Roman" w:hAnsi="Times New Roman" w:cs="Times New Roman"/>
          <w:sz w:val="28"/>
          <w:szCs w:val="28"/>
        </w:rPr>
        <w:t>3.2 Single Exponential Smoothing</w:t>
      </w:r>
      <w:bookmarkEnd w:id="25"/>
    </w:p>
    <w:p w14:paraId="1CB2BB99" w14:textId="4B01D693" w:rsidR="000F69F0" w:rsidRDefault="002C2D02" w:rsidP="0006740E">
      <w:pPr>
        <w:spacing w:line="360" w:lineRule="auto"/>
        <w:jc w:val="center"/>
        <w:rPr>
          <w:rFonts w:ascii="Times New Roman" w:hAnsi="Times New Roman" w:cs="Times New Roman"/>
          <w:b/>
          <w:sz w:val="24"/>
        </w:rPr>
      </w:pPr>
      <w:r>
        <w:rPr>
          <w:noProof/>
        </w:rPr>
        <w:drawing>
          <wp:inline distT="0" distB="0" distL="0" distR="0" wp14:anchorId="5AA893B2" wp14:editId="64255B46">
            <wp:extent cx="5352604" cy="317143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7528" cy="3174354"/>
                    </a:xfrm>
                    <a:prstGeom prst="rect">
                      <a:avLst/>
                    </a:prstGeom>
                  </pic:spPr>
                </pic:pic>
              </a:graphicData>
            </a:graphic>
          </wp:inline>
        </w:drawing>
      </w:r>
    </w:p>
    <w:p w14:paraId="340E0A22" w14:textId="75914FD1" w:rsidR="00940205" w:rsidRPr="00940205" w:rsidRDefault="00940205" w:rsidP="00940205">
      <w:pPr>
        <w:pStyle w:val="Caption"/>
        <w:keepNext/>
        <w:jc w:val="center"/>
        <w:rPr>
          <w:rFonts w:ascii="Times New Roman" w:hAnsi="Times New Roman" w:cs="Times New Roman"/>
          <w:sz w:val="22"/>
          <w:szCs w:val="22"/>
        </w:rPr>
      </w:pPr>
      <w:bookmarkStart w:id="26" w:name="_Toc161314071"/>
      <w:r w:rsidRPr="00940205">
        <w:rPr>
          <w:rFonts w:ascii="Times New Roman" w:hAnsi="Times New Roman" w:cs="Times New Roman"/>
          <w:sz w:val="22"/>
          <w:szCs w:val="22"/>
        </w:rPr>
        <w:t xml:space="preserve">Figure </w:t>
      </w:r>
      <w:r w:rsidRPr="00940205">
        <w:rPr>
          <w:rFonts w:ascii="Times New Roman" w:hAnsi="Times New Roman" w:cs="Times New Roman"/>
          <w:sz w:val="22"/>
          <w:szCs w:val="22"/>
        </w:rPr>
        <w:fldChar w:fldCharType="begin"/>
      </w:r>
      <w:r w:rsidRPr="00940205">
        <w:rPr>
          <w:rFonts w:ascii="Times New Roman" w:hAnsi="Times New Roman" w:cs="Times New Roman"/>
          <w:sz w:val="22"/>
          <w:szCs w:val="22"/>
        </w:rPr>
        <w:instrText xml:space="preserve"> SEQ Figure \* ARABIC </w:instrText>
      </w:r>
      <w:r w:rsidRPr="00940205">
        <w:rPr>
          <w:rFonts w:ascii="Times New Roman" w:hAnsi="Times New Roman" w:cs="Times New Roman"/>
          <w:sz w:val="22"/>
          <w:szCs w:val="22"/>
        </w:rPr>
        <w:fldChar w:fldCharType="separate"/>
      </w:r>
      <w:r w:rsidR="00D269E3">
        <w:rPr>
          <w:rFonts w:ascii="Times New Roman" w:hAnsi="Times New Roman" w:cs="Times New Roman"/>
          <w:noProof/>
          <w:sz w:val="22"/>
          <w:szCs w:val="22"/>
        </w:rPr>
        <w:t>11</w:t>
      </w:r>
      <w:r w:rsidRPr="00940205">
        <w:rPr>
          <w:rFonts w:ascii="Times New Roman" w:hAnsi="Times New Roman" w:cs="Times New Roman"/>
          <w:sz w:val="22"/>
          <w:szCs w:val="22"/>
        </w:rPr>
        <w:fldChar w:fldCharType="end"/>
      </w:r>
      <w:r w:rsidRPr="00940205">
        <w:rPr>
          <w:rFonts w:ascii="Times New Roman" w:hAnsi="Times New Roman" w:cs="Times New Roman"/>
          <w:sz w:val="22"/>
          <w:szCs w:val="22"/>
        </w:rPr>
        <w:t>: Single Exponential Smoothing</w:t>
      </w:r>
      <w:bookmarkEnd w:id="26"/>
    </w:p>
    <w:p w14:paraId="7888286F" w14:textId="77777777" w:rsidR="005C41C0" w:rsidRDefault="005C41C0">
      <w:pPr>
        <w:rPr>
          <w:rFonts w:ascii="Times New Roman" w:hAnsi="Times New Roman" w:cs="Times New Roman"/>
          <w:b/>
          <w:sz w:val="24"/>
        </w:rPr>
      </w:pPr>
      <w:r>
        <w:rPr>
          <w:rFonts w:ascii="Times New Roman" w:hAnsi="Times New Roman" w:cs="Times New Roman"/>
          <w:b/>
          <w:sz w:val="24"/>
        </w:rPr>
        <w:br w:type="page"/>
      </w:r>
    </w:p>
    <w:p w14:paraId="39F051AA" w14:textId="115D250B" w:rsidR="00601E56" w:rsidRPr="00EC216D" w:rsidRDefault="007B7AAE" w:rsidP="00EC216D">
      <w:pPr>
        <w:pStyle w:val="Heading3"/>
        <w:spacing w:after="240"/>
        <w:rPr>
          <w:rFonts w:ascii="Times New Roman" w:hAnsi="Times New Roman" w:cs="Times New Roman"/>
          <w:sz w:val="28"/>
          <w:szCs w:val="28"/>
        </w:rPr>
      </w:pPr>
      <w:bookmarkStart w:id="27" w:name="_Toc161312198"/>
      <w:r w:rsidRPr="00EC216D">
        <w:rPr>
          <w:rFonts w:ascii="Times New Roman" w:hAnsi="Times New Roman" w:cs="Times New Roman"/>
          <w:sz w:val="28"/>
          <w:szCs w:val="28"/>
        </w:rPr>
        <w:lastRenderedPageBreak/>
        <w:t>2.</w:t>
      </w:r>
      <w:r w:rsidR="0075250C" w:rsidRPr="00EC216D">
        <w:rPr>
          <w:rFonts w:ascii="Times New Roman" w:hAnsi="Times New Roman" w:cs="Times New Roman"/>
          <w:sz w:val="28"/>
          <w:szCs w:val="28"/>
        </w:rPr>
        <w:t>3.3 Double Exponential Smoothing</w:t>
      </w:r>
      <w:bookmarkEnd w:id="27"/>
    </w:p>
    <w:p w14:paraId="5379B2F6" w14:textId="77777777" w:rsidR="00B80AF8" w:rsidRDefault="00B80AF8" w:rsidP="00C66175">
      <w:pPr>
        <w:spacing w:line="360" w:lineRule="auto"/>
        <w:jc w:val="center"/>
        <w:rPr>
          <w:rFonts w:ascii="Times New Roman" w:hAnsi="Times New Roman" w:cs="Times New Roman"/>
          <w:b/>
          <w:sz w:val="24"/>
        </w:rPr>
      </w:pPr>
      <w:r>
        <w:rPr>
          <w:noProof/>
        </w:rPr>
        <w:drawing>
          <wp:inline distT="0" distB="0" distL="0" distR="0" wp14:anchorId="39D834E4" wp14:editId="64921BFC">
            <wp:extent cx="5539077" cy="3535304"/>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905" cy="3538385"/>
                    </a:xfrm>
                    <a:prstGeom prst="rect">
                      <a:avLst/>
                    </a:prstGeom>
                  </pic:spPr>
                </pic:pic>
              </a:graphicData>
            </a:graphic>
          </wp:inline>
        </w:drawing>
      </w:r>
    </w:p>
    <w:p w14:paraId="71EF7E99" w14:textId="55F4D7E7" w:rsidR="00D269E3" w:rsidRPr="00D269E3" w:rsidRDefault="00D269E3" w:rsidP="00D269E3">
      <w:pPr>
        <w:pStyle w:val="Caption"/>
        <w:keepNext/>
        <w:jc w:val="center"/>
        <w:rPr>
          <w:rFonts w:ascii="Times New Roman" w:hAnsi="Times New Roman" w:cs="Times New Roman"/>
          <w:sz w:val="22"/>
          <w:szCs w:val="22"/>
        </w:rPr>
      </w:pPr>
      <w:bookmarkStart w:id="28" w:name="_Toc161314072"/>
      <w:r w:rsidRPr="00D269E3">
        <w:rPr>
          <w:rFonts w:ascii="Times New Roman" w:hAnsi="Times New Roman" w:cs="Times New Roman"/>
          <w:sz w:val="22"/>
          <w:szCs w:val="22"/>
        </w:rPr>
        <w:t xml:space="preserve">Figure </w:t>
      </w:r>
      <w:r w:rsidRPr="00D269E3">
        <w:rPr>
          <w:rFonts w:ascii="Times New Roman" w:hAnsi="Times New Roman" w:cs="Times New Roman"/>
          <w:sz w:val="22"/>
          <w:szCs w:val="22"/>
        </w:rPr>
        <w:fldChar w:fldCharType="begin"/>
      </w:r>
      <w:r w:rsidRPr="00D269E3">
        <w:rPr>
          <w:rFonts w:ascii="Times New Roman" w:hAnsi="Times New Roman" w:cs="Times New Roman"/>
          <w:sz w:val="22"/>
          <w:szCs w:val="22"/>
        </w:rPr>
        <w:instrText xml:space="preserve"> SEQ Figure \* ARABIC </w:instrText>
      </w:r>
      <w:r w:rsidRPr="00D269E3">
        <w:rPr>
          <w:rFonts w:ascii="Times New Roman" w:hAnsi="Times New Roman" w:cs="Times New Roman"/>
          <w:sz w:val="22"/>
          <w:szCs w:val="22"/>
        </w:rPr>
        <w:fldChar w:fldCharType="separate"/>
      </w:r>
      <w:r>
        <w:rPr>
          <w:rFonts w:ascii="Times New Roman" w:hAnsi="Times New Roman" w:cs="Times New Roman"/>
          <w:noProof/>
          <w:sz w:val="22"/>
          <w:szCs w:val="22"/>
        </w:rPr>
        <w:t>12</w:t>
      </w:r>
      <w:r w:rsidRPr="00D269E3">
        <w:rPr>
          <w:rFonts w:ascii="Times New Roman" w:hAnsi="Times New Roman" w:cs="Times New Roman"/>
          <w:sz w:val="22"/>
          <w:szCs w:val="22"/>
        </w:rPr>
        <w:fldChar w:fldCharType="end"/>
      </w:r>
      <w:r w:rsidRPr="00D269E3">
        <w:rPr>
          <w:rFonts w:ascii="Times New Roman" w:hAnsi="Times New Roman" w:cs="Times New Roman"/>
          <w:sz w:val="22"/>
          <w:szCs w:val="22"/>
        </w:rPr>
        <w:t>: Double Exponential Smoothing</w:t>
      </w:r>
      <w:bookmarkEnd w:id="28"/>
    </w:p>
    <w:p w14:paraId="5A019E91" w14:textId="77777777" w:rsidR="005C41C0" w:rsidRDefault="005C41C0">
      <w:pPr>
        <w:rPr>
          <w:rFonts w:ascii="Times New Roman" w:hAnsi="Times New Roman" w:cs="Times New Roman"/>
          <w:b/>
          <w:sz w:val="24"/>
        </w:rPr>
      </w:pPr>
      <w:r>
        <w:rPr>
          <w:rFonts w:ascii="Times New Roman" w:hAnsi="Times New Roman" w:cs="Times New Roman"/>
          <w:b/>
          <w:sz w:val="24"/>
        </w:rPr>
        <w:br w:type="page"/>
      </w:r>
    </w:p>
    <w:p w14:paraId="3C581852" w14:textId="58DC07B3" w:rsidR="00B2708F" w:rsidRPr="00EC216D" w:rsidRDefault="00AD1A7F" w:rsidP="00EC216D">
      <w:pPr>
        <w:pStyle w:val="Heading3"/>
        <w:spacing w:after="240"/>
        <w:rPr>
          <w:rFonts w:ascii="Times New Roman" w:hAnsi="Times New Roman" w:cs="Times New Roman"/>
          <w:sz w:val="28"/>
          <w:szCs w:val="28"/>
        </w:rPr>
      </w:pPr>
      <w:bookmarkStart w:id="29" w:name="_Toc161312199"/>
      <w:r w:rsidRPr="00EC216D">
        <w:rPr>
          <w:rFonts w:ascii="Times New Roman" w:hAnsi="Times New Roman" w:cs="Times New Roman"/>
          <w:sz w:val="28"/>
          <w:szCs w:val="28"/>
        </w:rPr>
        <w:lastRenderedPageBreak/>
        <w:t>2.</w:t>
      </w:r>
      <w:r w:rsidR="0075250C" w:rsidRPr="00EC216D">
        <w:rPr>
          <w:rFonts w:ascii="Times New Roman" w:hAnsi="Times New Roman" w:cs="Times New Roman"/>
          <w:sz w:val="28"/>
          <w:szCs w:val="28"/>
        </w:rPr>
        <w:t>3.4 Holt’s – Winters Method (TES)</w:t>
      </w:r>
      <w:bookmarkEnd w:id="29"/>
    </w:p>
    <w:p w14:paraId="1AA9E05A" w14:textId="77777777" w:rsidR="00E140B1" w:rsidRDefault="00E140B1" w:rsidP="00C66175">
      <w:pPr>
        <w:spacing w:line="360" w:lineRule="auto"/>
        <w:jc w:val="center"/>
        <w:rPr>
          <w:rFonts w:ascii="Times New Roman" w:hAnsi="Times New Roman" w:cs="Times New Roman"/>
          <w:b/>
          <w:sz w:val="24"/>
        </w:rPr>
      </w:pPr>
      <w:r>
        <w:rPr>
          <w:noProof/>
        </w:rPr>
        <w:drawing>
          <wp:inline distT="0" distB="0" distL="0" distR="0" wp14:anchorId="519009D5" wp14:editId="1DD61AC8">
            <wp:extent cx="5270720" cy="32480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420" cy="3249689"/>
                    </a:xfrm>
                    <a:prstGeom prst="rect">
                      <a:avLst/>
                    </a:prstGeom>
                  </pic:spPr>
                </pic:pic>
              </a:graphicData>
            </a:graphic>
          </wp:inline>
        </w:drawing>
      </w:r>
    </w:p>
    <w:p w14:paraId="0C0E96EB" w14:textId="61DDE2E1" w:rsidR="00D269E3" w:rsidRPr="00D269E3" w:rsidRDefault="00D269E3" w:rsidP="00D269E3">
      <w:pPr>
        <w:pStyle w:val="Caption"/>
        <w:jc w:val="center"/>
        <w:rPr>
          <w:rFonts w:ascii="Times New Roman" w:hAnsi="Times New Roman" w:cs="Times New Roman"/>
          <w:sz w:val="22"/>
          <w:szCs w:val="22"/>
        </w:rPr>
      </w:pPr>
      <w:bookmarkStart w:id="30" w:name="_Toc161314073"/>
      <w:r w:rsidRPr="00D269E3">
        <w:rPr>
          <w:rFonts w:ascii="Times New Roman" w:hAnsi="Times New Roman" w:cs="Times New Roman"/>
          <w:sz w:val="22"/>
          <w:szCs w:val="22"/>
        </w:rPr>
        <w:t xml:space="preserve">Figure </w:t>
      </w:r>
      <w:r w:rsidRPr="00D269E3">
        <w:rPr>
          <w:rFonts w:ascii="Times New Roman" w:hAnsi="Times New Roman" w:cs="Times New Roman"/>
          <w:sz w:val="22"/>
          <w:szCs w:val="22"/>
        </w:rPr>
        <w:fldChar w:fldCharType="begin"/>
      </w:r>
      <w:r w:rsidRPr="00D269E3">
        <w:rPr>
          <w:rFonts w:ascii="Times New Roman" w:hAnsi="Times New Roman" w:cs="Times New Roman"/>
          <w:sz w:val="22"/>
          <w:szCs w:val="22"/>
        </w:rPr>
        <w:instrText xml:space="preserve"> SEQ Figure \* ARABIC </w:instrText>
      </w:r>
      <w:r w:rsidRPr="00D269E3">
        <w:rPr>
          <w:rFonts w:ascii="Times New Roman" w:hAnsi="Times New Roman" w:cs="Times New Roman"/>
          <w:sz w:val="22"/>
          <w:szCs w:val="22"/>
        </w:rPr>
        <w:fldChar w:fldCharType="separate"/>
      </w:r>
      <w:r>
        <w:rPr>
          <w:rFonts w:ascii="Times New Roman" w:hAnsi="Times New Roman" w:cs="Times New Roman"/>
          <w:noProof/>
          <w:sz w:val="22"/>
          <w:szCs w:val="22"/>
        </w:rPr>
        <w:t>13</w:t>
      </w:r>
      <w:r w:rsidRPr="00D269E3">
        <w:rPr>
          <w:rFonts w:ascii="Times New Roman" w:hAnsi="Times New Roman" w:cs="Times New Roman"/>
          <w:sz w:val="22"/>
          <w:szCs w:val="22"/>
        </w:rPr>
        <w:fldChar w:fldCharType="end"/>
      </w:r>
      <w:r w:rsidRPr="00D269E3">
        <w:rPr>
          <w:rFonts w:ascii="Times New Roman" w:hAnsi="Times New Roman" w:cs="Times New Roman"/>
          <w:sz w:val="22"/>
          <w:szCs w:val="22"/>
        </w:rPr>
        <w:t>: Holt’s – Winters Method (TES)</w:t>
      </w:r>
      <w:bookmarkEnd w:id="30"/>
    </w:p>
    <w:p w14:paraId="79604283" w14:textId="0B5ACF1D" w:rsidR="00C66175" w:rsidRPr="00D269E3" w:rsidRDefault="00C66175" w:rsidP="00C66175">
      <w:pPr>
        <w:rPr>
          <w:rFonts w:ascii="Times New Roman" w:hAnsi="Times New Roman" w:cs="Times New Roman"/>
          <w:i/>
          <w:iCs/>
          <w:color w:val="44546A" w:themeColor="text2"/>
        </w:rPr>
      </w:pPr>
      <w:r w:rsidRPr="00D269E3">
        <w:rPr>
          <w:rFonts w:ascii="Times New Roman" w:hAnsi="Times New Roman" w:cs="Times New Roman"/>
          <w:i/>
          <w:iCs/>
          <w:color w:val="44546A" w:themeColor="text2"/>
        </w:rPr>
        <w:br w:type="page"/>
      </w:r>
    </w:p>
    <w:tbl>
      <w:tblPr>
        <w:tblStyle w:val="TableGridLight"/>
        <w:tblW w:w="4990" w:type="dxa"/>
        <w:jc w:val="center"/>
        <w:tblLook w:val="04A0" w:firstRow="1" w:lastRow="0" w:firstColumn="1" w:lastColumn="0" w:noHBand="0" w:noVBand="1"/>
      </w:tblPr>
      <w:tblGrid>
        <w:gridCol w:w="3070"/>
        <w:gridCol w:w="960"/>
        <w:gridCol w:w="960"/>
      </w:tblGrid>
      <w:tr w:rsidR="00053CC2" w:rsidRPr="00053CC2" w14:paraId="69CC06E8" w14:textId="77777777" w:rsidTr="00053CC2">
        <w:trPr>
          <w:trHeight w:val="300"/>
          <w:jc w:val="center"/>
        </w:trPr>
        <w:tc>
          <w:tcPr>
            <w:tcW w:w="3070" w:type="dxa"/>
            <w:noWrap/>
            <w:hideMark/>
          </w:tcPr>
          <w:p w14:paraId="3A937B64" w14:textId="77777777" w:rsidR="00053CC2" w:rsidRPr="00053CC2" w:rsidRDefault="00053CC2" w:rsidP="00053CC2">
            <w:pPr>
              <w:rPr>
                <w:rFonts w:ascii="Times New Roman" w:eastAsia="Times New Roman" w:hAnsi="Times New Roman" w:cs="Times New Roman"/>
                <w:sz w:val="24"/>
                <w:szCs w:val="24"/>
              </w:rPr>
            </w:pPr>
          </w:p>
        </w:tc>
        <w:tc>
          <w:tcPr>
            <w:tcW w:w="960" w:type="dxa"/>
            <w:noWrap/>
            <w:hideMark/>
          </w:tcPr>
          <w:p w14:paraId="46F17488" w14:textId="77777777" w:rsidR="00053CC2" w:rsidRPr="00053CC2" w:rsidRDefault="00053CC2" w:rsidP="00AE2C91">
            <w:pPr>
              <w:jc w:val="center"/>
              <w:rPr>
                <w:rFonts w:ascii="Var(--jp-code-font-family)" w:eastAsia="Times New Roman" w:hAnsi="Var(--jp-code-font-family)" w:cs="Calibri"/>
                <w:color w:val="000000"/>
                <w:sz w:val="20"/>
                <w:szCs w:val="20"/>
              </w:rPr>
            </w:pPr>
            <w:r w:rsidRPr="00053CC2">
              <w:rPr>
                <w:rFonts w:ascii="Var(--jp-code-font-family)" w:eastAsia="Times New Roman" w:hAnsi="Var(--jp-code-font-family)" w:cs="Calibri"/>
                <w:color w:val="000000"/>
                <w:sz w:val="20"/>
                <w:szCs w:val="20"/>
              </w:rPr>
              <w:t>MAE</w:t>
            </w:r>
          </w:p>
        </w:tc>
        <w:tc>
          <w:tcPr>
            <w:tcW w:w="960" w:type="dxa"/>
            <w:noWrap/>
            <w:hideMark/>
          </w:tcPr>
          <w:p w14:paraId="38107101" w14:textId="77777777" w:rsidR="00053CC2" w:rsidRPr="00053CC2" w:rsidRDefault="00053CC2" w:rsidP="00053CC2">
            <w:pPr>
              <w:rPr>
                <w:rFonts w:ascii="Var(--jp-code-font-family)" w:eastAsia="Times New Roman" w:hAnsi="Var(--jp-code-font-family)" w:cs="Calibri"/>
                <w:color w:val="000000"/>
                <w:sz w:val="20"/>
                <w:szCs w:val="20"/>
              </w:rPr>
            </w:pPr>
            <w:r w:rsidRPr="00053CC2">
              <w:rPr>
                <w:rFonts w:ascii="Var(--jp-code-font-family)" w:eastAsia="Times New Roman" w:hAnsi="Var(--jp-code-font-family)" w:cs="Calibri"/>
                <w:color w:val="000000"/>
                <w:sz w:val="20"/>
                <w:szCs w:val="20"/>
              </w:rPr>
              <w:t>MSE</w:t>
            </w:r>
          </w:p>
        </w:tc>
      </w:tr>
      <w:tr w:rsidR="00053CC2" w:rsidRPr="00053CC2" w14:paraId="0CF45729" w14:textId="77777777" w:rsidTr="00053CC2">
        <w:trPr>
          <w:trHeight w:val="300"/>
          <w:jc w:val="center"/>
        </w:trPr>
        <w:tc>
          <w:tcPr>
            <w:tcW w:w="3070" w:type="dxa"/>
            <w:noWrap/>
            <w:hideMark/>
          </w:tcPr>
          <w:p w14:paraId="5331E06D" w14:textId="77777777" w:rsidR="00053CC2" w:rsidRPr="00FE0519" w:rsidRDefault="00053CC2" w:rsidP="00FE0519">
            <w:pPr>
              <w:rPr>
                <w:rFonts w:ascii="Calibri" w:eastAsia="Times New Roman" w:hAnsi="Calibri" w:cs="Calibri"/>
                <w:color w:val="000000"/>
              </w:rPr>
            </w:pPr>
            <w:r w:rsidRPr="00FE0519">
              <w:rPr>
                <w:rFonts w:ascii="Calibri" w:eastAsia="Times New Roman" w:hAnsi="Calibri" w:cs="Calibri"/>
                <w:color w:val="000000"/>
              </w:rPr>
              <w:t>Moving Average</w:t>
            </w:r>
          </w:p>
        </w:tc>
        <w:tc>
          <w:tcPr>
            <w:tcW w:w="960" w:type="dxa"/>
            <w:noWrap/>
            <w:hideMark/>
          </w:tcPr>
          <w:p w14:paraId="3B7B8FE3"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6.1888</w:t>
            </w:r>
          </w:p>
        </w:tc>
        <w:tc>
          <w:tcPr>
            <w:tcW w:w="960" w:type="dxa"/>
            <w:noWrap/>
            <w:hideMark/>
          </w:tcPr>
          <w:p w14:paraId="0E4BCC96"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60.5968</w:t>
            </w:r>
          </w:p>
        </w:tc>
      </w:tr>
      <w:tr w:rsidR="00053CC2" w:rsidRPr="00053CC2" w14:paraId="071B8B1D" w14:textId="77777777" w:rsidTr="00053CC2">
        <w:trPr>
          <w:trHeight w:val="300"/>
          <w:jc w:val="center"/>
        </w:trPr>
        <w:tc>
          <w:tcPr>
            <w:tcW w:w="3070" w:type="dxa"/>
            <w:noWrap/>
            <w:hideMark/>
          </w:tcPr>
          <w:p w14:paraId="14C06A02" w14:textId="77777777" w:rsidR="00053CC2" w:rsidRPr="00FE0519" w:rsidRDefault="00053CC2" w:rsidP="00FE0519">
            <w:pPr>
              <w:rPr>
                <w:rFonts w:ascii="Calibri" w:eastAsia="Times New Roman" w:hAnsi="Calibri" w:cs="Calibri"/>
                <w:color w:val="000000"/>
              </w:rPr>
            </w:pPr>
            <w:r w:rsidRPr="00FE0519">
              <w:rPr>
                <w:rFonts w:ascii="Calibri" w:eastAsia="Times New Roman" w:hAnsi="Calibri" w:cs="Calibri"/>
                <w:color w:val="000000"/>
              </w:rPr>
              <w:t>Single Exponential Smoothing</w:t>
            </w:r>
          </w:p>
        </w:tc>
        <w:tc>
          <w:tcPr>
            <w:tcW w:w="960" w:type="dxa"/>
            <w:noWrap/>
            <w:hideMark/>
          </w:tcPr>
          <w:p w14:paraId="34AF855A"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6.5918</w:t>
            </w:r>
          </w:p>
        </w:tc>
        <w:tc>
          <w:tcPr>
            <w:tcW w:w="960" w:type="dxa"/>
            <w:noWrap/>
            <w:hideMark/>
          </w:tcPr>
          <w:p w14:paraId="4C9B9121"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69.1136</w:t>
            </w:r>
          </w:p>
        </w:tc>
      </w:tr>
      <w:tr w:rsidR="00053CC2" w:rsidRPr="00053CC2" w14:paraId="312C85D0" w14:textId="77777777" w:rsidTr="00053CC2">
        <w:trPr>
          <w:trHeight w:val="315"/>
          <w:jc w:val="center"/>
        </w:trPr>
        <w:tc>
          <w:tcPr>
            <w:tcW w:w="3070" w:type="dxa"/>
            <w:noWrap/>
            <w:hideMark/>
          </w:tcPr>
          <w:p w14:paraId="46B48F22" w14:textId="77777777" w:rsidR="00053CC2" w:rsidRPr="00FE0519" w:rsidRDefault="00053CC2" w:rsidP="00FE0519">
            <w:pPr>
              <w:rPr>
                <w:rFonts w:ascii="Times New Roman" w:eastAsia="Times New Roman" w:hAnsi="Times New Roman" w:cs="Times New Roman"/>
                <w:color w:val="000000"/>
              </w:rPr>
            </w:pPr>
            <w:r w:rsidRPr="00FE0519">
              <w:rPr>
                <w:rFonts w:ascii="Calibri" w:eastAsia="Times New Roman" w:hAnsi="Calibri" w:cs="Calibri"/>
                <w:color w:val="000000"/>
              </w:rPr>
              <w:t>Double Exponential Smoothing</w:t>
            </w:r>
          </w:p>
        </w:tc>
        <w:tc>
          <w:tcPr>
            <w:tcW w:w="960" w:type="dxa"/>
            <w:noWrap/>
            <w:hideMark/>
          </w:tcPr>
          <w:p w14:paraId="17E3DCA7"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7.6365</w:t>
            </w:r>
          </w:p>
        </w:tc>
        <w:tc>
          <w:tcPr>
            <w:tcW w:w="960" w:type="dxa"/>
            <w:noWrap/>
            <w:hideMark/>
          </w:tcPr>
          <w:p w14:paraId="1B94A938"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91.714</w:t>
            </w:r>
          </w:p>
        </w:tc>
      </w:tr>
      <w:tr w:rsidR="00053CC2" w:rsidRPr="00053CC2" w14:paraId="7A83A86B" w14:textId="77777777" w:rsidTr="00053CC2">
        <w:trPr>
          <w:trHeight w:val="300"/>
          <w:jc w:val="center"/>
        </w:trPr>
        <w:tc>
          <w:tcPr>
            <w:tcW w:w="3070" w:type="dxa"/>
            <w:noWrap/>
            <w:hideMark/>
          </w:tcPr>
          <w:p w14:paraId="14164672" w14:textId="77777777" w:rsidR="00053CC2" w:rsidRPr="00FE0519" w:rsidRDefault="00053CC2" w:rsidP="00FE0519">
            <w:pPr>
              <w:rPr>
                <w:rFonts w:ascii="Calibri" w:eastAsia="Times New Roman" w:hAnsi="Calibri" w:cs="Calibri"/>
                <w:color w:val="000000"/>
              </w:rPr>
            </w:pPr>
            <w:r w:rsidRPr="00FE0519">
              <w:rPr>
                <w:rFonts w:ascii="Calibri" w:eastAsia="Times New Roman" w:hAnsi="Calibri" w:cs="Calibri"/>
                <w:color w:val="000000"/>
              </w:rPr>
              <w:t>Holt's Winters (Additive)</w:t>
            </w:r>
          </w:p>
        </w:tc>
        <w:tc>
          <w:tcPr>
            <w:tcW w:w="960" w:type="dxa"/>
            <w:noWrap/>
            <w:hideMark/>
          </w:tcPr>
          <w:p w14:paraId="35993AA3"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3.9829</w:t>
            </w:r>
          </w:p>
        </w:tc>
        <w:tc>
          <w:tcPr>
            <w:tcW w:w="960" w:type="dxa"/>
            <w:noWrap/>
            <w:hideMark/>
          </w:tcPr>
          <w:p w14:paraId="526B5408"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25.2361</w:t>
            </w:r>
          </w:p>
        </w:tc>
      </w:tr>
      <w:tr w:rsidR="00053CC2" w:rsidRPr="00053CC2" w14:paraId="7F710003" w14:textId="77777777" w:rsidTr="00053CC2">
        <w:trPr>
          <w:trHeight w:val="300"/>
          <w:jc w:val="center"/>
        </w:trPr>
        <w:tc>
          <w:tcPr>
            <w:tcW w:w="3070" w:type="dxa"/>
            <w:noWrap/>
            <w:hideMark/>
          </w:tcPr>
          <w:p w14:paraId="27E11832" w14:textId="77777777" w:rsidR="00053CC2" w:rsidRPr="00FE0519" w:rsidRDefault="00053CC2" w:rsidP="00FE0519">
            <w:pPr>
              <w:rPr>
                <w:rFonts w:ascii="Calibri" w:eastAsia="Times New Roman" w:hAnsi="Calibri" w:cs="Calibri"/>
                <w:color w:val="000000"/>
              </w:rPr>
            </w:pPr>
            <w:r w:rsidRPr="00FE0519">
              <w:rPr>
                <w:rFonts w:ascii="Calibri" w:eastAsia="Times New Roman" w:hAnsi="Calibri" w:cs="Calibri"/>
                <w:color w:val="000000"/>
              </w:rPr>
              <w:t>Holt's Winters (Multiplicative)</w:t>
            </w:r>
          </w:p>
        </w:tc>
        <w:tc>
          <w:tcPr>
            <w:tcW w:w="960" w:type="dxa"/>
            <w:noWrap/>
            <w:hideMark/>
          </w:tcPr>
          <w:p w14:paraId="0169EB71"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3.936</w:t>
            </w:r>
          </w:p>
        </w:tc>
        <w:tc>
          <w:tcPr>
            <w:tcW w:w="960" w:type="dxa"/>
            <w:noWrap/>
            <w:hideMark/>
          </w:tcPr>
          <w:p w14:paraId="577A0725" w14:textId="77777777" w:rsidR="00053CC2" w:rsidRPr="00FE0519" w:rsidRDefault="00053CC2" w:rsidP="00FE0519">
            <w:pPr>
              <w:rPr>
                <w:rFonts w:ascii="Var(--jp-code-font-family)" w:eastAsia="Times New Roman" w:hAnsi="Var(--jp-code-font-family)" w:cs="Calibri"/>
                <w:color w:val="000000"/>
              </w:rPr>
            </w:pPr>
            <w:r w:rsidRPr="00FE0519">
              <w:rPr>
                <w:rFonts w:ascii="Var(--jp-code-font-family)" w:eastAsia="Times New Roman" w:hAnsi="Var(--jp-code-font-family)" w:cs="Calibri"/>
                <w:color w:val="000000"/>
              </w:rPr>
              <w:t>23.5808</w:t>
            </w:r>
          </w:p>
        </w:tc>
      </w:tr>
    </w:tbl>
    <w:p w14:paraId="2D1A7C23" w14:textId="77777777" w:rsidR="00F24415" w:rsidRDefault="00F24415" w:rsidP="001634E8">
      <w:pPr>
        <w:spacing w:line="360" w:lineRule="auto"/>
        <w:jc w:val="both"/>
        <w:rPr>
          <w:rFonts w:ascii="Times New Roman" w:hAnsi="Times New Roman" w:cs="Times New Roman"/>
          <w:b/>
          <w:sz w:val="24"/>
        </w:rPr>
      </w:pPr>
    </w:p>
    <w:p w14:paraId="6C1906BB" w14:textId="77777777" w:rsidR="006D118C" w:rsidRDefault="006D118C" w:rsidP="006D118C">
      <w:pPr>
        <w:spacing w:line="360" w:lineRule="auto"/>
        <w:jc w:val="center"/>
        <w:rPr>
          <w:rFonts w:ascii="Times New Roman" w:hAnsi="Times New Roman" w:cs="Times New Roman"/>
          <w:b/>
          <w:sz w:val="24"/>
        </w:rPr>
      </w:pPr>
      <w:r>
        <w:rPr>
          <w:noProof/>
        </w:rPr>
        <w:drawing>
          <wp:inline distT="0" distB="0" distL="0" distR="0" wp14:anchorId="08606B82" wp14:editId="76091AF6">
            <wp:extent cx="474345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2752725"/>
                    </a:xfrm>
                    <a:prstGeom prst="rect">
                      <a:avLst/>
                    </a:prstGeom>
                  </pic:spPr>
                </pic:pic>
              </a:graphicData>
            </a:graphic>
          </wp:inline>
        </w:drawing>
      </w:r>
    </w:p>
    <w:p w14:paraId="39FC7C2E" w14:textId="05611ADC" w:rsidR="00D269E3" w:rsidRPr="00D269E3" w:rsidRDefault="00D269E3" w:rsidP="00D269E3">
      <w:pPr>
        <w:pStyle w:val="Caption"/>
        <w:jc w:val="center"/>
        <w:rPr>
          <w:rFonts w:ascii="Times New Roman" w:hAnsi="Times New Roman" w:cs="Times New Roman"/>
          <w:sz w:val="22"/>
          <w:szCs w:val="22"/>
        </w:rPr>
      </w:pPr>
      <w:bookmarkStart w:id="31" w:name="_Toc161314074"/>
      <w:r w:rsidRPr="00D269E3">
        <w:rPr>
          <w:rFonts w:ascii="Times New Roman" w:hAnsi="Times New Roman" w:cs="Times New Roman"/>
          <w:sz w:val="22"/>
          <w:szCs w:val="22"/>
        </w:rPr>
        <w:t xml:space="preserve">Figure </w:t>
      </w:r>
      <w:r w:rsidRPr="00D269E3">
        <w:rPr>
          <w:rFonts w:ascii="Times New Roman" w:hAnsi="Times New Roman" w:cs="Times New Roman"/>
          <w:sz w:val="22"/>
          <w:szCs w:val="22"/>
        </w:rPr>
        <w:fldChar w:fldCharType="begin"/>
      </w:r>
      <w:r w:rsidRPr="00D269E3">
        <w:rPr>
          <w:rFonts w:ascii="Times New Roman" w:hAnsi="Times New Roman" w:cs="Times New Roman"/>
          <w:sz w:val="22"/>
          <w:szCs w:val="22"/>
        </w:rPr>
        <w:instrText xml:space="preserve"> SEQ Figure \* ARABIC </w:instrText>
      </w:r>
      <w:r w:rsidRPr="00D269E3">
        <w:rPr>
          <w:rFonts w:ascii="Times New Roman" w:hAnsi="Times New Roman" w:cs="Times New Roman"/>
          <w:sz w:val="22"/>
          <w:szCs w:val="22"/>
        </w:rPr>
        <w:fldChar w:fldCharType="separate"/>
      </w:r>
      <w:r>
        <w:rPr>
          <w:rFonts w:ascii="Times New Roman" w:hAnsi="Times New Roman" w:cs="Times New Roman"/>
          <w:noProof/>
          <w:sz w:val="22"/>
          <w:szCs w:val="22"/>
        </w:rPr>
        <w:t>14</w:t>
      </w:r>
      <w:r w:rsidRPr="00D269E3">
        <w:rPr>
          <w:rFonts w:ascii="Times New Roman" w:hAnsi="Times New Roman" w:cs="Times New Roman"/>
          <w:sz w:val="22"/>
          <w:szCs w:val="22"/>
        </w:rPr>
        <w:fldChar w:fldCharType="end"/>
      </w:r>
      <w:r w:rsidRPr="00D269E3">
        <w:rPr>
          <w:rFonts w:ascii="Times New Roman" w:hAnsi="Times New Roman" w:cs="Times New Roman"/>
          <w:sz w:val="22"/>
          <w:szCs w:val="22"/>
        </w:rPr>
        <w:t>: Comparison of MAE &amp; MSE values</w:t>
      </w:r>
      <w:bookmarkEnd w:id="31"/>
    </w:p>
    <w:p w14:paraId="172420BB" w14:textId="7F634C23" w:rsidR="00483DC3" w:rsidRPr="00FE0519" w:rsidRDefault="00483DC3" w:rsidP="00FE0519">
      <w:pPr>
        <w:spacing w:line="240" w:lineRule="auto"/>
        <w:jc w:val="both"/>
        <w:rPr>
          <w:rFonts w:ascii="Times New Roman" w:hAnsi="Times New Roman" w:cs="Times New Roman"/>
        </w:rPr>
      </w:pPr>
      <w:r w:rsidRPr="00FE0519">
        <w:rPr>
          <w:rFonts w:ascii="Times New Roman" w:hAnsi="Times New Roman" w:cs="Times New Roman"/>
        </w:rPr>
        <w:t xml:space="preserve">Based on the above output, it is seen that the Holt's </w:t>
      </w:r>
      <w:r w:rsidR="00615F99" w:rsidRPr="00FE0519">
        <w:rPr>
          <w:rFonts w:ascii="Times New Roman" w:hAnsi="Times New Roman" w:cs="Times New Roman"/>
        </w:rPr>
        <w:t>winters</w:t>
      </w:r>
      <w:r w:rsidRPr="00FE0519">
        <w:rPr>
          <w:rFonts w:ascii="Times New Roman" w:hAnsi="Times New Roman" w:cs="Times New Roman"/>
        </w:rPr>
        <w:t xml:space="preserve"> approach (</w:t>
      </w:r>
      <w:sdt>
        <w:sdtPr>
          <w:tag w:val="tii-similarity-U1VCTUlUVEVEX1dPUktfb2lkOjI6NjYwMDUzNzcx"/>
          <w:id w:val="696440668"/>
          <w:placeholder>
            <w:docPart w:val="9DD60978709C45C6BCF30BEB09E4D71E"/>
          </w:placeholder>
          <w15:appearance w15:val="hidden"/>
        </w:sdtPr>
        <w:sdtContent>
          <w:r w:rsidRPr="00FE0519">
            <w:rPr>
              <w:rFonts w:ascii="Times New Roman" w:hAnsi="Times New Roman" w:cs="Times New Roman"/>
            </w:rPr>
            <w:t>both additive</w:t>
          </w:r>
        </w:sdtContent>
      </w:sdt>
      <w:r w:rsidR="4E5C8F6D" w:rsidRPr="77AD8B01">
        <w:rPr>
          <w:rFonts w:ascii="Times New Roman" w:hAnsi="Times New Roman" w:cs="Times New Roman"/>
        </w:rPr>
        <w:t xml:space="preserve"> </w:t>
      </w:r>
      <w:sdt>
        <w:sdtPr>
          <w:tag w:val="tii-similarity-U1VCTUlUVEVEX1dPUktfb2lkOjI6NjYwMDUzNzcx"/>
          <w:id w:val="67592441"/>
          <w:placeholder>
            <w:docPart w:val="9DD60978709C45C6BCF30BEB09E4D71E"/>
          </w:placeholder>
          <w15:appearance w15:val="hidden"/>
        </w:sdtPr>
        <w:sdtContent>
          <w:r w:rsidRPr="00FE0519">
            <w:rPr>
              <w:rFonts w:ascii="Times New Roman" w:hAnsi="Times New Roman" w:cs="Times New Roman"/>
            </w:rPr>
            <w:t>and multiplicative</w:t>
          </w:r>
        </w:sdtContent>
      </w:sdt>
      <w:r w:rsidRPr="00FE0519">
        <w:rPr>
          <w:rFonts w:ascii="Times New Roman" w:hAnsi="Times New Roman" w:cs="Times New Roman"/>
        </w:rPr>
        <w:t xml:space="preserve">) </w:t>
      </w:r>
      <w:r w:rsidR="000160F5" w:rsidRPr="00FE0519">
        <w:rPr>
          <w:rFonts w:ascii="Times New Roman" w:hAnsi="Times New Roman" w:cs="Times New Roman"/>
        </w:rPr>
        <w:t>gives</w:t>
      </w:r>
      <w:r w:rsidRPr="00FE0519">
        <w:rPr>
          <w:rFonts w:ascii="Times New Roman" w:hAnsi="Times New Roman" w:cs="Times New Roman"/>
        </w:rPr>
        <w:t xml:space="preserve"> the best performance compared to </w:t>
      </w:r>
      <w:sdt>
        <w:sdtPr>
          <w:tag w:val="tii-similarity-U1VCTUlUVEVEX1dPUktfb2lkOjI6MTkzNzAy"/>
          <w:id w:val="861811959"/>
          <w:placeholder>
            <w:docPart w:val="9DD60978709C45C6BCF30BEB09E4D71E"/>
          </w:placeholder>
          <w15:appearance w15:val="hidden"/>
        </w:sdtPr>
        <w:sdtContent>
          <w:r w:rsidRPr="00FE0519">
            <w:rPr>
              <w:rFonts w:ascii="Times New Roman" w:hAnsi="Times New Roman" w:cs="Times New Roman"/>
            </w:rPr>
            <w:t>the Moving Average,</w:t>
          </w:r>
        </w:sdtContent>
      </w:sdt>
      <w:r w:rsidRPr="00FE0519">
        <w:rPr>
          <w:rFonts w:ascii="Times New Roman" w:hAnsi="Times New Roman" w:cs="Times New Roman"/>
        </w:rPr>
        <w:t xml:space="preserve"> Single Exponential Smoothing, and Double Exponential Smoothing method when the forecasts are </w:t>
      </w:r>
      <w:sdt>
        <w:sdtPr>
          <w:tag w:val="tii-similarity-SU5URVJORVRfbmFwaWVyLXJlcG9zaXRvcnkud29ya3RyaWJlLmNvbQ=="/>
          <w:id w:val="26120810"/>
          <w:placeholder>
            <w:docPart w:val="9DD60978709C45C6BCF30BEB09E4D71E"/>
          </w:placeholder>
          <w15:appearance w15:val="hidden"/>
        </w:sdtPr>
        <w:sdtContent>
          <w:r w:rsidRPr="00FE0519">
            <w:rPr>
              <w:rFonts w:ascii="Times New Roman" w:hAnsi="Times New Roman" w:cs="Times New Roman"/>
            </w:rPr>
            <w:t>measured using Mean Absolute Error (MAE) and Mean Squared Error</w:t>
          </w:r>
        </w:sdtContent>
      </w:sdt>
      <w:r w:rsidR="4E5C8F6D" w:rsidRPr="77AD8B01">
        <w:rPr>
          <w:rFonts w:ascii="Times New Roman" w:hAnsi="Times New Roman" w:cs="Times New Roman"/>
        </w:rPr>
        <w:t xml:space="preserve"> </w:t>
      </w:r>
      <w:sdt>
        <w:sdtPr>
          <w:tag w:val="tii-similarity-SU5URVJORVRfbmFwaWVyLXJlcG9zaXRvcnkud29ya3RyaWJlLmNvbQ=="/>
          <w:id w:val="894721204"/>
          <w:placeholder>
            <w:docPart w:val="9DD60978709C45C6BCF30BEB09E4D71E"/>
          </w:placeholder>
          <w15:appearance w15:val="hidden"/>
        </w:sdtPr>
        <w:sdtContent>
          <w:r w:rsidRPr="00FE0519">
            <w:rPr>
              <w:rFonts w:ascii="Times New Roman" w:hAnsi="Times New Roman" w:cs="Times New Roman"/>
            </w:rPr>
            <w:t>(MSE</w:t>
          </w:r>
        </w:sdtContent>
      </w:sdt>
      <w:r w:rsidRPr="00FE0519">
        <w:rPr>
          <w:rFonts w:ascii="Times New Roman" w:hAnsi="Times New Roman" w:cs="Times New Roman"/>
        </w:rPr>
        <w:t xml:space="preserve">). For the answering question, </w:t>
      </w:r>
      <w:sdt>
        <w:sdtPr>
          <w:tag w:val="tii-similarity-U1VCTUlUVEVEX1dPUktfb2lkOjI6NDU0MjY3Nzk="/>
          <w:id w:val="1675245769"/>
          <w:placeholder>
            <w:docPart w:val="9DD60978709C45C6BCF30BEB09E4D71E"/>
          </w:placeholder>
          <w15:appearance w15:val="hidden"/>
        </w:sdtPr>
        <w:sdtContent>
          <w:r w:rsidRPr="00FE0519">
            <w:rPr>
              <w:rFonts w:ascii="Times New Roman" w:hAnsi="Times New Roman" w:cs="Times New Roman"/>
            </w:rPr>
            <w:t xml:space="preserve">Holt's </w:t>
          </w:r>
          <w:r w:rsidR="00615F99" w:rsidRPr="00FE0519">
            <w:rPr>
              <w:rFonts w:ascii="Times New Roman" w:hAnsi="Times New Roman" w:cs="Times New Roman"/>
            </w:rPr>
            <w:t>winters</w:t>
          </w:r>
          <w:r w:rsidRPr="00FE0519">
            <w:rPr>
              <w:rFonts w:ascii="Times New Roman" w:hAnsi="Times New Roman" w:cs="Times New Roman"/>
            </w:rPr>
            <w:t xml:space="preserve"> (Multiplicative) shows the</w:t>
          </w:r>
        </w:sdtContent>
      </w:sdt>
      <w:r w:rsidRPr="00FE0519">
        <w:rPr>
          <w:rFonts w:ascii="Times New Roman" w:hAnsi="Times New Roman" w:cs="Times New Roman"/>
        </w:rPr>
        <w:t xml:space="preserve"> highest accuracy and the lowest MAE and MSE values, implying a better accuracy compared to the other methods. </w:t>
      </w:r>
      <w:r w:rsidR="000160F5" w:rsidRPr="00FE0519">
        <w:rPr>
          <w:rFonts w:ascii="Times New Roman" w:hAnsi="Times New Roman" w:cs="Times New Roman"/>
        </w:rPr>
        <w:t>Therefore,</w:t>
      </w:r>
      <w:r w:rsidRPr="00FE0519">
        <w:rPr>
          <w:rFonts w:ascii="Times New Roman" w:hAnsi="Times New Roman" w:cs="Times New Roman"/>
        </w:rPr>
        <w:t xml:space="preserve"> this implies that the additive as well as the multiplicative Holt's </w:t>
      </w:r>
      <w:r w:rsidR="00615F99" w:rsidRPr="00FE0519">
        <w:rPr>
          <w:rFonts w:ascii="Times New Roman" w:hAnsi="Times New Roman" w:cs="Times New Roman"/>
        </w:rPr>
        <w:t>winters</w:t>
      </w:r>
      <w:r w:rsidRPr="00FE0519">
        <w:rPr>
          <w:rFonts w:ascii="Times New Roman" w:hAnsi="Times New Roman" w:cs="Times New Roman"/>
        </w:rPr>
        <w:t xml:space="preserve"> method are more precise in encoding the trends and patterns of the data, giving the former variant the edge in forecasting where precision is a key issue.</w:t>
      </w:r>
      <w:r w:rsidR="00507470" w:rsidRPr="00FE0519">
        <w:rPr>
          <w:rFonts w:ascii="Times New Roman" w:hAnsi="Times New Roman" w:cs="Times New Roman"/>
        </w:rPr>
        <w:t xml:space="preserve"> (Melnychuk et al., 2019).</w:t>
      </w:r>
    </w:p>
    <w:p w14:paraId="3F0BA1F4" w14:textId="77777777" w:rsidR="00EC216D" w:rsidRDefault="00EC216D">
      <w:pPr>
        <w:rPr>
          <w:rFonts w:ascii="Times New Roman" w:hAnsi="Times New Roman" w:cs="Times New Roman"/>
          <w:b/>
          <w:sz w:val="28"/>
        </w:rPr>
      </w:pPr>
      <w:r>
        <w:rPr>
          <w:rFonts w:ascii="Times New Roman" w:hAnsi="Times New Roman" w:cs="Times New Roman"/>
          <w:b/>
          <w:sz w:val="28"/>
        </w:rPr>
        <w:br w:type="page"/>
      </w:r>
    </w:p>
    <w:p w14:paraId="600875E1" w14:textId="45D95E83" w:rsidR="00B50796" w:rsidRPr="00EC216D" w:rsidRDefault="00A7706F" w:rsidP="00EC216D">
      <w:pPr>
        <w:pStyle w:val="Heading1"/>
        <w:rPr>
          <w:rFonts w:ascii="Times New Roman" w:hAnsi="Times New Roman" w:cs="Times New Roman"/>
          <w:sz w:val="44"/>
          <w:szCs w:val="44"/>
        </w:rPr>
      </w:pPr>
      <w:bookmarkStart w:id="32" w:name="_Toc161312200"/>
      <w:r w:rsidRPr="00EC216D">
        <w:rPr>
          <w:rFonts w:ascii="Times New Roman" w:hAnsi="Times New Roman" w:cs="Times New Roman"/>
          <w:sz w:val="44"/>
          <w:szCs w:val="44"/>
        </w:rPr>
        <w:lastRenderedPageBreak/>
        <w:t>3</w:t>
      </w:r>
      <w:r w:rsidR="00B50796" w:rsidRPr="00EC216D">
        <w:rPr>
          <w:rFonts w:ascii="Times New Roman" w:hAnsi="Times New Roman" w:cs="Times New Roman"/>
          <w:sz w:val="44"/>
          <w:szCs w:val="44"/>
        </w:rPr>
        <w:t>. Fundamental Analysis</w:t>
      </w:r>
      <w:bookmarkEnd w:id="32"/>
    </w:p>
    <w:p w14:paraId="3F9F31AC" w14:textId="1E615EC3" w:rsidR="005F2F07" w:rsidRPr="00EC216D" w:rsidRDefault="00EC216D" w:rsidP="00EC216D">
      <w:pPr>
        <w:pStyle w:val="Heading2"/>
        <w:rPr>
          <w:rFonts w:ascii="Times New Roman" w:hAnsi="Times New Roman" w:cs="Times New Roman"/>
          <w:sz w:val="36"/>
          <w:szCs w:val="36"/>
        </w:rPr>
      </w:pPr>
      <w:bookmarkStart w:id="33" w:name="_Toc161312201"/>
      <w:r w:rsidRPr="00EC216D">
        <w:rPr>
          <w:rFonts w:ascii="Times New Roman" w:hAnsi="Times New Roman" w:cs="Times New Roman"/>
          <w:sz w:val="36"/>
          <w:szCs w:val="36"/>
        </w:rPr>
        <w:t xml:space="preserve">3.1 </w:t>
      </w:r>
      <w:r w:rsidR="005F2F07" w:rsidRPr="00EC216D">
        <w:rPr>
          <w:rFonts w:ascii="Times New Roman" w:hAnsi="Times New Roman" w:cs="Times New Roman"/>
          <w:sz w:val="36"/>
          <w:szCs w:val="36"/>
        </w:rPr>
        <w:t>Financial Statements</w:t>
      </w:r>
      <w:bookmarkEnd w:id="33"/>
    </w:p>
    <w:p w14:paraId="594173C4" w14:textId="77777777" w:rsidR="00223A95" w:rsidRPr="00EC216D" w:rsidRDefault="00BB5979" w:rsidP="00EC216D">
      <w:pPr>
        <w:pStyle w:val="Heading3"/>
        <w:rPr>
          <w:rFonts w:ascii="Times New Roman" w:hAnsi="Times New Roman" w:cs="Times New Roman"/>
          <w:sz w:val="28"/>
          <w:szCs w:val="28"/>
        </w:rPr>
      </w:pPr>
      <w:r w:rsidRPr="00EC216D">
        <w:rPr>
          <w:rFonts w:ascii="Times New Roman" w:hAnsi="Times New Roman" w:cs="Times New Roman"/>
          <w:sz w:val="28"/>
          <w:szCs w:val="28"/>
        </w:rPr>
        <w:t xml:space="preserve">     </w:t>
      </w:r>
      <w:bookmarkStart w:id="34" w:name="_Toc161312202"/>
      <w:r w:rsidRPr="00EC216D">
        <w:rPr>
          <w:rFonts w:ascii="Times New Roman" w:hAnsi="Times New Roman" w:cs="Times New Roman"/>
          <w:sz w:val="28"/>
          <w:szCs w:val="28"/>
        </w:rPr>
        <w:t xml:space="preserve">3.1.1 </w:t>
      </w:r>
      <w:r w:rsidR="00223A95" w:rsidRPr="00EC216D">
        <w:rPr>
          <w:rFonts w:ascii="Times New Roman" w:hAnsi="Times New Roman" w:cs="Times New Roman"/>
          <w:sz w:val="28"/>
          <w:szCs w:val="28"/>
        </w:rPr>
        <w:t>Income Statement</w:t>
      </w:r>
      <w:bookmarkEnd w:id="34"/>
    </w:p>
    <w:tbl>
      <w:tblPr>
        <w:tblStyle w:val="TableGridLight"/>
        <w:tblpPr w:leftFromText="180" w:rightFromText="180" w:vertAnchor="text" w:horzAnchor="margin" w:tblpXSpec="center" w:tblpY="1435"/>
        <w:tblW w:w="10380" w:type="dxa"/>
        <w:tblLook w:val="04A0" w:firstRow="1" w:lastRow="0" w:firstColumn="1" w:lastColumn="0" w:noHBand="0" w:noVBand="1"/>
      </w:tblPr>
      <w:tblGrid>
        <w:gridCol w:w="5004"/>
        <w:gridCol w:w="1792"/>
        <w:gridCol w:w="1792"/>
        <w:gridCol w:w="1792"/>
      </w:tblGrid>
      <w:tr w:rsidR="00EC216D" w:rsidRPr="00395216" w14:paraId="40C77A8D" w14:textId="77777777" w:rsidTr="00EC216D">
        <w:tc>
          <w:tcPr>
            <w:tcW w:w="0" w:type="auto"/>
            <w:hideMark/>
          </w:tcPr>
          <w:p w14:paraId="54FDEDA7" w14:textId="77777777" w:rsidR="00EC216D" w:rsidRPr="00FE0519" w:rsidRDefault="00EC216D" w:rsidP="00FE0519">
            <w:pPr>
              <w:spacing w:after="160"/>
              <w:jc w:val="both"/>
              <w:rPr>
                <w:rFonts w:ascii="Times New Roman" w:hAnsi="Times New Roman" w:cs="Times New Roman"/>
                <w:b/>
                <w:bCs/>
              </w:rPr>
            </w:pPr>
            <w:r w:rsidRPr="00FE0519">
              <w:rPr>
                <w:rFonts w:ascii="Times New Roman" w:hAnsi="Times New Roman" w:cs="Times New Roman"/>
                <w:b/>
                <w:bCs/>
              </w:rPr>
              <w:t>Metric</w:t>
            </w:r>
          </w:p>
        </w:tc>
        <w:tc>
          <w:tcPr>
            <w:tcW w:w="0" w:type="auto"/>
            <w:hideMark/>
          </w:tcPr>
          <w:p w14:paraId="2C92FF34" w14:textId="77777777" w:rsidR="00EC216D" w:rsidRPr="00FE0519" w:rsidRDefault="00EC216D" w:rsidP="00FE0519">
            <w:pPr>
              <w:spacing w:after="160"/>
              <w:jc w:val="both"/>
              <w:rPr>
                <w:rFonts w:ascii="Times New Roman" w:hAnsi="Times New Roman" w:cs="Times New Roman"/>
                <w:b/>
                <w:bCs/>
              </w:rPr>
            </w:pPr>
            <w:r w:rsidRPr="00FE0519">
              <w:rPr>
                <w:rFonts w:ascii="Times New Roman" w:hAnsi="Times New Roman" w:cs="Times New Roman"/>
                <w:b/>
                <w:bCs/>
              </w:rPr>
              <w:t>2020</w:t>
            </w:r>
          </w:p>
        </w:tc>
        <w:tc>
          <w:tcPr>
            <w:tcW w:w="0" w:type="auto"/>
            <w:hideMark/>
          </w:tcPr>
          <w:p w14:paraId="1E553812" w14:textId="77777777" w:rsidR="00EC216D" w:rsidRPr="00FE0519" w:rsidRDefault="00EC216D" w:rsidP="00FE0519">
            <w:pPr>
              <w:spacing w:after="160"/>
              <w:jc w:val="both"/>
              <w:rPr>
                <w:rFonts w:ascii="Times New Roman" w:hAnsi="Times New Roman" w:cs="Times New Roman"/>
                <w:b/>
                <w:bCs/>
              </w:rPr>
            </w:pPr>
            <w:r w:rsidRPr="00FE0519">
              <w:rPr>
                <w:rFonts w:ascii="Times New Roman" w:hAnsi="Times New Roman" w:cs="Times New Roman"/>
                <w:b/>
                <w:bCs/>
              </w:rPr>
              <w:t>2021</w:t>
            </w:r>
          </w:p>
        </w:tc>
        <w:tc>
          <w:tcPr>
            <w:tcW w:w="0" w:type="auto"/>
            <w:hideMark/>
          </w:tcPr>
          <w:p w14:paraId="4654DDA2" w14:textId="77777777" w:rsidR="00EC216D" w:rsidRPr="00FE0519" w:rsidRDefault="00EC216D" w:rsidP="00FE0519">
            <w:pPr>
              <w:spacing w:after="160"/>
              <w:jc w:val="both"/>
              <w:rPr>
                <w:rFonts w:ascii="Times New Roman" w:hAnsi="Times New Roman" w:cs="Times New Roman"/>
                <w:b/>
                <w:bCs/>
              </w:rPr>
            </w:pPr>
            <w:r w:rsidRPr="00FE0519">
              <w:rPr>
                <w:rFonts w:ascii="Times New Roman" w:hAnsi="Times New Roman" w:cs="Times New Roman"/>
                <w:b/>
                <w:bCs/>
              </w:rPr>
              <w:t>2022</w:t>
            </w:r>
          </w:p>
        </w:tc>
      </w:tr>
      <w:tr w:rsidR="00EC216D" w:rsidRPr="00395216" w14:paraId="30C597D1" w14:textId="77777777" w:rsidTr="00EC216D">
        <w:tc>
          <w:tcPr>
            <w:tcW w:w="0" w:type="auto"/>
            <w:hideMark/>
          </w:tcPr>
          <w:p w14:paraId="3FB53FE0"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Revenue (Millions)</w:t>
            </w:r>
          </w:p>
        </w:tc>
        <w:tc>
          <w:tcPr>
            <w:tcW w:w="0" w:type="auto"/>
            <w:hideMark/>
          </w:tcPr>
          <w:p w14:paraId="2760473F"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£20,888</w:t>
            </w:r>
          </w:p>
        </w:tc>
        <w:tc>
          <w:tcPr>
            <w:tcW w:w="0" w:type="auto"/>
            <w:hideMark/>
          </w:tcPr>
          <w:p w14:paraId="339A11AE"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£19,360</w:t>
            </w:r>
          </w:p>
        </w:tc>
        <w:tc>
          <w:tcPr>
            <w:tcW w:w="0" w:type="auto"/>
            <w:hideMark/>
          </w:tcPr>
          <w:p w14:paraId="38A5193A"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£14,754</w:t>
            </w:r>
          </w:p>
        </w:tc>
      </w:tr>
      <w:tr w:rsidR="00EC216D" w:rsidRPr="00395216" w14:paraId="73F9E1D0" w14:textId="77777777" w:rsidTr="00EC216D">
        <w:tc>
          <w:tcPr>
            <w:tcW w:w="0" w:type="auto"/>
            <w:hideMark/>
          </w:tcPr>
          <w:sdt>
            <w:sdtPr>
              <w:tag w:val="tii-similarity-U1VCTUlUVEVEX1dPUktfb2lkOjI6NzM1ODc4NDQ2"/>
              <w:id w:val="1671956121"/>
              <w:placeholder>
                <w:docPart w:val="9DD60978709C45C6BCF30BEB09E4D71E"/>
              </w:placeholder>
              <w15:appearance w15:val="hidden"/>
            </w:sdtPr>
            <w:sdtContent>
              <w:p w14:paraId="275E0D49"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EPS Diluted (Millions)</w:t>
                </w:r>
              </w:p>
            </w:sdtContent>
          </w:sdt>
        </w:tc>
        <w:tc>
          <w:tcPr>
            <w:tcW w:w="0" w:type="auto"/>
            <w:hideMark/>
          </w:tcPr>
          <w:p w14:paraId="5E30739F"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£0.26</w:t>
            </w:r>
          </w:p>
        </w:tc>
        <w:tc>
          <w:tcPr>
            <w:tcW w:w="0" w:type="auto"/>
            <w:hideMark/>
          </w:tcPr>
          <w:p w14:paraId="03D08D42"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£0.33</w:t>
            </w:r>
          </w:p>
        </w:tc>
        <w:tc>
          <w:tcPr>
            <w:tcW w:w="0" w:type="auto"/>
            <w:hideMark/>
          </w:tcPr>
          <w:p w14:paraId="72C7BF11"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£0.36</w:t>
            </w:r>
          </w:p>
        </w:tc>
      </w:tr>
      <w:tr w:rsidR="00EC216D" w:rsidRPr="00395216" w14:paraId="7CBE3E6B" w14:textId="77777777" w:rsidTr="00EC216D">
        <w:tc>
          <w:tcPr>
            <w:tcW w:w="0" w:type="auto"/>
            <w:hideMark/>
          </w:tcPr>
          <w:p w14:paraId="5458E578" w14:textId="77777777" w:rsidR="00EC216D" w:rsidRPr="00FE0519" w:rsidRDefault="00F277DA" w:rsidP="00FE0519">
            <w:pPr>
              <w:spacing w:after="160"/>
              <w:jc w:val="both"/>
              <w:rPr>
                <w:rFonts w:ascii="Times New Roman" w:hAnsi="Times New Roman" w:cs="Times New Roman"/>
              </w:rPr>
            </w:pPr>
            <w:sdt>
              <w:sdtPr>
                <w:tag w:val="tii-similarity-U1VCTUlUVEVEX1dPUktfb2lkOjI6NzM1ODc4NDQ2"/>
                <w:id w:val="954763841"/>
                <w:placeholder>
                  <w:docPart w:val="9DD60978709C45C6BCF30BEB09E4D71E"/>
                </w:placeholder>
                <w15:appearance w15:val="hidden"/>
              </w:sdtPr>
              <w:sdtContent>
                <w:r w:rsidR="00EC216D" w:rsidRPr="00FE0519">
                  <w:rPr>
                    <w:rFonts w:ascii="Times New Roman" w:hAnsi="Times New Roman" w:cs="Times New Roman"/>
                  </w:rPr>
                  <w:t>Operating Profit (Millions</w:t>
                </w:r>
              </w:sdtContent>
            </w:sdt>
            <w:r w:rsidR="00EC216D" w:rsidRPr="00FE0519">
              <w:rPr>
                <w:rFonts w:ascii="Times New Roman" w:hAnsi="Times New Roman" w:cs="Times New Roman"/>
              </w:rPr>
              <w:t>)</w:t>
            </w:r>
          </w:p>
        </w:tc>
        <w:tc>
          <w:tcPr>
            <w:tcW w:w="0" w:type="auto"/>
            <w:hideMark/>
          </w:tcPr>
          <w:p w14:paraId="7167FEA3"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£1,006</w:t>
            </w:r>
          </w:p>
        </w:tc>
        <w:tc>
          <w:tcPr>
            <w:tcW w:w="0" w:type="auto"/>
            <w:hideMark/>
          </w:tcPr>
          <w:p w14:paraId="3DA0AF72"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£1,955</w:t>
            </w:r>
          </w:p>
        </w:tc>
        <w:tc>
          <w:tcPr>
            <w:tcW w:w="0" w:type="auto"/>
            <w:hideMark/>
          </w:tcPr>
          <w:p w14:paraId="5877888C"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£4,739</w:t>
            </w:r>
          </w:p>
        </w:tc>
      </w:tr>
      <w:tr w:rsidR="00EC216D" w:rsidRPr="00395216" w14:paraId="4733EDC5" w14:textId="77777777" w:rsidTr="00EC216D">
        <w:trPr>
          <w:trHeight w:val="260"/>
        </w:trPr>
        <w:tc>
          <w:tcPr>
            <w:tcW w:w="0" w:type="auto"/>
            <w:hideMark/>
          </w:tcPr>
          <w:p w14:paraId="296D8DBA"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NET Profit (Millions)</w:t>
            </w:r>
          </w:p>
        </w:tc>
        <w:tc>
          <w:tcPr>
            <w:tcW w:w="0" w:type="auto"/>
            <w:hideMark/>
          </w:tcPr>
          <w:p w14:paraId="6AE2DFFA"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£398</w:t>
            </w:r>
          </w:p>
        </w:tc>
        <w:tc>
          <w:tcPr>
            <w:tcW w:w="0" w:type="auto"/>
            <w:hideMark/>
          </w:tcPr>
          <w:p w14:paraId="1CB757A2"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£2,020</w:t>
            </w:r>
          </w:p>
        </w:tc>
        <w:tc>
          <w:tcPr>
            <w:tcW w:w="0" w:type="auto"/>
            <w:hideMark/>
          </w:tcPr>
          <w:p w14:paraId="40A9A536" w14:textId="77777777" w:rsidR="00EC216D" w:rsidRPr="00FE0519" w:rsidRDefault="00EC216D" w:rsidP="00FE0519">
            <w:pPr>
              <w:spacing w:after="160"/>
              <w:jc w:val="both"/>
              <w:rPr>
                <w:rFonts w:ascii="Times New Roman" w:hAnsi="Times New Roman" w:cs="Times New Roman"/>
              </w:rPr>
            </w:pPr>
            <w:r w:rsidRPr="00FE0519">
              <w:rPr>
                <w:rFonts w:ascii="Times New Roman" w:hAnsi="Times New Roman" w:cs="Times New Roman"/>
              </w:rPr>
              <w:t>£2,268</w:t>
            </w:r>
          </w:p>
        </w:tc>
      </w:tr>
    </w:tbl>
    <w:p w14:paraId="5928B964" w14:textId="75938D3E" w:rsidR="00BD343D" w:rsidRPr="00FE0519" w:rsidRDefault="004B289F" w:rsidP="00FE0519">
      <w:pPr>
        <w:spacing w:before="240" w:line="240" w:lineRule="auto"/>
        <w:jc w:val="both"/>
        <w:rPr>
          <w:rFonts w:ascii="Times New Roman" w:hAnsi="Times New Roman" w:cs="Times New Roman"/>
        </w:rPr>
      </w:pPr>
      <w:r w:rsidRPr="00FE0519">
        <w:rPr>
          <w:rFonts w:ascii="Times New Roman" w:hAnsi="Times New Roman" w:cs="Times New Roman"/>
        </w:rPr>
        <w:t>T</w:t>
      </w:r>
      <w:r w:rsidR="00BD343D" w:rsidRPr="00FE0519">
        <w:rPr>
          <w:rFonts w:ascii="Times New Roman" w:hAnsi="Times New Roman" w:cs="Times New Roman"/>
        </w:rPr>
        <w:t>he trends in favor of higher earnings and lower spending reflect appropriate cost management approaches and profitability of the business segments.</w:t>
      </w:r>
      <w:r w:rsidR="005C41C0" w:rsidRPr="00FE0519">
        <w:rPr>
          <w:rFonts w:ascii="Times New Roman" w:hAnsi="Times New Roman" w:cs="Times New Roman"/>
        </w:rPr>
        <w:br w:type="page"/>
      </w:r>
    </w:p>
    <w:p w14:paraId="705C5631" w14:textId="77777777" w:rsidR="00BD343D" w:rsidRDefault="00BD343D" w:rsidP="00395216">
      <w:pPr>
        <w:spacing w:line="360" w:lineRule="auto"/>
        <w:jc w:val="both"/>
        <w:rPr>
          <w:rFonts w:ascii="Times New Roman" w:hAnsi="Times New Roman" w:cs="Times New Roman"/>
          <w:b/>
          <w:sz w:val="24"/>
        </w:rPr>
      </w:pPr>
    </w:p>
    <w:p w14:paraId="21639B07" w14:textId="22A707B5" w:rsidR="00856A38" w:rsidRDefault="00E41B27" w:rsidP="00F23746">
      <w:pPr>
        <w:spacing w:line="360" w:lineRule="auto"/>
        <w:jc w:val="center"/>
        <w:rPr>
          <w:noProof/>
        </w:rPr>
      </w:pPr>
      <w:r>
        <w:rPr>
          <w:noProof/>
        </w:rPr>
        <w:drawing>
          <wp:inline distT="0" distB="0" distL="0" distR="0" wp14:anchorId="565C4D2C" wp14:editId="2E0969ED">
            <wp:extent cx="2914652"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177" cy="1967889"/>
                    </a:xfrm>
                    <a:prstGeom prst="rect">
                      <a:avLst/>
                    </a:prstGeom>
                  </pic:spPr>
                </pic:pic>
              </a:graphicData>
            </a:graphic>
          </wp:inline>
        </w:drawing>
      </w:r>
      <w:r w:rsidR="00F73270">
        <w:rPr>
          <w:noProof/>
        </w:rPr>
        <w:drawing>
          <wp:inline distT="0" distB="0" distL="0" distR="0" wp14:anchorId="3A3173E0" wp14:editId="16373CDB">
            <wp:extent cx="2836655" cy="20288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6250" cy="2035688"/>
                    </a:xfrm>
                    <a:prstGeom prst="rect">
                      <a:avLst/>
                    </a:prstGeom>
                  </pic:spPr>
                </pic:pic>
              </a:graphicData>
            </a:graphic>
          </wp:inline>
        </w:drawing>
      </w:r>
    </w:p>
    <w:p w14:paraId="053F0D86" w14:textId="7CDF5F93" w:rsidR="00C63460" w:rsidRDefault="00773283" w:rsidP="00F23746">
      <w:pPr>
        <w:spacing w:line="360" w:lineRule="auto"/>
        <w:jc w:val="center"/>
        <w:rPr>
          <w:noProof/>
        </w:rPr>
      </w:pPr>
      <w:r>
        <w:rPr>
          <w:noProof/>
        </w:rPr>
        <w:drawing>
          <wp:inline distT="0" distB="0" distL="0" distR="0" wp14:anchorId="60266749" wp14:editId="3C555188">
            <wp:extent cx="2942536"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8313" cy="2125888"/>
                    </a:xfrm>
                    <a:prstGeom prst="rect">
                      <a:avLst/>
                    </a:prstGeom>
                  </pic:spPr>
                </pic:pic>
              </a:graphicData>
            </a:graphic>
          </wp:inline>
        </w:drawing>
      </w:r>
      <w:r w:rsidR="00A75D51">
        <w:rPr>
          <w:noProof/>
        </w:rPr>
        <w:drawing>
          <wp:inline distT="0" distB="0" distL="0" distR="0" wp14:anchorId="3025AB78" wp14:editId="302FE500">
            <wp:extent cx="2918748"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8090" cy="2073541"/>
                    </a:xfrm>
                    <a:prstGeom prst="rect">
                      <a:avLst/>
                    </a:prstGeom>
                  </pic:spPr>
                </pic:pic>
              </a:graphicData>
            </a:graphic>
          </wp:inline>
        </w:drawing>
      </w:r>
    </w:p>
    <w:p w14:paraId="0E7D10FF" w14:textId="3AFD9D60" w:rsidR="00D269E3" w:rsidRPr="00D269E3" w:rsidRDefault="00D269E3" w:rsidP="00D269E3">
      <w:pPr>
        <w:pStyle w:val="Caption"/>
        <w:jc w:val="center"/>
        <w:rPr>
          <w:rFonts w:ascii="Times New Roman" w:hAnsi="Times New Roman" w:cs="Times New Roman"/>
          <w:sz w:val="22"/>
          <w:szCs w:val="22"/>
        </w:rPr>
      </w:pPr>
      <w:bookmarkStart w:id="35" w:name="_Toc161314075"/>
      <w:r w:rsidRPr="00D269E3">
        <w:rPr>
          <w:rFonts w:ascii="Times New Roman" w:hAnsi="Times New Roman" w:cs="Times New Roman"/>
          <w:sz w:val="22"/>
          <w:szCs w:val="22"/>
        </w:rPr>
        <w:t xml:space="preserve">Figure </w:t>
      </w:r>
      <w:r w:rsidRPr="00D269E3">
        <w:rPr>
          <w:rFonts w:ascii="Times New Roman" w:hAnsi="Times New Roman" w:cs="Times New Roman"/>
          <w:sz w:val="22"/>
          <w:szCs w:val="22"/>
        </w:rPr>
        <w:fldChar w:fldCharType="begin"/>
      </w:r>
      <w:r w:rsidRPr="00D269E3">
        <w:rPr>
          <w:rFonts w:ascii="Times New Roman" w:hAnsi="Times New Roman" w:cs="Times New Roman"/>
          <w:sz w:val="22"/>
          <w:szCs w:val="22"/>
        </w:rPr>
        <w:instrText xml:space="preserve"> SEQ Figure \* ARABIC </w:instrText>
      </w:r>
      <w:r w:rsidRPr="00D269E3">
        <w:rPr>
          <w:rFonts w:ascii="Times New Roman" w:hAnsi="Times New Roman" w:cs="Times New Roman"/>
          <w:sz w:val="22"/>
          <w:szCs w:val="22"/>
        </w:rPr>
        <w:fldChar w:fldCharType="separate"/>
      </w:r>
      <w:r>
        <w:rPr>
          <w:rFonts w:ascii="Times New Roman" w:hAnsi="Times New Roman" w:cs="Times New Roman"/>
          <w:noProof/>
          <w:sz w:val="22"/>
          <w:szCs w:val="22"/>
        </w:rPr>
        <w:t>15</w:t>
      </w:r>
      <w:r w:rsidRPr="00D269E3">
        <w:rPr>
          <w:rFonts w:ascii="Times New Roman" w:hAnsi="Times New Roman" w:cs="Times New Roman"/>
          <w:sz w:val="22"/>
          <w:szCs w:val="22"/>
        </w:rPr>
        <w:fldChar w:fldCharType="end"/>
      </w:r>
      <w:r w:rsidRPr="00D269E3">
        <w:rPr>
          <w:rFonts w:ascii="Times New Roman" w:hAnsi="Times New Roman" w:cs="Times New Roman"/>
          <w:sz w:val="22"/>
          <w:szCs w:val="22"/>
        </w:rPr>
        <w:t>: Income Statement Structure</w:t>
      </w:r>
      <w:bookmarkEnd w:id="35"/>
    </w:p>
    <w:p w14:paraId="32A8C2FD" w14:textId="20A86C28" w:rsidR="00092014" w:rsidRPr="00FE0519" w:rsidRDefault="00092014" w:rsidP="00FE0519">
      <w:pPr>
        <w:spacing w:line="240" w:lineRule="auto"/>
        <w:rPr>
          <w:rFonts w:ascii="Times New Roman" w:hAnsi="Times New Roman" w:cs="Times New Roman"/>
          <w:b/>
        </w:rPr>
      </w:pPr>
      <w:r w:rsidRPr="00FE0519">
        <w:rPr>
          <w:rFonts w:ascii="Times New Roman" w:hAnsi="Times New Roman" w:cs="Times New Roman"/>
        </w:rPr>
        <w:t xml:space="preserve">Revenue of Legal &amp; General Group PLC (LGEN.L) – stood at £20,888 million in 2020 and this was dipped at £14,754 million in 2022 along with notable increase in diluted earnings per share (EPS) and operating profit; EPS was heightened from £0.26 to £0.36 while operating </w:t>
      </w:r>
      <w:r w:rsidR="00E85062" w:rsidRPr="00FE0519">
        <w:rPr>
          <w:rFonts w:ascii="Times New Roman" w:hAnsi="Times New Roman" w:cs="Times New Roman"/>
        </w:rPr>
        <w:t>the</w:t>
      </w:r>
      <w:r w:rsidRPr="00FE0519">
        <w:rPr>
          <w:rFonts w:ascii="Times New Roman" w:hAnsi="Times New Roman" w:cs="Times New Roman"/>
        </w:rPr>
        <w:t xml:space="preserve"> gain had a similar upward trend, thus £398 million was made in the previous period and in the </w:t>
      </w:r>
      <w:r w:rsidR="00E85062" w:rsidRPr="00FE0519">
        <w:rPr>
          <w:rFonts w:ascii="Times New Roman" w:hAnsi="Times New Roman" w:cs="Times New Roman"/>
        </w:rPr>
        <w:t>current,</w:t>
      </w:r>
      <w:r w:rsidRPr="00FE0519">
        <w:rPr>
          <w:rFonts w:ascii="Times New Roman" w:hAnsi="Times New Roman" w:cs="Times New Roman"/>
        </w:rPr>
        <w:t xml:space="preserve"> it was £2,268 </w:t>
      </w:r>
      <w:proofErr w:type="gramStart"/>
      <w:r w:rsidRPr="00FE0519">
        <w:rPr>
          <w:rFonts w:ascii="Times New Roman" w:hAnsi="Times New Roman" w:cs="Times New Roman"/>
        </w:rPr>
        <w:t>million</w:t>
      </w:r>
      <w:proofErr w:type="gramEnd"/>
    </w:p>
    <w:p w14:paraId="0F4D2AA5" w14:textId="77777777" w:rsidR="007D7820" w:rsidRPr="00EC216D" w:rsidRDefault="00660E8C" w:rsidP="00EC216D">
      <w:pPr>
        <w:pStyle w:val="Heading3"/>
        <w:rPr>
          <w:rFonts w:ascii="Times New Roman" w:hAnsi="Times New Roman" w:cs="Times New Roman"/>
          <w:sz w:val="28"/>
          <w:szCs w:val="28"/>
        </w:rPr>
      </w:pPr>
      <w:bookmarkStart w:id="36" w:name="_Toc161312203"/>
      <w:r w:rsidRPr="00EC216D">
        <w:rPr>
          <w:rFonts w:ascii="Times New Roman" w:hAnsi="Times New Roman" w:cs="Times New Roman"/>
          <w:sz w:val="28"/>
          <w:szCs w:val="28"/>
        </w:rPr>
        <w:t>3.1.2 Capital Structure</w:t>
      </w:r>
      <w:bookmarkEnd w:id="36"/>
    </w:p>
    <w:p w14:paraId="1E69C167" w14:textId="29EDA129" w:rsidR="00FE0519" w:rsidRDefault="00796A58" w:rsidP="00FE0519">
      <w:pPr>
        <w:spacing w:before="240" w:line="240" w:lineRule="auto"/>
        <w:jc w:val="both"/>
        <w:rPr>
          <w:rFonts w:ascii="Times New Roman" w:hAnsi="Times New Roman" w:cs="Times New Roman"/>
        </w:rPr>
      </w:pPr>
      <w:r w:rsidRPr="00FE0519">
        <w:rPr>
          <w:rFonts w:ascii="Times New Roman" w:hAnsi="Times New Roman" w:cs="Times New Roman"/>
        </w:rPr>
        <w:t xml:space="preserve">Legal &amp; General Group </w:t>
      </w:r>
      <w:sdt>
        <w:sdtPr>
          <w:tag w:val="tii-similarity-U1VCTUlUVEVEX1dPUktfb2lkOjI6NzM0NDg2MzY1"/>
          <w:id w:val="2134130591"/>
          <w:placeholder>
            <w:docPart w:val="9DD60978709C45C6BCF30BEB09E4D71E"/>
          </w:placeholder>
          <w15:appearance w15:val="hidden"/>
        </w:sdtPr>
        <w:sdtContent>
          <w:r w:rsidRPr="00FE0519">
            <w:rPr>
              <w:rFonts w:ascii="Times New Roman" w:hAnsi="Times New Roman" w:cs="Times New Roman"/>
            </w:rPr>
            <w:t>Plc's capital structure</w:t>
          </w:r>
        </w:sdtContent>
      </w:sdt>
      <w:r w:rsidRPr="00FE0519">
        <w:rPr>
          <w:rFonts w:ascii="Times New Roman" w:hAnsi="Times New Roman" w:cs="Times New Roman"/>
        </w:rPr>
        <w:t xml:space="preserve"> </w:t>
      </w:r>
      <w:r w:rsidR="00E85062" w:rsidRPr="00FE0519">
        <w:rPr>
          <w:rFonts w:ascii="Times New Roman" w:hAnsi="Times New Roman" w:cs="Times New Roman"/>
        </w:rPr>
        <w:t>talks</w:t>
      </w:r>
      <w:r w:rsidRPr="00FE0519">
        <w:rPr>
          <w:rFonts w:ascii="Times New Roman" w:hAnsi="Times New Roman" w:cs="Times New Roman"/>
        </w:rPr>
        <w:t xml:space="preserve"> </w:t>
      </w:r>
      <w:r w:rsidR="005B525A" w:rsidRPr="00FE0519">
        <w:rPr>
          <w:rFonts w:ascii="Times New Roman" w:hAnsi="Times New Roman" w:cs="Times New Roman"/>
        </w:rPr>
        <w:t>about</w:t>
      </w:r>
      <w:r w:rsidRPr="00FE0519">
        <w:rPr>
          <w:rFonts w:ascii="Times New Roman" w:hAnsi="Times New Roman" w:cs="Times New Roman"/>
        </w:rPr>
        <w:t xml:space="preserve"> the total assets, liabilities, and equity continue to slowly decrease from 2020 to 2022. It shows a strategy or shift towards a lightening of the balance sheet aimed at strengthening operating efficiency and managing risks. The decrease in the shareholders' equity shows that the company has divested or paid off debts or somehow pays the dividends. This could influence the company's financial stability and leverage it in the market.</w:t>
      </w:r>
    </w:p>
    <w:p w14:paraId="69E08391" w14:textId="4A33C3CD" w:rsidR="00796A58" w:rsidRPr="00FE0519" w:rsidRDefault="00FE0519" w:rsidP="00D269E3">
      <w:pPr>
        <w:rPr>
          <w:rFonts w:ascii="Times New Roman" w:hAnsi="Times New Roman" w:cs="Times New Roman"/>
        </w:rPr>
      </w:pPr>
      <w:r>
        <w:rPr>
          <w:rFonts w:ascii="Times New Roman" w:hAnsi="Times New Roman" w:cs="Times New Roman"/>
        </w:rPr>
        <w:br w:type="page"/>
      </w:r>
    </w:p>
    <w:tbl>
      <w:tblPr>
        <w:tblStyle w:val="TableGridLight"/>
        <w:tblpPr w:leftFromText="180" w:rightFromText="180" w:vertAnchor="text" w:horzAnchor="margin" w:tblpXSpec="center" w:tblpY="-790"/>
        <w:tblW w:w="0" w:type="auto"/>
        <w:tblLook w:val="04A0" w:firstRow="1" w:lastRow="0" w:firstColumn="1" w:lastColumn="0" w:noHBand="0" w:noVBand="1"/>
      </w:tblPr>
      <w:tblGrid>
        <w:gridCol w:w="656"/>
        <w:gridCol w:w="2331"/>
        <w:gridCol w:w="2685"/>
        <w:gridCol w:w="2380"/>
      </w:tblGrid>
      <w:tr w:rsidR="005F6AB2" w:rsidRPr="00925E2F" w14:paraId="4ED91274" w14:textId="77777777" w:rsidTr="005F6AB2">
        <w:tc>
          <w:tcPr>
            <w:tcW w:w="0" w:type="auto"/>
            <w:hideMark/>
          </w:tcPr>
          <w:p w14:paraId="67ABDE51" w14:textId="77777777" w:rsidR="005F6AB2" w:rsidRPr="00FE0519" w:rsidRDefault="005F6AB2" w:rsidP="005F6AB2">
            <w:pPr>
              <w:spacing w:after="160"/>
              <w:jc w:val="center"/>
              <w:rPr>
                <w:rFonts w:ascii="Times New Roman" w:hAnsi="Times New Roman" w:cs="Times New Roman"/>
                <w:b/>
                <w:bCs/>
              </w:rPr>
            </w:pPr>
            <w:r w:rsidRPr="00FE0519">
              <w:rPr>
                <w:rFonts w:ascii="Times New Roman" w:hAnsi="Times New Roman" w:cs="Times New Roman"/>
                <w:b/>
                <w:bCs/>
              </w:rPr>
              <w:lastRenderedPageBreak/>
              <w:t>Date</w:t>
            </w:r>
          </w:p>
        </w:tc>
        <w:tc>
          <w:tcPr>
            <w:tcW w:w="0" w:type="auto"/>
            <w:hideMark/>
          </w:tcPr>
          <w:sdt>
            <w:sdtPr>
              <w:tag w:val="tii-similarity-SU5URVJORVRfd3d3LmFsaW5lYW4uY29t"/>
              <w:id w:val="501678354"/>
              <w:placeholder>
                <w:docPart w:val="9DD60978709C45C6BCF30BEB09E4D71E"/>
              </w:placeholder>
              <w15:appearance w15:val="hidden"/>
            </w:sdtPr>
            <w:sdtContent>
              <w:p w14:paraId="477CB180" w14:textId="77777777" w:rsidR="005F6AB2" w:rsidRPr="00FE0519" w:rsidRDefault="005F6AB2" w:rsidP="005F6AB2">
                <w:pPr>
                  <w:spacing w:after="160"/>
                  <w:jc w:val="center"/>
                  <w:rPr>
                    <w:rFonts w:ascii="Times New Roman" w:hAnsi="Times New Roman" w:cs="Times New Roman"/>
                    <w:b/>
                    <w:bCs/>
                  </w:rPr>
                </w:pPr>
                <w:r w:rsidRPr="00FE0519">
                  <w:rPr>
                    <w:rFonts w:ascii="Times New Roman" w:hAnsi="Times New Roman" w:cs="Times New Roman"/>
                    <w:b/>
                    <w:bCs/>
                  </w:rPr>
                  <w:t>Total Assets (Millions)</w:t>
                </w:r>
              </w:p>
            </w:sdtContent>
          </w:sdt>
        </w:tc>
        <w:tc>
          <w:tcPr>
            <w:tcW w:w="0" w:type="auto"/>
            <w:hideMark/>
          </w:tcPr>
          <w:sdt>
            <w:sdtPr>
              <w:tag w:val="tii-similarity-SU5URVJORVRfd3d3LmFsaW5lYW4uY29t"/>
              <w:id w:val="1042187716"/>
              <w:placeholder>
                <w:docPart w:val="9DD60978709C45C6BCF30BEB09E4D71E"/>
              </w:placeholder>
              <w15:appearance w15:val="hidden"/>
            </w:sdtPr>
            <w:sdtContent>
              <w:p w14:paraId="15B260CE" w14:textId="77777777" w:rsidR="005F6AB2" w:rsidRPr="00FE0519" w:rsidRDefault="005F6AB2" w:rsidP="005F6AB2">
                <w:pPr>
                  <w:spacing w:after="160"/>
                  <w:jc w:val="center"/>
                  <w:rPr>
                    <w:rFonts w:ascii="Times New Roman" w:hAnsi="Times New Roman" w:cs="Times New Roman"/>
                    <w:b/>
                    <w:bCs/>
                  </w:rPr>
                </w:pPr>
                <w:r w:rsidRPr="00FE0519">
                  <w:rPr>
                    <w:rFonts w:ascii="Times New Roman" w:hAnsi="Times New Roman" w:cs="Times New Roman"/>
                    <w:b/>
                    <w:bCs/>
                  </w:rPr>
                  <w:t>Total Liabilities (Millions)</w:t>
                </w:r>
              </w:p>
            </w:sdtContent>
          </w:sdt>
        </w:tc>
        <w:tc>
          <w:tcPr>
            <w:tcW w:w="0" w:type="auto"/>
            <w:hideMark/>
          </w:tcPr>
          <w:p w14:paraId="7738887D" w14:textId="77777777" w:rsidR="005F6AB2" w:rsidRPr="00FE0519" w:rsidRDefault="00F277DA" w:rsidP="005F6AB2">
            <w:pPr>
              <w:spacing w:after="160"/>
              <w:jc w:val="center"/>
              <w:rPr>
                <w:rFonts w:ascii="Times New Roman" w:hAnsi="Times New Roman" w:cs="Times New Roman"/>
                <w:b/>
                <w:bCs/>
              </w:rPr>
            </w:pPr>
            <w:sdt>
              <w:sdtPr>
                <w:tag w:val="tii-similarity-SU5URVJORVRfd3d3LmFsaW5lYW4uY29t"/>
                <w:id w:val="1048346939"/>
                <w:placeholder>
                  <w:docPart w:val="9DD60978709C45C6BCF30BEB09E4D71E"/>
                </w:placeholder>
                <w15:appearance w15:val="hidden"/>
              </w:sdtPr>
              <w:sdtContent>
                <w:r w:rsidR="005F6AB2" w:rsidRPr="00FE0519">
                  <w:rPr>
                    <w:rFonts w:ascii="Times New Roman" w:hAnsi="Times New Roman" w:cs="Times New Roman"/>
                    <w:b/>
                    <w:bCs/>
                  </w:rPr>
                  <w:t>Total Equity (Millions</w:t>
                </w:r>
              </w:sdtContent>
            </w:sdt>
            <w:r w:rsidR="005F6AB2" w:rsidRPr="00FE0519">
              <w:rPr>
                <w:rFonts w:ascii="Times New Roman" w:hAnsi="Times New Roman" w:cs="Times New Roman"/>
                <w:b/>
                <w:bCs/>
              </w:rPr>
              <w:t>)</w:t>
            </w:r>
          </w:p>
        </w:tc>
      </w:tr>
      <w:tr w:rsidR="005F6AB2" w:rsidRPr="00925E2F" w14:paraId="0A93E24D" w14:textId="77777777" w:rsidTr="005F6AB2">
        <w:trPr>
          <w:trHeight w:val="395"/>
        </w:trPr>
        <w:tc>
          <w:tcPr>
            <w:tcW w:w="0" w:type="auto"/>
            <w:hideMark/>
          </w:tcPr>
          <w:p w14:paraId="78A5CD78" w14:textId="77777777" w:rsidR="005F6AB2" w:rsidRPr="00FE0519" w:rsidRDefault="005F6AB2" w:rsidP="005F6AB2">
            <w:pPr>
              <w:spacing w:after="160"/>
              <w:jc w:val="center"/>
              <w:rPr>
                <w:rFonts w:ascii="Times New Roman" w:hAnsi="Times New Roman" w:cs="Times New Roman"/>
                <w:b/>
              </w:rPr>
            </w:pPr>
            <w:r w:rsidRPr="00FE0519">
              <w:rPr>
                <w:rFonts w:ascii="Times New Roman" w:hAnsi="Times New Roman" w:cs="Times New Roman"/>
                <w:b/>
              </w:rPr>
              <w:t>2020</w:t>
            </w:r>
          </w:p>
        </w:tc>
        <w:tc>
          <w:tcPr>
            <w:tcW w:w="0" w:type="auto"/>
            <w:hideMark/>
          </w:tcPr>
          <w:p w14:paraId="0BC872ED"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£167,963</w:t>
            </w:r>
          </w:p>
        </w:tc>
        <w:tc>
          <w:tcPr>
            <w:tcW w:w="0" w:type="auto"/>
            <w:hideMark/>
          </w:tcPr>
          <w:p w14:paraId="23EDAB2B"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£144,006</w:t>
            </w:r>
          </w:p>
        </w:tc>
        <w:tc>
          <w:tcPr>
            <w:tcW w:w="0" w:type="auto"/>
            <w:hideMark/>
          </w:tcPr>
          <w:p w14:paraId="6FCC4585"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£23,957</w:t>
            </w:r>
          </w:p>
        </w:tc>
      </w:tr>
      <w:tr w:rsidR="005F6AB2" w:rsidRPr="00925E2F" w14:paraId="044218FF" w14:textId="77777777" w:rsidTr="005F6AB2">
        <w:tc>
          <w:tcPr>
            <w:tcW w:w="0" w:type="auto"/>
            <w:hideMark/>
          </w:tcPr>
          <w:p w14:paraId="665D5580" w14:textId="77777777" w:rsidR="005F6AB2" w:rsidRPr="00FE0519" w:rsidRDefault="005F6AB2" w:rsidP="005F6AB2">
            <w:pPr>
              <w:spacing w:after="160"/>
              <w:jc w:val="center"/>
              <w:rPr>
                <w:rFonts w:ascii="Times New Roman" w:hAnsi="Times New Roman" w:cs="Times New Roman"/>
                <w:b/>
              </w:rPr>
            </w:pPr>
            <w:r w:rsidRPr="00FE0519">
              <w:rPr>
                <w:rFonts w:ascii="Times New Roman" w:hAnsi="Times New Roman" w:cs="Times New Roman"/>
                <w:b/>
              </w:rPr>
              <w:t>2021</w:t>
            </w:r>
          </w:p>
        </w:tc>
        <w:tc>
          <w:tcPr>
            <w:tcW w:w="0" w:type="auto"/>
            <w:hideMark/>
          </w:tcPr>
          <w:p w14:paraId="25A5EBD0"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£162,064</w:t>
            </w:r>
          </w:p>
        </w:tc>
        <w:tc>
          <w:tcPr>
            <w:tcW w:w="0" w:type="auto"/>
            <w:hideMark/>
          </w:tcPr>
          <w:p w14:paraId="69545C02"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£140,942</w:t>
            </w:r>
          </w:p>
        </w:tc>
        <w:tc>
          <w:tcPr>
            <w:tcW w:w="0" w:type="auto"/>
            <w:hideMark/>
          </w:tcPr>
          <w:p w14:paraId="645AA393"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£21,122</w:t>
            </w:r>
          </w:p>
        </w:tc>
      </w:tr>
      <w:tr w:rsidR="005F6AB2" w:rsidRPr="00925E2F" w14:paraId="52C2F55B" w14:textId="77777777" w:rsidTr="005F6AB2">
        <w:tc>
          <w:tcPr>
            <w:tcW w:w="0" w:type="auto"/>
            <w:hideMark/>
          </w:tcPr>
          <w:p w14:paraId="76C592E6" w14:textId="77777777" w:rsidR="005F6AB2" w:rsidRPr="00FE0519" w:rsidRDefault="005F6AB2" w:rsidP="005F6AB2">
            <w:pPr>
              <w:spacing w:after="160"/>
              <w:jc w:val="center"/>
              <w:rPr>
                <w:rFonts w:ascii="Times New Roman" w:hAnsi="Times New Roman" w:cs="Times New Roman"/>
                <w:b/>
              </w:rPr>
            </w:pPr>
            <w:r w:rsidRPr="00FE0519">
              <w:rPr>
                <w:rFonts w:ascii="Times New Roman" w:hAnsi="Times New Roman" w:cs="Times New Roman"/>
                <w:b/>
              </w:rPr>
              <w:t>2022</w:t>
            </w:r>
          </w:p>
        </w:tc>
        <w:tc>
          <w:tcPr>
            <w:tcW w:w="0" w:type="auto"/>
            <w:hideMark/>
          </w:tcPr>
          <w:p w14:paraId="14A17E77"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£147,675</w:t>
            </w:r>
          </w:p>
        </w:tc>
        <w:tc>
          <w:tcPr>
            <w:tcW w:w="0" w:type="auto"/>
            <w:hideMark/>
          </w:tcPr>
          <w:p w14:paraId="127D46EB"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£129,502</w:t>
            </w:r>
          </w:p>
        </w:tc>
        <w:tc>
          <w:tcPr>
            <w:tcW w:w="0" w:type="auto"/>
            <w:hideMark/>
          </w:tcPr>
          <w:p w14:paraId="6B1654E0" w14:textId="77777777" w:rsidR="005F6AB2" w:rsidRPr="00FE0519" w:rsidRDefault="005F6AB2" w:rsidP="005F6AB2">
            <w:pPr>
              <w:spacing w:after="160"/>
              <w:jc w:val="center"/>
              <w:rPr>
                <w:rFonts w:ascii="Times New Roman" w:hAnsi="Times New Roman" w:cs="Times New Roman"/>
              </w:rPr>
            </w:pPr>
            <w:r w:rsidRPr="00FE0519">
              <w:rPr>
                <w:rFonts w:ascii="Times New Roman" w:hAnsi="Times New Roman" w:cs="Times New Roman"/>
              </w:rPr>
              <w:t>£18,173</w:t>
            </w:r>
          </w:p>
        </w:tc>
      </w:tr>
    </w:tbl>
    <w:p w14:paraId="43CF4B55" w14:textId="6E4F153B" w:rsidR="00C66175" w:rsidRDefault="007A2203" w:rsidP="00C66175">
      <w:pPr>
        <w:keepNext/>
        <w:spacing w:line="360" w:lineRule="auto"/>
      </w:pPr>
      <w:r>
        <w:rPr>
          <w:noProof/>
        </w:rPr>
        <w:drawing>
          <wp:inline distT="0" distB="0" distL="0" distR="0" wp14:anchorId="3870F2A3" wp14:editId="46BB1242">
            <wp:extent cx="5305425" cy="334859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377" cy="3361820"/>
                    </a:xfrm>
                    <a:prstGeom prst="rect">
                      <a:avLst/>
                    </a:prstGeom>
                  </pic:spPr>
                </pic:pic>
              </a:graphicData>
            </a:graphic>
          </wp:inline>
        </w:drawing>
      </w:r>
      <w:r w:rsidR="00D74FC4">
        <w:rPr>
          <w:noProof/>
        </w:rPr>
        <w:drawing>
          <wp:inline distT="0" distB="0" distL="0" distR="0" wp14:anchorId="42283000" wp14:editId="62EA8E27">
            <wp:extent cx="2685535" cy="303658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9660" cy="3041249"/>
                    </a:xfrm>
                    <a:prstGeom prst="rect">
                      <a:avLst/>
                    </a:prstGeom>
                  </pic:spPr>
                </pic:pic>
              </a:graphicData>
            </a:graphic>
          </wp:inline>
        </w:drawing>
      </w:r>
    </w:p>
    <w:p w14:paraId="3FE56DA8" w14:textId="4D37033C" w:rsidR="00D269E3" w:rsidRPr="00D269E3" w:rsidRDefault="00D269E3" w:rsidP="00D269E3">
      <w:pPr>
        <w:pStyle w:val="Caption"/>
        <w:keepNext/>
        <w:jc w:val="center"/>
        <w:rPr>
          <w:rFonts w:ascii="Times New Roman" w:hAnsi="Times New Roman" w:cs="Times New Roman"/>
          <w:sz w:val="22"/>
          <w:szCs w:val="22"/>
        </w:rPr>
      </w:pPr>
      <w:bookmarkStart w:id="37" w:name="_Toc161314076"/>
      <w:r w:rsidRPr="00D269E3">
        <w:rPr>
          <w:rFonts w:ascii="Times New Roman" w:hAnsi="Times New Roman" w:cs="Times New Roman"/>
          <w:sz w:val="22"/>
          <w:szCs w:val="22"/>
        </w:rPr>
        <w:t xml:space="preserve">Figure </w:t>
      </w:r>
      <w:r w:rsidRPr="00D269E3">
        <w:rPr>
          <w:rFonts w:ascii="Times New Roman" w:hAnsi="Times New Roman" w:cs="Times New Roman"/>
          <w:sz w:val="22"/>
          <w:szCs w:val="22"/>
        </w:rPr>
        <w:fldChar w:fldCharType="begin"/>
      </w:r>
      <w:r w:rsidRPr="00D269E3">
        <w:rPr>
          <w:rFonts w:ascii="Times New Roman" w:hAnsi="Times New Roman" w:cs="Times New Roman"/>
          <w:sz w:val="22"/>
          <w:szCs w:val="22"/>
        </w:rPr>
        <w:instrText xml:space="preserve"> SEQ Figure \* ARABIC </w:instrText>
      </w:r>
      <w:r w:rsidRPr="00D269E3">
        <w:rPr>
          <w:rFonts w:ascii="Times New Roman" w:hAnsi="Times New Roman" w:cs="Times New Roman"/>
          <w:sz w:val="22"/>
          <w:szCs w:val="22"/>
        </w:rPr>
        <w:fldChar w:fldCharType="separate"/>
      </w:r>
      <w:r w:rsidRPr="00D269E3">
        <w:rPr>
          <w:rFonts w:ascii="Times New Roman" w:hAnsi="Times New Roman" w:cs="Times New Roman"/>
          <w:sz w:val="22"/>
          <w:szCs w:val="22"/>
        </w:rPr>
        <w:t>16</w:t>
      </w:r>
      <w:r w:rsidRPr="00D269E3">
        <w:rPr>
          <w:rFonts w:ascii="Times New Roman" w:hAnsi="Times New Roman" w:cs="Times New Roman"/>
          <w:sz w:val="22"/>
          <w:szCs w:val="22"/>
        </w:rPr>
        <w:fldChar w:fldCharType="end"/>
      </w:r>
      <w:r w:rsidRPr="00D269E3">
        <w:rPr>
          <w:rFonts w:ascii="Times New Roman" w:hAnsi="Times New Roman" w:cs="Times New Roman"/>
          <w:sz w:val="22"/>
          <w:szCs w:val="22"/>
        </w:rPr>
        <w:t>: Capital Structure</w:t>
      </w:r>
      <w:bookmarkEnd w:id="37"/>
    </w:p>
    <w:p w14:paraId="6F136584" w14:textId="77777777" w:rsidR="002362CC" w:rsidRPr="00FE0519" w:rsidRDefault="002362CC" w:rsidP="00FE0519">
      <w:pPr>
        <w:spacing w:line="240" w:lineRule="auto"/>
        <w:jc w:val="both"/>
        <w:rPr>
          <w:rFonts w:ascii="Times New Roman" w:hAnsi="Times New Roman" w:cs="Times New Roman"/>
        </w:rPr>
      </w:pPr>
      <w:r w:rsidRPr="00FE0519">
        <w:rPr>
          <w:rFonts w:ascii="Times New Roman" w:hAnsi="Times New Roman" w:cs="Times New Roman"/>
        </w:rPr>
        <w:t xml:space="preserve">Legal &amp; General Group PLC (LGEN.L)'s Capital Structure shows the Total Assets decreasing from 167,963 million GBP in 2020 to 147,675 million GBP by 2022 which may mean selling assets or investing less. Simultaneously, the total liabilities also declined from £144,006 million in 2020 to £129,502 million in the year 2022, therefore, demonstrating lower debt or liabilities. Accordingly, the total equity value fell from </w:t>
      </w:r>
      <w:r w:rsidRPr="00FE0519">
        <w:rPr>
          <w:rFonts w:ascii="Times New Roman" w:hAnsi="Times New Roman" w:cs="Times New Roman"/>
        </w:rPr>
        <w:lastRenderedPageBreak/>
        <w:t>£23,957 million in 2020 to £18,173 million in 2022 illustrating a reduced base of shareholder equity may be because of divestment or that retained income was lower.</w:t>
      </w:r>
    </w:p>
    <w:p w14:paraId="562A7329" w14:textId="77777777" w:rsidR="005F2F07" w:rsidRPr="00EC216D" w:rsidRDefault="005915EC" w:rsidP="00EC216D">
      <w:pPr>
        <w:pStyle w:val="Heading2"/>
        <w:rPr>
          <w:rFonts w:ascii="Times New Roman" w:hAnsi="Times New Roman" w:cs="Times New Roman"/>
          <w:sz w:val="36"/>
          <w:szCs w:val="36"/>
        </w:rPr>
      </w:pPr>
      <w:bookmarkStart w:id="38" w:name="_Toc161312204"/>
      <w:r w:rsidRPr="00EC216D">
        <w:rPr>
          <w:rFonts w:ascii="Times New Roman" w:hAnsi="Times New Roman" w:cs="Times New Roman"/>
          <w:sz w:val="36"/>
          <w:szCs w:val="36"/>
        </w:rPr>
        <w:t>3</w:t>
      </w:r>
      <w:r w:rsidR="008E2709" w:rsidRPr="00EC216D">
        <w:rPr>
          <w:rFonts w:ascii="Times New Roman" w:hAnsi="Times New Roman" w:cs="Times New Roman"/>
          <w:sz w:val="36"/>
          <w:szCs w:val="36"/>
        </w:rPr>
        <w:t xml:space="preserve">.2 </w:t>
      </w:r>
      <w:r w:rsidR="005F2F07" w:rsidRPr="00EC216D">
        <w:rPr>
          <w:rFonts w:ascii="Times New Roman" w:hAnsi="Times New Roman" w:cs="Times New Roman"/>
          <w:sz w:val="36"/>
          <w:szCs w:val="36"/>
        </w:rPr>
        <w:t>Strategic Analysis</w:t>
      </w:r>
      <w:bookmarkEnd w:id="38"/>
      <w:r w:rsidR="005F2F07" w:rsidRPr="00EC216D">
        <w:rPr>
          <w:rFonts w:ascii="Times New Roman" w:hAnsi="Times New Roman" w:cs="Times New Roman"/>
          <w:sz w:val="36"/>
          <w:szCs w:val="36"/>
        </w:rPr>
        <w:tab/>
      </w:r>
    </w:p>
    <w:p w14:paraId="3590CFA0" w14:textId="43D274DC" w:rsidR="00885C8D" w:rsidRPr="00FE0519" w:rsidRDefault="00885C8D" w:rsidP="00FE0519">
      <w:pPr>
        <w:spacing w:before="240" w:line="240" w:lineRule="auto"/>
        <w:jc w:val="both"/>
        <w:rPr>
          <w:rFonts w:ascii="Times New Roman" w:hAnsi="Times New Roman" w:cs="Times New Roman"/>
        </w:rPr>
      </w:pPr>
      <w:r w:rsidRPr="00FE0519">
        <w:rPr>
          <w:rFonts w:ascii="Times New Roman" w:hAnsi="Times New Roman" w:cs="Times New Roman"/>
        </w:rPr>
        <w:t xml:space="preserve">The Legal &amp; General Group PLC has proved </w:t>
      </w:r>
      <w:sdt>
        <w:sdtPr>
          <w:tag w:val="tii-similarity-U1VCTUlUVEVEX1dPUktfb2lkOjI6NzM0NjkwNDI2"/>
          <w:id w:val="1554714012"/>
          <w:placeholder>
            <w:docPart w:val="9DD60978709C45C6BCF30BEB09E4D71E"/>
          </w:placeholder>
          <w15:appearance w15:val="hidden"/>
        </w:sdtPr>
        <w:sdtContent>
          <w:r w:rsidRPr="00FE0519">
            <w:rPr>
              <w:rFonts w:ascii="Times New Roman" w:hAnsi="Times New Roman" w:cs="Times New Roman"/>
            </w:rPr>
            <w:t>to be a</w:t>
          </w:r>
        </w:sdtContent>
      </w:sdt>
      <w:r w:rsidRPr="00FE0519">
        <w:rPr>
          <w:rFonts w:ascii="Times New Roman" w:hAnsi="Times New Roman" w:cs="Times New Roman"/>
        </w:rPr>
        <w:t xml:space="preserve"> </w:t>
      </w:r>
      <w:r w:rsidR="000A77EB" w:rsidRPr="00FE0519">
        <w:rPr>
          <w:rFonts w:ascii="Times New Roman" w:hAnsi="Times New Roman" w:cs="Times New Roman"/>
        </w:rPr>
        <w:t>strategically balanced</w:t>
      </w:r>
      <w:r w:rsidRPr="00FE0519">
        <w:rPr>
          <w:rFonts w:ascii="Times New Roman" w:hAnsi="Times New Roman" w:cs="Times New Roman"/>
        </w:rPr>
        <w:t xml:space="preserve"> </w:t>
      </w:r>
      <w:r w:rsidR="2B8DE905" w:rsidRPr="62AEF1FF">
        <w:rPr>
          <w:rFonts w:ascii="Times New Roman" w:hAnsi="Times New Roman" w:cs="Times New Roman"/>
        </w:rPr>
        <w:t>organization</w:t>
      </w:r>
      <w:r w:rsidRPr="00FE0519">
        <w:rPr>
          <w:rFonts w:ascii="Times New Roman" w:hAnsi="Times New Roman" w:cs="Times New Roman"/>
        </w:rPr>
        <w:t xml:space="preserve">, evidencing this through the trend of decreasing total assets, liabilities, and equity from 2020 to 2022. An implication </w:t>
      </w:r>
      <w:r w:rsidR="5A53CC43" w:rsidRPr="689A0721">
        <w:rPr>
          <w:rFonts w:ascii="Times New Roman" w:hAnsi="Times New Roman" w:cs="Times New Roman"/>
        </w:rPr>
        <w:t>of</w:t>
      </w:r>
      <w:r w:rsidRPr="00FE0519">
        <w:rPr>
          <w:rFonts w:ascii="Times New Roman" w:hAnsi="Times New Roman" w:cs="Times New Roman"/>
        </w:rPr>
        <w:t xml:space="preserve"> this is that there is always a need for improvement in financial system stability, disclosure of risks and reallocation of funds for core business activities. This kind of strategic </w:t>
      </w:r>
      <w:r w:rsidR="28D8A153" w:rsidRPr="504CD00F">
        <w:rPr>
          <w:rFonts w:ascii="Times New Roman" w:hAnsi="Times New Roman" w:cs="Times New Roman"/>
        </w:rPr>
        <w:t>move</w:t>
      </w:r>
      <w:r w:rsidRPr="00FE0519">
        <w:rPr>
          <w:rFonts w:ascii="Times New Roman" w:hAnsi="Times New Roman" w:cs="Times New Roman"/>
        </w:rPr>
        <w:t xml:space="preserve"> sets the business up for making timely responses to </w:t>
      </w:r>
      <w:r w:rsidR="1698E860" w:rsidRPr="504CD00F">
        <w:rPr>
          <w:rFonts w:ascii="Times New Roman" w:hAnsi="Times New Roman" w:cs="Times New Roman"/>
        </w:rPr>
        <w:t xml:space="preserve">the </w:t>
      </w:r>
      <w:r w:rsidRPr="00FE0519">
        <w:rPr>
          <w:rFonts w:ascii="Times New Roman" w:hAnsi="Times New Roman" w:cs="Times New Roman"/>
        </w:rPr>
        <w:t xml:space="preserve">changed dynamics of the market as well as </w:t>
      </w:r>
      <w:r w:rsidR="2B0AFA4E" w:rsidRPr="504CD00F">
        <w:rPr>
          <w:rFonts w:ascii="Times New Roman" w:hAnsi="Times New Roman" w:cs="Times New Roman"/>
        </w:rPr>
        <w:t>creating</w:t>
      </w:r>
      <w:r w:rsidRPr="00FE0519">
        <w:rPr>
          <w:rFonts w:ascii="Times New Roman" w:hAnsi="Times New Roman" w:cs="Times New Roman"/>
        </w:rPr>
        <w:t xml:space="preserve"> </w:t>
      </w:r>
      <w:r w:rsidR="463A9B37" w:rsidRPr="5D8E37C0">
        <w:rPr>
          <w:rFonts w:ascii="Times New Roman" w:hAnsi="Times New Roman" w:cs="Times New Roman"/>
        </w:rPr>
        <w:t>chances</w:t>
      </w:r>
      <w:r w:rsidRPr="00FE0519">
        <w:rPr>
          <w:rFonts w:ascii="Times New Roman" w:hAnsi="Times New Roman" w:cs="Times New Roman"/>
        </w:rPr>
        <w:t xml:space="preserve"> for new openings, thereby setting the pace of business in the financial sector.</w:t>
      </w:r>
    </w:p>
    <w:p w14:paraId="0F79FDE7" w14:textId="77777777" w:rsidR="002447AA" w:rsidRPr="00EC216D" w:rsidRDefault="003E6866" w:rsidP="00EC216D">
      <w:pPr>
        <w:pStyle w:val="Heading1"/>
        <w:rPr>
          <w:rFonts w:ascii="Times New Roman" w:hAnsi="Times New Roman" w:cs="Times New Roman"/>
          <w:sz w:val="44"/>
          <w:szCs w:val="44"/>
        </w:rPr>
      </w:pPr>
      <w:bookmarkStart w:id="39" w:name="_Toc161312205"/>
      <w:r w:rsidRPr="00EC216D">
        <w:rPr>
          <w:rFonts w:ascii="Times New Roman" w:hAnsi="Times New Roman" w:cs="Times New Roman"/>
          <w:sz w:val="44"/>
          <w:szCs w:val="44"/>
        </w:rPr>
        <w:t>4</w:t>
      </w:r>
      <w:r w:rsidR="002447AA" w:rsidRPr="00EC216D">
        <w:rPr>
          <w:rFonts w:ascii="Times New Roman" w:hAnsi="Times New Roman" w:cs="Times New Roman"/>
          <w:sz w:val="44"/>
          <w:szCs w:val="44"/>
        </w:rPr>
        <w:t>. Conclusion and Suggestions</w:t>
      </w:r>
      <w:bookmarkEnd w:id="39"/>
    </w:p>
    <w:p w14:paraId="560E330D" w14:textId="645C7769" w:rsidR="002447AA" w:rsidRPr="00FE0519" w:rsidRDefault="002447AA" w:rsidP="00FE0519">
      <w:pPr>
        <w:spacing w:before="240" w:line="240" w:lineRule="auto"/>
        <w:jc w:val="both"/>
        <w:rPr>
          <w:rFonts w:ascii="Times New Roman" w:hAnsi="Times New Roman" w:cs="Times New Roman"/>
        </w:rPr>
      </w:pPr>
      <w:r w:rsidRPr="00FE0519">
        <w:rPr>
          <w:rFonts w:ascii="Times New Roman" w:hAnsi="Times New Roman" w:cs="Times New Roman"/>
        </w:rPr>
        <w:t xml:space="preserve">According to the simulated financial data and the strategic analysis of Legal &amp; General Group PLC, the company </w:t>
      </w:r>
      <w:r w:rsidR="112DE2AA" w:rsidRPr="3B22FFF3">
        <w:rPr>
          <w:rFonts w:ascii="Times New Roman" w:hAnsi="Times New Roman" w:cs="Times New Roman"/>
        </w:rPr>
        <w:t>is</w:t>
      </w:r>
      <w:r w:rsidR="4698381D" w:rsidRPr="3B22FFF3">
        <w:rPr>
          <w:rFonts w:ascii="Times New Roman" w:hAnsi="Times New Roman" w:cs="Times New Roman"/>
        </w:rPr>
        <w:t xml:space="preserve"> in a</w:t>
      </w:r>
      <w:r w:rsidRPr="00FE0519">
        <w:rPr>
          <w:rFonts w:ascii="Times New Roman" w:hAnsi="Times New Roman" w:cs="Times New Roman"/>
        </w:rPr>
        <w:t xml:space="preserve"> </w:t>
      </w:r>
      <w:r w:rsidRPr="00FE0519">
        <w:rPr>
          <w:rFonts w:ascii="Times New Roman" w:hAnsi="Times New Roman" w:cs="Times New Roman"/>
        </w:rPr>
        <w:t xml:space="preserve">strong position, that is, the company has had a consistent revenue growth, efficient cost management and commitment to inclusive capitalism. The strategic high-level investments and well-thought-out complete solutions of financial services sector motivate the company for growth and community involvement </w:t>
      </w:r>
      <w:r w:rsidR="08B4ADA9" w:rsidRPr="21AB22A8">
        <w:rPr>
          <w:rFonts w:ascii="Times New Roman" w:hAnsi="Times New Roman" w:cs="Times New Roman"/>
        </w:rPr>
        <w:t>overall</w:t>
      </w:r>
      <w:r w:rsidR="4698381D" w:rsidRPr="21AB22A8">
        <w:rPr>
          <w:rFonts w:ascii="Times New Roman" w:hAnsi="Times New Roman" w:cs="Times New Roman"/>
        </w:rPr>
        <w:t>.</w:t>
      </w:r>
      <w:r w:rsidRPr="00FE0519">
        <w:rPr>
          <w:rFonts w:ascii="Times New Roman" w:hAnsi="Times New Roman" w:cs="Times New Roman"/>
        </w:rPr>
        <w:t xml:space="preserve"> The hypothetical set of financials including a good net income, robust profit margins, optimal balance and equity ratios show that the institution has efficiently overco</w:t>
      </w:r>
      <w:r w:rsidR="00384B72" w:rsidRPr="00FE0519">
        <w:rPr>
          <w:rFonts w:ascii="Times New Roman" w:hAnsi="Times New Roman" w:cs="Times New Roman"/>
        </w:rPr>
        <w:t>me its operating circumstances.</w:t>
      </w:r>
    </w:p>
    <w:p w14:paraId="79C95309" w14:textId="314CCFFD" w:rsidR="00855354" w:rsidRPr="00FE0519" w:rsidRDefault="002447AA" w:rsidP="00FE0519">
      <w:pPr>
        <w:spacing w:line="240" w:lineRule="auto"/>
        <w:jc w:val="both"/>
        <w:rPr>
          <w:rFonts w:ascii="Times New Roman" w:hAnsi="Times New Roman" w:cs="Times New Roman"/>
        </w:rPr>
      </w:pPr>
      <w:r w:rsidRPr="00FE0519">
        <w:rPr>
          <w:rFonts w:ascii="Times New Roman" w:hAnsi="Times New Roman" w:cs="Times New Roman"/>
        </w:rPr>
        <w:t xml:space="preserve">Proposed measures for Legal &amp; General are to </w:t>
      </w:r>
      <w:r w:rsidR="1E46A88E" w:rsidRPr="2A9985F7">
        <w:rPr>
          <w:rFonts w:ascii="Times New Roman" w:hAnsi="Times New Roman" w:cs="Times New Roman"/>
        </w:rPr>
        <w:t>keep</w:t>
      </w:r>
      <w:r w:rsidRPr="00FE0519">
        <w:rPr>
          <w:rFonts w:ascii="Times New Roman" w:hAnsi="Times New Roman" w:cs="Times New Roman"/>
        </w:rPr>
        <w:t xml:space="preserve"> a keen eye on</w:t>
      </w:r>
      <w:r w:rsidRPr="00FE0519">
        <w:rPr>
          <w:rFonts w:ascii="Times New Roman" w:hAnsi="Times New Roman" w:cs="Times New Roman"/>
        </w:rPr>
        <w:t xml:space="preserve"> </w:t>
      </w:r>
      <w:r w:rsidRPr="00FE0519">
        <w:rPr>
          <w:rFonts w:ascii="Times New Roman" w:hAnsi="Times New Roman" w:cs="Times New Roman"/>
        </w:rPr>
        <w:t xml:space="preserve">market developments, to stay flexible and open to changes in regulations, as well as to keep looking for more creative financial services. The company can in addition strengthen communication with the stakeholders </w:t>
      </w:r>
      <w:r w:rsidR="00A400CE" w:rsidRPr="00FE0519">
        <w:rPr>
          <w:rFonts w:ascii="Times New Roman" w:hAnsi="Times New Roman" w:cs="Times New Roman"/>
        </w:rPr>
        <w:t>to</w:t>
      </w:r>
      <w:r w:rsidRPr="00FE0519">
        <w:rPr>
          <w:rFonts w:ascii="Times New Roman" w:hAnsi="Times New Roman" w:cs="Times New Roman"/>
        </w:rPr>
        <w:t xml:space="preserve"> </w:t>
      </w:r>
      <w:r w:rsidR="518F358D" w:rsidRPr="5943EA32">
        <w:rPr>
          <w:rFonts w:ascii="Times New Roman" w:hAnsi="Times New Roman" w:cs="Times New Roman"/>
        </w:rPr>
        <w:t>display</w:t>
      </w:r>
      <w:r w:rsidRPr="00FE0519">
        <w:rPr>
          <w:rFonts w:ascii="Times New Roman" w:hAnsi="Times New Roman" w:cs="Times New Roman"/>
        </w:rPr>
        <w:t xml:space="preserve"> its mechanism towards inclusion in capitalism and its sustainability efforts. Periodically re-evaluating and fine-tuning strategic goals in accordance with market trends will sustain Legal &amp; General as a dominant player in the finance services industry.</w:t>
      </w:r>
    </w:p>
    <w:p w14:paraId="34FE0009" w14:textId="748D4C4F" w:rsidR="002447AA" w:rsidRDefault="00855354" w:rsidP="00855354">
      <w:pPr>
        <w:rPr>
          <w:rFonts w:ascii="Times New Roman" w:hAnsi="Times New Roman" w:cs="Times New Roman"/>
          <w:sz w:val="24"/>
        </w:rPr>
      </w:pPr>
      <w:r>
        <w:rPr>
          <w:rFonts w:ascii="Times New Roman" w:hAnsi="Times New Roman" w:cs="Times New Roman"/>
          <w:sz w:val="24"/>
        </w:rPr>
        <w:br w:type="page"/>
      </w:r>
    </w:p>
    <w:bookmarkStart w:id="40" w:name="_Toc161312206" w:displacedByCustomXml="next"/>
    <w:sdt>
      <w:sdtPr>
        <w:rPr>
          <w:rFonts w:ascii="Times New Roman" w:eastAsiaTheme="minorEastAsia" w:hAnsi="Times New Roman" w:cs="Times New Roman"/>
          <w:color w:val="auto"/>
          <w:sz w:val="22"/>
          <w:szCs w:val="22"/>
        </w:rPr>
        <w:id w:val="1858158700"/>
        <w:docPartObj>
          <w:docPartGallery w:val="Bibliographies"/>
          <w:docPartUnique/>
        </w:docPartObj>
      </w:sdtPr>
      <w:sdtEndPr/>
      <w:sdtContent>
        <w:p w14:paraId="357EE32E" w14:textId="77777777" w:rsidR="00A260F0" w:rsidRPr="00D72FF3" w:rsidRDefault="00A260F0" w:rsidP="00D72FF3">
          <w:pPr>
            <w:pStyle w:val="Heading1"/>
            <w:spacing w:line="240" w:lineRule="auto"/>
            <w:rPr>
              <w:rFonts w:ascii="Times New Roman" w:hAnsi="Times New Roman" w:cs="Times New Roman"/>
              <w:sz w:val="44"/>
              <w:szCs w:val="44"/>
            </w:rPr>
          </w:pPr>
          <w:r w:rsidRPr="00D72FF3">
            <w:rPr>
              <w:rFonts w:ascii="Times New Roman" w:hAnsi="Times New Roman" w:cs="Times New Roman"/>
              <w:sz w:val="44"/>
              <w:szCs w:val="44"/>
            </w:rPr>
            <w:t>References</w:t>
          </w:r>
          <w:bookmarkEnd w:id="40"/>
        </w:p>
        <w:p w14:paraId="5FDE3E8A" w14:textId="77777777" w:rsidR="00A260F0" w:rsidRPr="00D72FF3" w:rsidRDefault="00F277DA" w:rsidP="00D72FF3">
          <w:pPr>
            <w:pStyle w:val="NormalWeb"/>
            <w:spacing w:before="240" w:beforeAutospacing="0" w:after="240" w:afterAutospacing="0"/>
            <w:rPr>
              <w:rFonts w:eastAsiaTheme="minorEastAsia"/>
              <w:sz w:val="22"/>
              <w:szCs w:val="22"/>
              <w:shd w:val="clear" w:color="auto" w:fill="FFFFFF"/>
              <w:lang w:val="en-US" w:eastAsia="en-US"/>
            </w:rPr>
          </w:pPr>
          <w:sdt>
            <w:sdtPr>
              <w:tag w:val="tii-similarity-SU5URVJORVRfY2libWVlLnZndHUubHQ="/>
              <w:id w:val="1353097818"/>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Cadenas, E., Jaramillo, O. A., &amp; Rivera, W</w:t>
              </w:r>
            </w:sdtContent>
          </w:sdt>
          <w:r w:rsidR="00A260F0" w:rsidRPr="77AD8B01">
            <w:rPr>
              <w:rFonts w:eastAsiaTheme="minorEastAsia"/>
              <w:sz w:val="22"/>
              <w:szCs w:val="22"/>
              <w:shd w:val="clear" w:color="auto" w:fill="FFFFFF"/>
              <w:lang w:val="en-US" w:eastAsia="en-US"/>
            </w:rPr>
            <w:t xml:space="preserve">. (2010b). </w:t>
          </w:r>
          <w:sdt>
            <w:sdtPr>
              <w:tag w:val="tii-similarity-SU5URVJORVRfY2libWVlLnZndHUubHQ="/>
              <w:id w:val="1201441145"/>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Analysis and forecasting of wind</w:t>
              </w:r>
            </w:sdtContent>
          </w:sdt>
          <w:r w:rsidR="630C9AC2" w:rsidRPr="77AD8B01">
            <w:rPr>
              <w:rFonts w:eastAsiaTheme="minorEastAsia"/>
              <w:sz w:val="22"/>
              <w:szCs w:val="22"/>
              <w:shd w:val="clear" w:color="auto" w:fill="FFFFFF"/>
              <w:lang w:val="en-US" w:eastAsia="en-US"/>
            </w:rPr>
            <w:t xml:space="preserve"> </w:t>
          </w:r>
          <w:sdt>
            <w:sdtPr>
              <w:tag w:val="tii-similarity-SU5URVJORVRfY2libWVlLnZndHUubHQ="/>
              <w:id w:val="612183997"/>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 xml:space="preserve">velocity in </w:t>
              </w:r>
              <w:proofErr w:type="spellStart"/>
              <w:r w:rsidR="00A260F0" w:rsidRPr="77AD8B01">
                <w:rPr>
                  <w:rFonts w:eastAsiaTheme="minorEastAsia"/>
                  <w:sz w:val="22"/>
                  <w:szCs w:val="22"/>
                  <w:shd w:val="clear" w:color="auto" w:fill="FFFFFF"/>
                  <w:lang w:val="en-US" w:eastAsia="en-US"/>
                </w:rPr>
                <w:t>chetumal</w:t>
              </w:r>
              <w:proofErr w:type="spellEnd"/>
              <w:r w:rsidR="00A260F0" w:rsidRPr="77AD8B01">
                <w:rPr>
                  <w:rFonts w:eastAsiaTheme="minorEastAsia"/>
                  <w:sz w:val="22"/>
                  <w:szCs w:val="22"/>
                  <w:shd w:val="clear" w:color="auto" w:fill="FFFFFF"/>
                  <w:lang w:val="en-US" w:eastAsia="en-US"/>
                </w:rPr>
                <w:t xml:space="preserve">, </w:t>
              </w:r>
              <w:proofErr w:type="spellStart"/>
              <w:r w:rsidR="00A260F0" w:rsidRPr="77AD8B01">
                <w:rPr>
                  <w:rFonts w:eastAsiaTheme="minorEastAsia"/>
                  <w:sz w:val="22"/>
                  <w:szCs w:val="22"/>
                  <w:shd w:val="clear" w:color="auto" w:fill="FFFFFF"/>
                  <w:lang w:val="en-US" w:eastAsia="en-US"/>
                </w:rPr>
                <w:t>quintana</w:t>
              </w:r>
              <w:proofErr w:type="spellEnd"/>
              <w:r w:rsidR="00A260F0" w:rsidRPr="77AD8B01">
                <w:rPr>
                  <w:rFonts w:eastAsiaTheme="minorEastAsia"/>
                  <w:sz w:val="22"/>
                  <w:szCs w:val="22"/>
                  <w:shd w:val="clear" w:color="auto" w:fill="FFFFFF"/>
                  <w:lang w:val="en-US" w:eastAsia="en-US"/>
                </w:rPr>
                <w:t xml:space="preserve"> </w:t>
              </w:r>
              <w:proofErr w:type="spellStart"/>
              <w:r w:rsidR="00A260F0" w:rsidRPr="77AD8B01">
                <w:rPr>
                  <w:rFonts w:eastAsiaTheme="minorEastAsia"/>
                  <w:sz w:val="22"/>
                  <w:szCs w:val="22"/>
                  <w:shd w:val="clear" w:color="auto" w:fill="FFFFFF"/>
                  <w:lang w:val="en-US" w:eastAsia="en-US"/>
                </w:rPr>
                <w:t>roo</w:t>
              </w:r>
              <w:proofErr w:type="spellEnd"/>
              <w:r w:rsidR="00A260F0" w:rsidRPr="77AD8B01">
                <w:rPr>
                  <w:rFonts w:eastAsiaTheme="minorEastAsia"/>
                  <w:sz w:val="22"/>
                  <w:szCs w:val="22"/>
                  <w:shd w:val="clear" w:color="auto" w:fill="FFFFFF"/>
                  <w:lang w:val="en-US" w:eastAsia="en-US"/>
                </w:rPr>
                <w:t>, using the single exponential smoothing method.</w:t>
              </w:r>
            </w:sdtContent>
          </w:sdt>
          <w:r w:rsidR="630C9AC2" w:rsidRPr="77AD8B01">
            <w:rPr>
              <w:rFonts w:eastAsiaTheme="minorEastAsia"/>
              <w:sz w:val="22"/>
              <w:szCs w:val="22"/>
              <w:shd w:val="clear" w:color="auto" w:fill="FFFFFF"/>
              <w:lang w:val="en-US" w:eastAsia="en-US"/>
            </w:rPr>
            <w:t xml:space="preserve"> </w:t>
          </w:r>
          <w:sdt>
            <w:sdtPr>
              <w:tag w:val="tii-similarity-SU5URVJORVRfY2libWVlLnZndHUubHQ="/>
              <w:id w:val="1606793869"/>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 xml:space="preserve">Renewable Energy, 35(5), 925–930. </w:t>
              </w:r>
              <w:hyperlink r:id="rId32" w:history="1">
                <w:r w:rsidR="00A260F0" w:rsidRPr="77AD8B01">
                  <w:rPr>
                    <w:rStyle w:val="Hyperlink"/>
                    <w:rFonts w:eastAsiaTheme="minorEastAsia"/>
                    <w:sz w:val="22"/>
                    <w:szCs w:val="22"/>
                    <w:shd w:val="clear" w:color="auto" w:fill="FFFFFF"/>
                    <w:lang w:val="en-US" w:eastAsia="en-US"/>
                  </w:rPr>
                  <w:t>https://doi.org/10.1016/j.renene.2009.10.037</w:t>
                </w:r>
              </w:hyperlink>
            </w:sdtContent>
          </w:sdt>
        </w:p>
        <w:p w14:paraId="6C12245F" w14:textId="77777777" w:rsidR="00A260F0" w:rsidRPr="00D72FF3" w:rsidRDefault="00A260F0" w:rsidP="00D72FF3">
          <w:pPr>
            <w:pStyle w:val="NormalWeb"/>
            <w:spacing w:before="0" w:beforeAutospacing="0" w:after="240" w:afterAutospacing="0"/>
            <w:rPr>
              <w:rFonts w:eastAsiaTheme="minorEastAsia"/>
              <w:sz w:val="22"/>
              <w:szCs w:val="22"/>
              <w:shd w:val="clear" w:color="auto" w:fill="FFFFFF"/>
              <w:lang w:val="en-US" w:eastAsia="en-US"/>
            </w:rPr>
          </w:pPr>
          <w:r w:rsidRPr="77AD8B01">
            <w:rPr>
              <w:rFonts w:eastAsiaTheme="minorEastAsia"/>
              <w:sz w:val="22"/>
              <w:szCs w:val="22"/>
              <w:shd w:val="clear" w:color="auto" w:fill="FFFFFF"/>
              <w:lang w:val="en-US" w:eastAsia="en-US"/>
            </w:rPr>
            <w:t>Chatfield, C. (</w:t>
          </w:r>
          <w:sdt>
            <w:sdtPr>
              <w:tag w:val="tii-similarity-SU5URVJORVRfa3RoLmRpdmEtcG9ydGFsLm9yZw=="/>
              <w:id w:val="1552144486"/>
              <w:placeholder>
                <w:docPart w:val="9DD60978709C45C6BCF30BEB09E4D71E"/>
              </w:placeholder>
              <w15:appearance w15:val="hidden"/>
            </w:sdtPr>
            <w:sdtContent>
              <w:r w:rsidRPr="77AD8B01">
                <w:rPr>
                  <w:rFonts w:eastAsiaTheme="minorEastAsia"/>
                  <w:sz w:val="22"/>
                  <w:szCs w:val="22"/>
                  <w:shd w:val="clear" w:color="auto" w:fill="FFFFFF"/>
                  <w:lang w:val="en-US" w:eastAsia="en-US"/>
                </w:rPr>
                <w:t>1978). The Holt-Winters Forecasting Procedure. Applied Statistics, 27(3</w:t>
              </w:r>
            </w:sdtContent>
          </w:sdt>
          <w:r w:rsidRPr="77AD8B01">
            <w:rPr>
              <w:rFonts w:eastAsiaTheme="minorEastAsia"/>
              <w:sz w:val="22"/>
              <w:szCs w:val="22"/>
              <w:shd w:val="clear" w:color="auto" w:fill="FFFFFF"/>
              <w:lang w:val="en-US" w:eastAsia="en-US"/>
            </w:rPr>
            <w:t xml:space="preserve">), 264. </w:t>
          </w:r>
          <w:sdt>
            <w:sdtPr>
              <w:tag w:val="tii-similarity-SU5URVJORVRfa3RoLmRpdmEtcG9ydGFsLm9yZw=="/>
              <w:id w:val="1429387997"/>
              <w:placeholder>
                <w:docPart w:val="9DD60978709C45C6BCF30BEB09E4D71E"/>
              </w:placeholder>
              <w15:appearance w15:val="hidden"/>
            </w:sdtPr>
            <w:sdtContent>
              <w:hyperlink r:id="rId33" w:history="1">
                <w:r w:rsidRPr="00D72FF3">
                  <w:rPr>
                    <w:rStyle w:val="Hyperlink"/>
                    <w:sz w:val="22"/>
                    <w:szCs w:val="22"/>
                    <w:shd w:val="clear" w:color="auto" w:fill="FFFFFF"/>
                    <w:lang w:val="en-US" w:eastAsia="en-US"/>
                  </w:rPr>
                  <w:t>https://doi.org/10.2307/2347162</w:t>
                </w:r>
              </w:hyperlink>
            </w:sdtContent>
          </w:sdt>
        </w:p>
        <w:p w14:paraId="0F0A5477" w14:textId="77777777" w:rsidR="00A260F0" w:rsidRPr="00D72FF3" w:rsidRDefault="00F277DA" w:rsidP="00D72FF3">
          <w:pPr>
            <w:pStyle w:val="NormalWeb"/>
            <w:spacing w:before="0" w:beforeAutospacing="0" w:after="240" w:afterAutospacing="0"/>
            <w:rPr>
              <w:rFonts w:eastAsiaTheme="minorEastAsia"/>
              <w:sz w:val="22"/>
              <w:szCs w:val="22"/>
              <w:shd w:val="clear" w:color="auto" w:fill="FFFFFF"/>
              <w:lang w:val="en-US" w:eastAsia="en-US"/>
            </w:rPr>
          </w:pPr>
          <w:sdt>
            <w:sdtPr>
              <w:tag w:val="tii-similarity-U1VCTUlUVEVEX1dPUktfb2lkOjE6MjYwMzIzNTEyMg=="/>
              <w:id w:val="427359454"/>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Chiarella, C., He, X.-Z., &amp; Hommes, C</w:t>
              </w:r>
            </w:sdtContent>
          </w:sdt>
          <w:r w:rsidR="00A260F0" w:rsidRPr="77AD8B01">
            <w:rPr>
              <w:rFonts w:eastAsiaTheme="minorEastAsia"/>
              <w:sz w:val="22"/>
              <w:szCs w:val="22"/>
              <w:shd w:val="clear" w:color="auto" w:fill="FFFFFF"/>
              <w:lang w:val="en-US" w:eastAsia="en-US"/>
            </w:rPr>
            <w:t xml:space="preserve">. (2006b). </w:t>
          </w:r>
          <w:sdt>
            <w:sdtPr>
              <w:tag w:val="tii-similarity-U1VCTUlUVEVEX1dPUktfb2lkOjE6MjYwMzIzNTEyMg=="/>
              <w:id w:val="2023491682"/>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A dynamic analysis of moving average</w:t>
              </w:r>
            </w:sdtContent>
          </w:sdt>
          <w:r w:rsidR="630C9AC2" w:rsidRPr="77AD8B01">
            <w:rPr>
              <w:rFonts w:eastAsiaTheme="minorEastAsia"/>
              <w:sz w:val="22"/>
              <w:szCs w:val="22"/>
              <w:shd w:val="clear" w:color="auto" w:fill="FFFFFF"/>
              <w:lang w:val="en-US" w:eastAsia="en-US"/>
            </w:rPr>
            <w:t xml:space="preserve"> </w:t>
          </w:r>
          <w:sdt>
            <w:sdtPr>
              <w:tag w:val="tii-similarity-U1VCTUlUVEVEX1dPUktfb2lkOjE6MjYwMzIzNTEyMg=="/>
              <w:id w:val="87708698"/>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rules. Journal of Economic Dynamics and Control, 30(9), 1729–1753.</w:t>
              </w:r>
            </w:sdtContent>
          </w:sdt>
          <w:r w:rsidR="630C9AC2" w:rsidRPr="77AD8B01">
            <w:rPr>
              <w:rFonts w:eastAsiaTheme="minorEastAsia"/>
              <w:sz w:val="22"/>
              <w:szCs w:val="22"/>
              <w:shd w:val="clear" w:color="auto" w:fill="FFFFFF"/>
              <w:lang w:val="en-US" w:eastAsia="en-US"/>
            </w:rPr>
            <w:t xml:space="preserve"> </w:t>
          </w:r>
          <w:sdt>
            <w:sdtPr>
              <w:tag w:val="tii-similarity-U1VCTUlUVEVEX1dPUktfb2lkOjE6MjYwMzIzNTEyMg=="/>
              <w:id w:val="1697120034"/>
              <w:placeholder>
                <w:docPart w:val="9DD60978709C45C6BCF30BEB09E4D71E"/>
              </w:placeholder>
              <w15:appearance w15:val="hidden"/>
            </w:sdtPr>
            <w:sdtContent>
              <w:hyperlink r:id="rId34" w:history="1">
                <w:r w:rsidR="00A260F0" w:rsidRPr="77AD8B01">
                  <w:rPr>
                    <w:rStyle w:val="Hyperlink"/>
                    <w:rFonts w:eastAsiaTheme="minorEastAsia"/>
                    <w:sz w:val="22"/>
                    <w:szCs w:val="22"/>
                    <w:shd w:val="clear" w:color="auto" w:fill="FFFFFF"/>
                    <w:lang w:val="en-US" w:eastAsia="en-US"/>
                  </w:rPr>
                  <w:t>https://doi.org/10.1016/j.jedc.2005.08.014</w:t>
                </w:r>
              </w:hyperlink>
            </w:sdtContent>
          </w:sdt>
        </w:p>
        <w:p w14:paraId="1A5707C3" w14:textId="77777777" w:rsidR="00A260F0" w:rsidRPr="00D72FF3" w:rsidRDefault="00F277DA" w:rsidP="00D72FF3">
          <w:pPr>
            <w:spacing w:line="240" w:lineRule="auto"/>
            <w:rPr>
              <w:rFonts w:ascii="Times New Roman" w:hAnsi="Times New Roman" w:cs="Times New Roman"/>
              <w:shd w:val="clear" w:color="auto" w:fill="FFFFFF"/>
            </w:rPr>
          </w:pPr>
          <w:sdt>
            <w:sdtPr>
              <w:tag w:val="tii-similarity-U1VCTUlUVEVEX1dPUktfb2lkOjI6NzM0Njk2Nzg5"/>
              <w:id w:val="1372438395"/>
              <w:placeholder>
                <w:docPart w:val="9DD60978709C45C6BCF30BEB09E4D71E"/>
              </w:placeholder>
              <w15:appearance w15:val="hidden"/>
            </w:sdtPr>
            <w:sdtContent>
              <w:r w:rsidR="00A260F0" w:rsidRPr="00D72FF3">
                <w:rPr>
                  <w:rFonts w:ascii="Times New Roman" w:hAnsi="Times New Roman" w:cs="Times New Roman"/>
                  <w:shd w:val="clear" w:color="auto" w:fill="FFFFFF"/>
                </w:rPr>
                <w:t>Easton, P.D., McAnally, M.L., Sommers, G.A. and Zhang, X.J., (2018) </w:t>
              </w:r>
              <w:r w:rsidR="00A260F0" w:rsidRPr="00D72FF3">
                <w:rPr>
                  <w:rFonts w:ascii="Times New Roman" w:hAnsi="Times New Roman" w:cs="Times New Roman"/>
                  <w:i/>
                  <w:iCs/>
                  <w:shd w:val="clear" w:color="auto" w:fill="FFFFFF"/>
                </w:rPr>
                <w:t>Financial</w:t>
              </w:r>
            </w:sdtContent>
          </w:sdt>
          <w:r w:rsidR="630C9AC2" w:rsidRPr="77AD8B01">
            <w:rPr>
              <w:rFonts w:ascii="Times New Roman" w:hAnsi="Times New Roman" w:cs="Times New Roman"/>
              <w:i/>
              <w:iCs/>
              <w:shd w:val="clear" w:color="auto" w:fill="FFFFFF"/>
            </w:rPr>
            <w:t xml:space="preserve"> </w:t>
          </w:r>
          <w:sdt>
            <w:sdtPr>
              <w:tag w:val="tii-similarity-U1VCTUlUVEVEX1dPUktfb2lkOjI6NzM0Njk2Nzg5"/>
              <w:id w:val="895121908"/>
              <w:placeholder>
                <w:docPart w:val="9DD60978709C45C6BCF30BEB09E4D71E"/>
              </w:placeholder>
              <w15:appearance w15:val="hidden"/>
            </w:sdtPr>
            <w:sdtContent>
              <w:r w:rsidR="00A260F0" w:rsidRPr="00D72FF3">
                <w:rPr>
                  <w:rFonts w:ascii="Times New Roman" w:hAnsi="Times New Roman" w:cs="Times New Roman"/>
                  <w:i/>
                  <w:iCs/>
                  <w:shd w:val="clear" w:color="auto" w:fill="FFFFFF"/>
                </w:rPr>
                <w:t>statement analysis &amp; valuation</w:t>
              </w:r>
              <w:r w:rsidR="00A260F0" w:rsidRPr="00D72FF3">
                <w:rPr>
                  <w:rFonts w:ascii="Times New Roman" w:hAnsi="Times New Roman" w:cs="Times New Roman"/>
                  <w:shd w:val="clear" w:color="auto" w:fill="FFFFFF"/>
                </w:rPr>
                <w:t>. Boston, MA: Cambridge Business Publishers.</w:t>
              </w:r>
            </w:sdtContent>
          </w:sdt>
          <w:r w:rsidR="630C9AC2" w:rsidRPr="00D72FF3">
            <w:rPr>
              <w:rFonts w:ascii="Times New Roman" w:hAnsi="Times New Roman" w:cs="Times New Roman"/>
            </w:rPr>
            <w:t xml:space="preserve"> </w:t>
          </w:r>
          <w:sdt>
            <w:sdtPr>
              <w:tag w:val="tii-similarity-U1VCTUlUVEVEX1dPUktfb2lkOjI6NzM0Njk2Nzg5"/>
              <w:id w:val="1317119828"/>
              <w:placeholder>
                <w:docPart w:val="9DD60978709C45C6BCF30BEB09E4D71E"/>
              </w:placeholder>
              <w15:appearance w15:val="hidden"/>
            </w:sdtPr>
            <w:sdtContent>
              <w:hyperlink r:id="rId35" w:history="1">
                <w:r w:rsidR="00A260F0" w:rsidRPr="00D72FF3">
                  <w:rPr>
                    <w:rStyle w:val="Hyperlink"/>
                    <w:rFonts w:ascii="Times New Roman" w:hAnsi="Times New Roman" w:cs="Times New Roman"/>
                    <w:shd w:val="clear" w:color="auto" w:fill="FFFFFF"/>
                  </w:rPr>
                  <w:t>https://efaidnbmnnnibpcajpcglclefindmkaj/https://www.fau.edu/graduate/documents/graduate/</w:t>
                </w:r>
                <w:sdt>
                  <w:sdtPr>
                    <w:tag w:val="tii-similarity-U1VCTUlUVEVEX1dPUktfb2lkOjI6NzM0Njk2Nzg5"/>
                    <w:id w:val="710708849"/>
                    <w:placeholder>
                      <w:docPart w:val="9DD60978709C45C6BCF30BEB09E4D71E"/>
                    </w:placeholder>
                    <w15:appearance w15:val="hidden"/>
                  </w:sdtPr>
                  <w:sdtContent>
                    <w:r w:rsidR="00A260F0" w:rsidRPr="00D72FF3">
                      <w:rPr>
                        <w:rStyle w:val="Hyperlink"/>
                        <w:rFonts w:ascii="Times New Roman" w:hAnsi="Times New Roman" w:cs="Times New Roman"/>
                        <w:shd w:val="clear" w:color="auto" w:fill="FFFFFF"/>
                      </w:rPr>
                      <w:t>faculty-and-staff/graduate-council/docs/03212019/NCP-ACG5176.pdf</w:t>
                    </w:r>
                  </w:sdtContent>
                </w:sdt>
              </w:hyperlink>
            </w:sdtContent>
          </w:sdt>
        </w:p>
        <w:p w14:paraId="17D195F7" w14:textId="77777777" w:rsidR="00A260F0" w:rsidRPr="00D72FF3" w:rsidRDefault="00A260F0" w:rsidP="00D72FF3">
          <w:pPr>
            <w:spacing w:line="240" w:lineRule="auto"/>
            <w:rPr>
              <w:rFonts w:ascii="Times New Roman" w:hAnsi="Times New Roman" w:cs="Times New Roman"/>
            </w:rPr>
          </w:pPr>
          <w:r w:rsidRPr="00D72FF3">
            <w:rPr>
              <w:rFonts w:ascii="Times New Roman" w:hAnsi="Times New Roman" w:cs="Times New Roman"/>
            </w:rPr>
            <w:t xml:space="preserve">Forbes. (2022). </w:t>
          </w:r>
          <w:sdt>
            <w:sdtPr>
              <w:tag w:val="tii-similarity-U1VCTUlUVEVEX1dPUktfb2lkOjI6NzI5NjQzNjA1"/>
              <w:id w:val="1136114362"/>
              <w:placeholder>
                <w:docPart w:val="9DD60978709C45C6BCF30BEB09E4D71E"/>
              </w:placeholder>
              <w15:appearance w15:val="hidden"/>
            </w:sdtPr>
            <w:sdtContent>
              <w:r w:rsidRPr="00D72FF3">
                <w:rPr>
                  <w:rFonts w:ascii="Times New Roman" w:hAnsi="Times New Roman" w:cs="Times New Roman"/>
                </w:rPr>
                <w:t>Legal &amp; General Group | Company Overview &amp; News. [online]</w:t>
              </w:r>
            </w:sdtContent>
          </w:sdt>
          <w:r w:rsidR="630C9AC2" w:rsidRPr="77AD8B01">
            <w:rPr>
              <w:rFonts w:ascii="Times New Roman" w:hAnsi="Times New Roman" w:cs="Times New Roman"/>
            </w:rPr>
            <w:t xml:space="preserve"> </w:t>
          </w:r>
          <w:sdt>
            <w:sdtPr>
              <w:tag w:val="tii-similarity-U1VCTUlUVEVEX1dPUktfb2lkOjI6NzI5NjQzNjA1"/>
              <w:id w:val="459582677"/>
              <w:placeholder>
                <w:docPart w:val="9DD60978709C45C6BCF30BEB09E4D71E"/>
              </w:placeholder>
              <w15:appearance w15:val="hidden"/>
            </w:sdtPr>
            <w:sdtContent>
              <w:r w:rsidRPr="00D72FF3">
                <w:rPr>
                  <w:rFonts w:ascii="Times New Roman" w:hAnsi="Times New Roman" w:cs="Times New Roman"/>
                </w:rPr>
                <w:t>Available at: https://www.forbes.com/companies/legal-general-</w:t>
              </w:r>
            </w:sdtContent>
          </w:sdt>
          <w:sdt>
            <w:sdtPr>
              <w:tag w:val="tii-similarity-U1VCTUlUVEVEX1dPUktfb2lkOjI6NzI5NjQzNjA1"/>
              <w:id w:val="1618090353"/>
              <w:placeholder>
                <w:docPart w:val="9DD60978709C45C6BCF30BEB09E4D71E"/>
              </w:placeholder>
              <w15:appearance w15:val="hidden"/>
            </w:sdtPr>
            <w:sdtContent>
              <w:r w:rsidRPr="00D72FF3">
                <w:rPr>
                  <w:rFonts w:ascii="Times New Roman" w:hAnsi="Times New Roman" w:cs="Times New Roman"/>
                </w:rPr>
                <w:t>group/?sh</w:t>
              </w:r>
            </w:sdtContent>
          </w:sdt>
          <w:r w:rsidRPr="00D72FF3">
            <w:rPr>
              <w:rFonts w:ascii="Times New Roman" w:hAnsi="Times New Roman" w:cs="Times New Roman"/>
            </w:rPr>
            <w:t>=73da52d1f558 [</w:t>
          </w:r>
          <w:sdt>
            <w:sdtPr>
              <w:tag w:val="tii-similarity-U1VCTUlUVEVEX1dPUktfb2lkOjI6NzI5NjQzNjA1"/>
              <w:id w:val="1417511760"/>
              <w:placeholder>
                <w:docPart w:val="9DD60978709C45C6BCF30BEB09E4D71E"/>
              </w:placeholder>
              <w15:appearance w15:val="hidden"/>
            </w:sdtPr>
            <w:sdtContent>
              <w:r w:rsidRPr="00D72FF3">
                <w:rPr>
                  <w:rFonts w:ascii="Times New Roman" w:hAnsi="Times New Roman" w:cs="Times New Roman"/>
                </w:rPr>
                <w:t>Accessed</w:t>
              </w:r>
            </w:sdtContent>
          </w:sdt>
          <w:r w:rsidRPr="00D72FF3">
            <w:rPr>
              <w:rFonts w:ascii="Times New Roman" w:hAnsi="Times New Roman" w:cs="Times New Roman"/>
            </w:rPr>
            <w:t xml:space="preserve"> 10 Mar. 2024].</w:t>
          </w:r>
        </w:p>
        <w:p w14:paraId="5E72DB34" w14:textId="77777777" w:rsidR="00A260F0" w:rsidRPr="00D72FF3" w:rsidRDefault="00F277DA" w:rsidP="00D72FF3">
          <w:pPr>
            <w:pStyle w:val="NormalWeb"/>
            <w:spacing w:before="0" w:beforeAutospacing="0" w:after="240" w:afterAutospacing="0"/>
            <w:rPr>
              <w:rFonts w:eastAsiaTheme="minorEastAsia"/>
              <w:sz w:val="22"/>
              <w:szCs w:val="22"/>
              <w:shd w:val="clear" w:color="auto" w:fill="FFFFFF"/>
              <w:lang w:val="en-US" w:eastAsia="en-US"/>
            </w:rPr>
          </w:pPr>
          <w:sdt>
            <w:sdtPr>
              <w:tag w:val="tii-similarity-SU5URVJORVRfZGVyZ2lwYXJrLm9yZy50cg=="/>
              <w:id w:val="450712809"/>
              <w:placeholder>
                <w:docPart w:val="9DD60978709C45C6BCF30BEB09E4D71E"/>
              </w:placeholder>
              <w15:appearance w15:val="hidden"/>
            </w:sdtPr>
            <w:sdtContent>
              <w:proofErr w:type="spellStart"/>
              <w:r w:rsidR="00A260F0" w:rsidRPr="77AD8B01">
                <w:rPr>
                  <w:rFonts w:eastAsiaTheme="minorEastAsia"/>
                  <w:sz w:val="22"/>
                  <w:szCs w:val="22"/>
                  <w:shd w:val="clear" w:color="auto" w:fill="FFFFFF"/>
                  <w:lang w:val="en-US" w:eastAsia="en-US"/>
                </w:rPr>
                <w:t>Hansun</w:t>
              </w:r>
              <w:proofErr w:type="spellEnd"/>
              <w:r w:rsidR="00A260F0" w:rsidRPr="77AD8B01">
                <w:rPr>
                  <w:rFonts w:eastAsiaTheme="minorEastAsia"/>
                  <w:sz w:val="22"/>
                  <w:szCs w:val="22"/>
                  <w:shd w:val="clear" w:color="auto" w:fill="FFFFFF"/>
                  <w:lang w:val="en-US" w:eastAsia="en-US"/>
                </w:rPr>
                <w:t>, S. (2016). A New Approach of Brown’s Double Exponential Smoothing</w:t>
              </w:r>
            </w:sdtContent>
          </w:sdt>
          <w:r w:rsidR="630C9AC2" w:rsidRPr="77AD8B01">
            <w:rPr>
              <w:rFonts w:eastAsiaTheme="minorEastAsia"/>
              <w:sz w:val="22"/>
              <w:szCs w:val="22"/>
              <w:shd w:val="clear" w:color="auto" w:fill="FFFFFF"/>
              <w:lang w:val="en-US" w:eastAsia="en-US"/>
            </w:rPr>
            <w:t xml:space="preserve"> </w:t>
          </w:r>
          <w:sdt>
            <w:sdtPr>
              <w:tag w:val="tii-similarity-SU5URVJORVRfZGVyZ2lwYXJrLm9yZy50cg=="/>
              <w:id w:val="591101331"/>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Method in Time Series Analysis. Balkan Journal of Electrical and Computer</w:t>
              </w:r>
            </w:sdtContent>
          </w:sdt>
          <w:r w:rsidR="630C9AC2" w:rsidRPr="77AD8B01">
            <w:rPr>
              <w:rFonts w:eastAsiaTheme="minorEastAsia"/>
              <w:sz w:val="22"/>
              <w:szCs w:val="22"/>
              <w:shd w:val="clear" w:color="auto" w:fill="FFFFFF"/>
              <w:lang w:val="en-US" w:eastAsia="en-US"/>
            </w:rPr>
            <w:t xml:space="preserve"> </w:t>
          </w:r>
          <w:sdt>
            <w:sdtPr>
              <w:tag w:val="tii-similarity-SU5URVJORVRfZGVyZ2lwYXJrLm9yZy50cg=="/>
              <w:id w:val="965293313"/>
              <w:placeholder>
                <w:docPart w:val="9DD60978709C45C6BCF30BEB09E4D71E"/>
              </w:placeholder>
              <w15:appearance w15:val="hidden"/>
            </w:sdtPr>
            <w:sdtContent>
              <w:r w:rsidR="00A260F0" w:rsidRPr="77AD8B01">
                <w:rPr>
                  <w:rFonts w:eastAsiaTheme="minorEastAsia"/>
                  <w:sz w:val="22"/>
                  <w:szCs w:val="22"/>
                  <w:shd w:val="clear" w:color="auto" w:fill="FFFFFF"/>
                  <w:lang w:val="en-US" w:eastAsia="en-US"/>
                </w:rPr>
                <w:t xml:space="preserve">Engineering, 4(2), 75–78. </w:t>
              </w:r>
              <w:hyperlink r:id="rId36" w:history="1">
                <w:r w:rsidR="00A260F0" w:rsidRPr="77AD8B01">
                  <w:rPr>
                    <w:rStyle w:val="Hyperlink"/>
                    <w:rFonts w:eastAsiaTheme="minorEastAsia"/>
                    <w:sz w:val="22"/>
                    <w:szCs w:val="22"/>
                    <w:shd w:val="clear" w:color="auto" w:fill="FFFFFF"/>
                    <w:lang w:val="en-US" w:eastAsia="en-US"/>
                  </w:rPr>
                  <w:t>https://dergipark.org.tr/en/pub/bajece/issue/36581/415804</w:t>
                </w:r>
              </w:hyperlink>
            </w:sdtContent>
          </w:sdt>
        </w:p>
        <w:p w14:paraId="775035C0" w14:textId="77777777" w:rsidR="00A260F0" w:rsidRPr="00D72FF3" w:rsidRDefault="00F277DA" w:rsidP="00D72FF3">
          <w:pPr>
            <w:spacing w:line="240" w:lineRule="auto"/>
            <w:rPr>
              <w:rFonts w:ascii="Times New Roman" w:hAnsi="Times New Roman" w:cs="Times New Roman"/>
              <w:shd w:val="clear" w:color="auto" w:fill="FFFFFF"/>
            </w:rPr>
          </w:pPr>
          <w:sdt>
            <w:sdtPr>
              <w:tag w:val="tii-similarity-U1VCTUlUVEVEX1dPUktfb2lkOjI6NzAyNjk2NzQ5"/>
              <w:id w:val="1765326117"/>
              <w:placeholder>
                <w:docPart w:val="9DD60978709C45C6BCF30BEB09E4D71E"/>
              </w:placeholder>
              <w15:appearance w15:val="hidden"/>
            </w:sdtPr>
            <w:sdtContent>
              <w:r w:rsidR="00A260F0" w:rsidRPr="00D72FF3">
                <w:rPr>
                  <w:rFonts w:ascii="Times New Roman" w:hAnsi="Times New Roman" w:cs="Times New Roman"/>
                  <w:shd w:val="clear" w:color="auto" w:fill="FFFFFF"/>
                </w:rPr>
                <w:t xml:space="preserve">Melnychuk, Y., </w:t>
              </w:r>
              <w:proofErr w:type="spellStart"/>
              <w:r w:rsidR="00A260F0" w:rsidRPr="00D72FF3">
                <w:rPr>
                  <w:rFonts w:ascii="Times New Roman" w:hAnsi="Times New Roman" w:cs="Times New Roman"/>
                  <w:shd w:val="clear" w:color="auto" w:fill="FFFFFF"/>
                </w:rPr>
                <w:t>Chvertko</w:t>
              </w:r>
              <w:proofErr w:type="spellEnd"/>
              <w:r w:rsidR="00A260F0" w:rsidRPr="00D72FF3">
                <w:rPr>
                  <w:rFonts w:ascii="Times New Roman" w:hAnsi="Times New Roman" w:cs="Times New Roman"/>
                  <w:shd w:val="clear" w:color="auto" w:fill="FFFFFF"/>
                </w:rPr>
                <w:t xml:space="preserve">, L., </w:t>
              </w:r>
              <w:proofErr w:type="spellStart"/>
              <w:r w:rsidR="00A260F0" w:rsidRPr="00D72FF3">
                <w:rPr>
                  <w:rFonts w:ascii="Times New Roman" w:hAnsi="Times New Roman" w:cs="Times New Roman"/>
                  <w:shd w:val="clear" w:color="auto" w:fill="FFFFFF"/>
                </w:rPr>
                <w:t>Korniienko</w:t>
              </w:r>
              <w:proofErr w:type="spellEnd"/>
              <w:r w:rsidR="00A260F0" w:rsidRPr="00D72FF3">
                <w:rPr>
                  <w:rFonts w:ascii="Times New Roman" w:hAnsi="Times New Roman" w:cs="Times New Roman"/>
                  <w:shd w:val="clear" w:color="auto" w:fill="FFFFFF"/>
                </w:rPr>
                <w:t xml:space="preserve">, T., </w:t>
              </w:r>
              <w:proofErr w:type="spellStart"/>
              <w:r w:rsidR="00A260F0" w:rsidRPr="00D72FF3">
                <w:rPr>
                  <w:rFonts w:ascii="Times New Roman" w:hAnsi="Times New Roman" w:cs="Times New Roman"/>
                  <w:shd w:val="clear" w:color="auto" w:fill="FFFFFF"/>
                </w:rPr>
                <w:t>Vinnytska</w:t>
              </w:r>
              <w:proofErr w:type="spellEnd"/>
              <w:r w:rsidR="00A260F0" w:rsidRPr="00D72FF3">
                <w:rPr>
                  <w:rFonts w:ascii="Times New Roman" w:hAnsi="Times New Roman" w:cs="Times New Roman"/>
                  <w:shd w:val="clear" w:color="auto" w:fill="FFFFFF"/>
                </w:rPr>
                <w:t xml:space="preserve">, O. and </w:t>
              </w:r>
              <w:proofErr w:type="spellStart"/>
              <w:r w:rsidR="00A260F0" w:rsidRPr="00D72FF3">
                <w:rPr>
                  <w:rFonts w:ascii="Times New Roman" w:hAnsi="Times New Roman" w:cs="Times New Roman"/>
                  <w:shd w:val="clear" w:color="auto" w:fill="FFFFFF"/>
                </w:rPr>
                <w:t>Garmatiuk</w:t>
              </w:r>
              <w:proofErr w:type="spellEnd"/>
              <w:r w:rsidR="00A260F0" w:rsidRPr="00D72FF3">
                <w:rPr>
                  <w:rFonts w:ascii="Times New Roman" w:hAnsi="Times New Roman" w:cs="Times New Roman"/>
                  <w:shd w:val="clear" w:color="auto" w:fill="FFFFFF"/>
                </w:rPr>
                <w:t>, O., (2019)</w:t>
              </w:r>
            </w:sdtContent>
          </w:sdt>
          <w:r w:rsidR="630C9AC2" w:rsidRPr="00D72FF3">
            <w:rPr>
              <w:rFonts w:ascii="Times New Roman" w:hAnsi="Times New Roman" w:cs="Times New Roman"/>
              <w:shd w:val="clear" w:color="auto" w:fill="FFFFFF"/>
            </w:rPr>
            <w:t xml:space="preserve"> </w:t>
          </w:r>
          <w:sdt>
            <w:sdtPr>
              <w:tag w:val="tii-similarity-U1VCTUlUVEVEX1dPUktfb2lkOjI6NzAyNjk2NzQ5"/>
              <w:id w:val="143200975"/>
              <w:placeholder>
                <w:docPart w:val="9DD60978709C45C6BCF30BEB09E4D71E"/>
              </w:placeholder>
              <w15:appearance w15:val="hidden"/>
            </w:sdtPr>
            <w:sdtContent>
              <w:proofErr w:type="spellStart"/>
              <w:r w:rsidR="00A260F0" w:rsidRPr="00D72FF3">
                <w:rPr>
                  <w:rFonts w:ascii="Times New Roman" w:hAnsi="Times New Roman" w:cs="Times New Roman"/>
                  <w:shd w:val="clear" w:color="auto" w:fill="FFFFFF"/>
                </w:rPr>
                <w:t>Аnalysis</w:t>
              </w:r>
              <w:proofErr w:type="spellEnd"/>
              <w:r w:rsidR="00A260F0" w:rsidRPr="00D72FF3">
                <w:rPr>
                  <w:rFonts w:ascii="Times New Roman" w:hAnsi="Times New Roman" w:cs="Times New Roman"/>
                  <w:shd w:val="clear" w:color="auto" w:fill="FFFFFF"/>
                </w:rPr>
                <w:t xml:space="preserve"> of the factors influencing the market of insurance services in life</w:t>
              </w:r>
            </w:sdtContent>
          </w:sdt>
          <w:r w:rsidR="630C9AC2" w:rsidRPr="00D72FF3">
            <w:rPr>
              <w:rFonts w:ascii="Times New Roman" w:hAnsi="Times New Roman" w:cs="Times New Roman"/>
              <w:shd w:val="clear" w:color="auto" w:fill="FFFFFF"/>
            </w:rPr>
            <w:t xml:space="preserve"> </w:t>
          </w:r>
          <w:sdt>
            <w:sdtPr>
              <w:tag w:val="tii-similarity-U1VCTUlUVEVEX1dPUktfb2lkOjI6NzAyNjk2NzQ5"/>
              <w:id w:val="470467068"/>
              <w:placeholder>
                <w:docPart w:val="9DD60978709C45C6BCF30BEB09E4D71E"/>
              </w:placeholder>
              <w15:appearance w15:val="hidden"/>
            </w:sdtPr>
            <w:sdtContent>
              <w:r w:rsidR="00A260F0" w:rsidRPr="00D72FF3">
                <w:rPr>
                  <w:rFonts w:ascii="Times New Roman" w:hAnsi="Times New Roman" w:cs="Times New Roman"/>
                  <w:shd w:val="clear" w:color="auto" w:fill="FFFFFF"/>
                </w:rPr>
                <w:t>insurance. </w:t>
              </w:r>
              <w:proofErr w:type="spellStart"/>
              <w:r w:rsidR="00A260F0" w:rsidRPr="00D72FF3">
                <w:rPr>
                  <w:rFonts w:ascii="Times New Roman" w:hAnsi="Times New Roman" w:cs="Times New Roman"/>
                  <w:i/>
                  <w:iCs/>
                  <w:shd w:val="clear" w:color="auto" w:fill="FFFFFF"/>
                </w:rPr>
                <w:t>Tem</w:t>
              </w:r>
              <w:proofErr w:type="spellEnd"/>
              <w:r w:rsidR="00A260F0" w:rsidRPr="00D72FF3">
                <w:rPr>
                  <w:rFonts w:ascii="Times New Roman" w:hAnsi="Times New Roman" w:cs="Times New Roman"/>
                  <w:i/>
                  <w:iCs/>
                  <w:shd w:val="clear" w:color="auto" w:fill="FFFFFF"/>
                </w:rPr>
                <w:t xml:space="preserve"> Journal</w:t>
              </w:r>
              <w:r w:rsidR="00A260F0" w:rsidRPr="00D72FF3">
                <w:rPr>
                  <w:rFonts w:ascii="Times New Roman" w:hAnsi="Times New Roman" w:cs="Times New Roman"/>
                  <w:shd w:val="clear" w:color="auto" w:fill="FFFFFF"/>
                </w:rPr>
                <w:t>, </w:t>
              </w:r>
              <w:r w:rsidR="00A260F0" w:rsidRPr="00D72FF3">
                <w:rPr>
                  <w:rFonts w:ascii="Times New Roman" w:hAnsi="Times New Roman" w:cs="Times New Roman"/>
                  <w:i/>
                  <w:iCs/>
                  <w:shd w:val="clear" w:color="auto" w:fill="FFFFFF"/>
                </w:rPr>
                <w:t>8</w:t>
              </w:r>
              <w:r w:rsidR="00A260F0" w:rsidRPr="00D72FF3">
                <w:rPr>
                  <w:rFonts w:ascii="Times New Roman" w:hAnsi="Times New Roman" w:cs="Times New Roman"/>
                  <w:shd w:val="clear" w:color="auto" w:fill="FFFFFF"/>
                </w:rPr>
                <w:t>(1), p.201.</w:t>
              </w:r>
              <w:r w:rsidR="00A260F0" w:rsidRPr="00D72FF3">
                <w:rPr>
                  <w:rFonts w:ascii="Times New Roman" w:hAnsi="Times New Roman" w:cs="Times New Roman"/>
                </w:rPr>
                <w:t xml:space="preserve"> </w:t>
              </w:r>
              <w:hyperlink r:id="rId37" w:history="1">
                <w:r w:rsidR="00A260F0" w:rsidRPr="00D72FF3">
                  <w:rPr>
                    <w:rStyle w:val="Hyperlink"/>
                    <w:rFonts w:ascii="Times New Roman" w:hAnsi="Times New Roman" w:cs="Times New Roman"/>
                    <w:shd w:val="clear" w:color="auto" w:fill="FFFFFF"/>
                  </w:rPr>
                  <w:t>https://www.ceeol.com/search/article-</w:t>
                </w:r>
                <w:sdt>
                  <w:sdtPr>
                    <w:tag w:val="tii-similarity-U1VCTUlUVEVEX1dPUktfb2lkOjI6NzAyNjk2NzQ5"/>
                    <w:id w:val="337763074"/>
                    <w:placeholder>
                      <w:docPart w:val="9DD60978709C45C6BCF30BEB09E4D71E"/>
                    </w:placeholder>
                    <w15:appearance w15:val="hidden"/>
                  </w:sdtPr>
                  <w:sdtContent>
                    <w:r w:rsidR="00A260F0" w:rsidRPr="00D72FF3">
                      <w:rPr>
                        <w:rStyle w:val="Hyperlink"/>
                        <w:rFonts w:ascii="Times New Roman" w:hAnsi="Times New Roman" w:cs="Times New Roman"/>
                        <w:shd w:val="clear" w:color="auto" w:fill="FFFFFF"/>
                      </w:rPr>
                      <w:t>detail?id=746740</w:t>
                    </w:r>
                  </w:sdtContent>
                </w:sdt>
              </w:hyperlink>
            </w:sdtContent>
          </w:sdt>
        </w:p>
        <w:p w14:paraId="5B2AFB1D" w14:textId="77777777" w:rsidR="00A260F0" w:rsidRPr="00D72FF3" w:rsidRDefault="00A260F0" w:rsidP="77AD8B01">
          <w:pPr>
            <w:pStyle w:val="NormalWeb"/>
            <w:shd w:val="clear" w:color="auto" w:fill="FFFFFF" w:themeFill="background1"/>
            <w:spacing w:before="0" w:beforeAutospacing="0" w:after="0" w:afterAutospacing="0"/>
            <w:rPr>
              <w:rFonts w:eastAsiaTheme="minorEastAsia"/>
              <w:sz w:val="22"/>
              <w:szCs w:val="22"/>
              <w:lang w:val="en-US" w:eastAsia="en-US"/>
            </w:rPr>
          </w:pPr>
          <w:proofErr w:type="spellStart"/>
          <w:r w:rsidRPr="77AD8B01">
            <w:rPr>
              <w:rFonts w:eastAsiaTheme="minorEastAsia"/>
              <w:sz w:val="22"/>
              <w:szCs w:val="22"/>
              <w:lang w:val="en-US" w:eastAsia="en-US"/>
            </w:rPr>
            <w:t>Oscroft</w:t>
          </w:r>
          <w:proofErr w:type="spellEnd"/>
          <w:r w:rsidRPr="77AD8B01">
            <w:rPr>
              <w:rFonts w:eastAsiaTheme="minorEastAsia"/>
              <w:sz w:val="22"/>
              <w:szCs w:val="22"/>
              <w:lang w:val="en-US" w:eastAsia="en-US"/>
            </w:rPr>
            <w:t xml:space="preserve">, A. (2023, July 23). </w:t>
          </w:r>
          <w:sdt>
            <w:sdtPr>
              <w:tag w:val="tii-similarity-SU5URVJORVRfd3d3LmZvb2wuY28udWs="/>
              <w:id w:val="1820307219"/>
              <w:placeholder>
                <w:docPart w:val="9DD60978709C45C6BCF30BEB09E4D71E"/>
              </w:placeholder>
              <w15:appearance w15:val="hidden"/>
            </w:sdtPr>
            <w:sdtContent>
              <w:r w:rsidRPr="77AD8B01">
                <w:rPr>
                  <w:rFonts w:eastAsiaTheme="minorEastAsia"/>
                  <w:sz w:val="22"/>
                  <w:szCs w:val="22"/>
                  <w:lang w:val="en-US" w:eastAsia="en-US"/>
                </w:rPr>
                <w:t>Which is better value, the Aviva or Legal &amp; General share</w:t>
              </w:r>
            </w:sdtContent>
          </w:sdt>
          <w:r w:rsidR="630C9AC2" w:rsidRPr="77AD8B01">
            <w:rPr>
              <w:rFonts w:eastAsiaTheme="minorEastAsia"/>
              <w:sz w:val="22"/>
              <w:szCs w:val="22"/>
              <w:lang w:val="en-US" w:eastAsia="en-US"/>
            </w:rPr>
            <w:t xml:space="preserve"> </w:t>
          </w:r>
          <w:sdt>
            <w:sdtPr>
              <w:tag w:val="tii-similarity-SU5URVJORVRfd3d3LmZvb2wuY28udWs="/>
              <w:id w:val="188695354"/>
              <w:placeholder>
                <w:docPart w:val="9DD60978709C45C6BCF30BEB09E4D71E"/>
              </w:placeholder>
              <w15:appearance w15:val="hidden"/>
            </w:sdtPr>
            <w:sdtContent>
              <w:r w:rsidRPr="77AD8B01">
                <w:rPr>
                  <w:rFonts w:eastAsiaTheme="minorEastAsia"/>
                  <w:sz w:val="22"/>
                  <w:szCs w:val="22"/>
                  <w:lang w:val="en-US" w:eastAsia="en-US"/>
                </w:rPr>
                <w:t>price? The Motley Fool UK</w:t>
              </w:r>
            </w:sdtContent>
          </w:sdt>
          <w:r w:rsidR="630C9AC2" w:rsidRPr="77AD8B01">
            <w:rPr>
              <w:rFonts w:eastAsiaTheme="minorEastAsia"/>
              <w:sz w:val="22"/>
              <w:szCs w:val="22"/>
              <w:lang w:val="en-US" w:eastAsia="en-US"/>
            </w:rPr>
            <w:t xml:space="preserve">. </w:t>
          </w:r>
          <w:sdt>
            <w:sdtPr>
              <w:tag w:val="tii-similarity-U1VCTUlUVEVEX1dPUktfb2lkOjI6NzUwMjUzMTQ0"/>
              <w:id w:val="1788956088"/>
              <w:placeholder>
                <w:docPart w:val="FC3972CE69AE48899A2039B2DA9ABD4F"/>
              </w:placeholder>
              <w15:appearance w15:val="hidden"/>
            </w:sdtPr>
            <w:sdtContent>
              <w:hyperlink r:id="rId38">
                <w:r w:rsidR="630C9AC2" w:rsidRPr="77AD8B01">
                  <w:rPr>
                    <w:rStyle w:val="Hyperlink"/>
                    <w:rFonts w:eastAsiaTheme="minorEastAsia"/>
                    <w:sz w:val="22"/>
                    <w:szCs w:val="22"/>
                    <w:lang w:val="en-US" w:eastAsia="en-US"/>
                  </w:rPr>
                  <w:t>https://www.fool.co.uk/2023/07</w:t>
                </w:r>
              </w:hyperlink>
            </w:sdtContent>
          </w:sdt>
          <w:r w:rsidR="630C9AC2" w:rsidRPr="77AD8B01">
            <w:rPr>
              <w:rStyle w:val="Hyperlink"/>
              <w:rFonts w:eastAsiaTheme="minorEastAsia"/>
              <w:sz w:val="22"/>
              <w:szCs w:val="22"/>
              <w:lang w:val="en-US" w:eastAsia="en-US"/>
            </w:rPr>
            <w:t>/23/which-is-better-value-the-aviva-or-legal-general-share-price/</w:t>
          </w:r>
        </w:p>
        <w:p w14:paraId="1AF064D3" w14:textId="77777777" w:rsidR="00A260F0" w:rsidRPr="00D72FF3" w:rsidRDefault="00A260F0" w:rsidP="00D72FF3">
          <w:pPr>
            <w:pStyle w:val="NormalWeb"/>
            <w:shd w:val="clear" w:color="auto" w:fill="FFFFFF"/>
            <w:spacing w:before="0" w:beforeAutospacing="0" w:after="0" w:afterAutospacing="0"/>
            <w:rPr>
              <w:rFonts w:eastAsiaTheme="minorHAnsi"/>
              <w:sz w:val="22"/>
              <w:szCs w:val="22"/>
              <w:lang w:val="en-US" w:eastAsia="en-US"/>
            </w:rPr>
          </w:pPr>
        </w:p>
        <w:p w14:paraId="1358AB9A" w14:textId="77777777" w:rsidR="00A260F0" w:rsidRDefault="00F277DA" w:rsidP="00D72FF3">
          <w:pPr>
            <w:spacing w:line="240" w:lineRule="auto"/>
            <w:rPr>
              <w:rStyle w:val="Hyperlink"/>
              <w:rFonts w:ascii="Times New Roman" w:hAnsi="Times New Roman" w:cs="Times New Roman"/>
              <w:shd w:val="clear" w:color="auto" w:fill="FFFFFF"/>
            </w:rPr>
          </w:pPr>
          <w:sdt>
            <w:sdtPr>
              <w:rPr>
                <w:color w:val="0563C1" w:themeColor="hyperlink"/>
                <w:u w:val="single"/>
              </w:rPr>
              <w:tag w:val="tii-similarity-U1VCTUlUVEVEX1dPUktfb2lkOjI6NzAyNjk2NzQ5"/>
              <w:id w:val="498811203"/>
              <w:placeholder>
                <w:docPart w:val="9DD60978709C45C6BCF30BEB09E4D71E"/>
              </w:placeholder>
              <w15:appearance w15:val="hidden"/>
            </w:sdtPr>
            <w:sdtEndPr>
              <w:rPr>
                <w:color w:val="auto"/>
                <w:u w:val="none"/>
              </w:rPr>
            </w:sdtEndPr>
            <w:sdtContent>
              <w:proofErr w:type="spellStart"/>
              <w:r w:rsidR="00A260F0" w:rsidRPr="00D72FF3">
                <w:rPr>
                  <w:rFonts w:ascii="Times New Roman" w:hAnsi="Times New Roman" w:cs="Times New Roman"/>
                  <w:shd w:val="clear" w:color="auto" w:fill="FFFFFF"/>
                </w:rPr>
                <w:t>Spletukhov</w:t>
              </w:r>
              <w:proofErr w:type="spellEnd"/>
              <w:r w:rsidR="00A260F0" w:rsidRPr="00D72FF3">
                <w:rPr>
                  <w:rFonts w:ascii="Times New Roman" w:hAnsi="Times New Roman" w:cs="Times New Roman"/>
                  <w:shd w:val="clear" w:color="auto" w:fill="FFFFFF"/>
                </w:rPr>
                <w:t>, Y.A., (2019) Attitude of Russian Citizens to Insurance Services: Analytical</w:t>
              </w:r>
            </w:sdtContent>
          </w:sdt>
          <w:r w:rsidR="630C9AC2" w:rsidRPr="00D72FF3">
            <w:rPr>
              <w:rFonts w:ascii="Times New Roman" w:hAnsi="Times New Roman" w:cs="Times New Roman"/>
              <w:shd w:val="clear" w:color="auto" w:fill="FFFFFF"/>
            </w:rPr>
            <w:t xml:space="preserve"> </w:t>
          </w:r>
          <w:sdt>
            <w:sdtPr>
              <w:tag w:val="tii-similarity-U1VCTUlUVEVEX1dPUktfb2lkOjI6NzAyNjk2NzQ5"/>
              <w:id w:val="1555215091"/>
              <w:placeholder>
                <w:docPart w:val="9DD60978709C45C6BCF30BEB09E4D71E"/>
              </w:placeholder>
              <w15:appearance w15:val="hidden"/>
            </w:sdtPr>
            <w:sdtContent>
              <w:r w:rsidR="00A260F0" w:rsidRPr="00D72FF3">
                <w:rPr>
                  <w:rFonts w:ascii="Times New Roman" w:hAnsi="Times New Roman" w:cs="Times New Roman"/>
                  <w:shd w:val="clear" w:color="auto" w:fill="FFFFFF"/>
                </w:rPr>
                <w:t>Review. </w:t>
              </w:r>
              <w:proofErr w:type="spellStart"/>
              <w:r w:rsidR="00A260F0" w:rsidRPr="00D72FF3">
                <w:rPr>
                  <w:rFonts w:ascii="Times New Roman" w:hAnsi="Times New Roman" w:cs="Times New Roman"/>
                  <w:i/>
                  <w:iCs/>
                  <w:shd w:val="clear" w:color="auto" w:fill="FFFFFF"/>
                </w:rPr>
                <w:t>Finansovyj</w:t>
              </w:r>
              <w:proofErr w:type="spellEnd"/>
              <w:r w:rsidR="00A260F0" w:rsidRPr="00D72FF3">
                <w:rPr>
                  <w:rFonts w:ascii="Times New Roman" w:hAnsi="Times New Roman" w:cs="Times New Roman"/>
                  <w:i/>
                  <w:iCs/>
                  <w:shd w:val="clear" w:color="auto" w:fill="FFFFFF"/>
                </w:rPr>
                <w:t xml:space="preserve"> </w:t>
              </w:r>
              <w:proofErr w:type="spellStart"/>
              <w:r w:rsidR="00A260F0" w:rsidRPr="00D72FF3">
                <w:rPr>
                  <w:rFonts w:ascii="Times New Roman" w:hAnsi="Times New Roman" w:cs="Times New Roman"/>
                  <w:i/>
                  <w:iCs/>
                  <w:shd w:val="clear" w:color="auto" w:fill="FFFFFF"/>
                </w:rPr>
                <w:t>žhurnal</w:t>
              </w:r>
              <w:proofErr w:type="spellEnd"/>
              <w:r w:rsidR="00A260F0" w:rsidRPr="00D72FF3">
                <w:rPr>
                  <w:rFonts w:ascii="Times New Roman" w:hAnsi="Times New Roman" w:cs="Times New Roman"/>
                  <w:i/>
                  <w:iCs/>
                  <w:shd w:val="clear" w:color="auto" w:fill="FFFFFF"/>
                </w:rPr>
                <w:t>—Financial Journal</w:t>
              </w:r>
              <w:r w:rsidR="00A260F0" w:rsidRPr="00D72FF3">
                <w:rPr>
                  <w:rFonts w:ascii="Times New Roman" w:hAnsi="Times New Roman" w:cs="Times New Roman"/>
                  <w:shd w:val="clear" w:color="auto" w:fill="FFFFFF"/>
                </w:rPr>
                <w:t>, (1), pp.66-75.</w:t>
              </w:r>
            </w:sdtContent>
          </w:sdt>
          <w:r w:rsidR="630C9AC2" w:rsidRPr="00D72FF3">
            <w:rPr>
              <w:rFonts w:ascii="Times New Roman" w:hAnsi="Times New Roman" w:cs="Times New Roman"/>
            </w:rPr>
            <w:t xml:space="preserve"> </w:t>
          </w:r>
          <w:sdt>
            <w:sdtPr>
              <w:tag w:val="tii-similarity-U1VCTUlUVEVEX1dPUktfb2lkOjI6NzAyNjk2NzQ5"/>
              <w:id w:val="452097464"/>
              <w:placeholder>
                <w:docPart w:val="9DD60978709C45C6BCF30BEB09E4D71E"/>
              </w:placeholder>
              <w15:appearance w15:val="hidden"/>
            </w:sdtPr>
            <w:sdtContent>
              <w:hyperlink r:id="rId39" w:history="1">
                <w:r w:rsidR="00A260F0" w:rsidRPr="00D72FF3">
                  <w:rPr>
                    <w:rStyle w:val="Hyperlink"/>
                    <w:rFonts w:ascii="Times New Roman" w:hAnsi="Times New Roman" w:cs="Times New Roman"/>
                    <w:shd w:val="clear" w:color="auto" w:fill="FFFFFF"/>
                  </w:rPr>
                  <w:t>https://ideas.repec.org/a/fru/finjrn/190106p66-75.html</w:t>
                </w:r>
              </w:hyperlink>
            </w:sdtContent>
          </w:sdt>
        </w:p>
        <w:p w14:paraId="0C018983" w14:textId="74A0DBBB" w:rsidR="007D1E2A" w:rsidRPr="007D1E2A" w:rsidRDefault="00F277DA" w:rsidP="00D72FF3">
          <w:pPr>
            <w:spacing w:line="240" w:lineRule="auto"/>
            <w:rPr>
              <w:rFonts w:ascii="Times New Roman" w:hAnsi="Times New Roman" w:cs="Times New Roman"/>
              <w:shd w:val="clear" w:color="auto" w:fill="FFFFFF"/>
            </w:rPr>
          </w:pPr>
          <w:sdt>
            <w:sdtPr>
              <w:tag w:val="tii-similarity-U1VCTUlUVEVEX1dPUktfb2lkOjE6MjU2NTUxMjMzMQ=="/>
              <w:id w:val="1575671857"/>
              <w:placeholder>
                <w:docPart w:val="9DD60978709C45C6BCF30BEB09E4D71E"/>
              </w:placeholder>
              <w15:appearance w15:val="hidden"/>
            </w:sdtPr>
            <w:sdtContent>
              <w:r w:rsidR="007D1E2A" w:rsidRPr="007D1E2A">
                <w:rPr>
                  <w:rFonts w:ascii="Times New Roman" w:hAnsi="Times New Roman" w:cs="Times New Roman"/>
                  <w:shd w:val="clear" w:color="auto" w:fill="FFFFFF"/>
                </w:rPr>
                <w:t xml:space="preserve">Tsai, Y.-S., Chang, C.-P., &amp; </w:t>
              </w:r>
              <w:proofErr w:type="spellStart"/>
              <w:r w:rsidR="007D1E2A" w:rsidRPr="007D1E2A">
                <w:rPr>
                  <w:rFonts w:ascii="Times New Roman" w:hAnsi="Times New Roman" w:cs="Times New Roman"/>
                  <w:shd w:val="clear" w:color="auto" w:fill="FFFFFF"/>
                </w:rPr>
                <w:t>Tzang</w:t>
              </w:r>
              <w:proofErr w:type="spellEnd"/>
              <w:r w:rsidR="007D1E2A" w:rsidRPr="007D1E2A">
                <w:rPr>
                  <w:rFonts w:ascii="Times New Roman" w:hAnsi="Times New Roman" w:cs="Times New Roman"/>
                  <w:shd w:val="clear" w:color="auto" w:fill="FFFFFF"/>
                </w:rPr>
                <w:t>, S.-W. (2017). The Impact of Golden Cross and</w:t>
              </w:r>
            </w:sdtContent>
          </w:sdt>
          <w:r w:rsidR="67735BAA" w:rsidRPr="007D1E2A">
            <w:rPr>
              <w:rFonts w:ascii="Times New Roman" w:hAnsi="Times New Roman" w:cs="Times New Roman"/>
              <w:shd w:val="clear" w:color="auto" w:fill="FFFFFF"/>
            </w:rPr>
            <w:t xml:space="preserve"> </w:t>
          </w:r>
          <w:sdt>
            <w:sdtPr>
              <w:tag w:val="tii-similarity-U1VCTUlUVEVEX1dPUktfb2lkOjE6MjU2NTUxMjMzMQ=="/>
              <w:id w:val="1115402124"/>
              <w:placeholder>
                <w:docPart w:val="9DD60978709C45C6BCF30BEB09E4D71E"/>
              </w:placeholder>
              <w15:appearance w15:val="hidden"/>
            </w:sdtPr>
            <w:sdtContent>
              <w:r w:rsidR="007D1E2A" w:rsidRPr="007D1E2A">
                <w:rPr>
                  <w:rFonts w:ascii="Times New Roman" w:hAnsi="Times New Roman" w:cs="Times New Roman"/>
                  <w:shd w:val="clear" w:color="auto" w:fill="FFFFFF"/>
                </w:rPr>
                <w:t>Death Cross Frequency on Stock Returns in Pre- and Post-financial Crisis. Innovative</w:t>
              </w:r>
            </w:sdtContent>
          </w:sdt>
          <w:r w:rsidR="67735BAA" w:rsidRPr="007D1E2A">
            <w:rPr>
              <w:rFonts w:ascii="Times New Roman" w:hAnsi="Times New Roman" w:cs="Times New Roman"/>
              <w:shd w:val="clear" w:color="auto" w:fill="FFFFFF"/>
            </w:rPr>
            <w:t xml:space="preserve"> </w:t>
          </w:r>
          <w:sdt>
            <w:sdtPr>
              <w:tag w:val="tii-similarity-U1VCTUlUVEVEX1dPUktfb2lkOjE6MjU2NTUxMjMzMQ=="/>
              <w:id w:val="458202378"/>
              <w:placeholder>
                <w:docPart w:val="9DD60978709C45C6BCF30BEB09E4D71E"/>
              </w:placeholder>
              <w15:appearance w15:val="hidden"/>
            </w:sdtPr>
            <w:sdtContent>
              <w:r w:rsidR="007D1E2A" w:rsidRPr="007D1E2A">
                <w:rPr>
                  <w:rFonts w:ascii="Times New Roman" w:hAnsi="Times New Roman" w:cs="Times New Roman"/>
                  <w:shd w:val="clear" w:color="auto" w:fill="FFFFFF"/>
                </w:rPr>
                <w:t>Mobile and Internet Services in Ubiquitous Computing</w:t>
              </w:r>
            </w:sdtContent>
          </w:sdt>
          <w:r w:rsidR="67735BAA" w:rsidRPr="007D1E2A">
            <w:rPr>
              <w:rFonts w:ascii="Times New Roman" w:hAnsi="Times New Roman" w:cs="Times New Roman"/>
              <w:shd w:val="clear" w:color="auto" w:fill="FFFFFF"/>
            </w:rPr>
            <w:t xml:space="preserve">, </w:t>
          </w:r>
          <w:sdt>
            <w:sdtPr>
              <w:tag w:val="tii-similarity-SU5URVJORVRfd3d3LmpvdXJuYWxzLnVjaGljYWdvLmVkdQ=="/>
              <w:id w:val="755995581"/>
              <w:placeholder>
                <w:docPart w:val="9DD60978709C45C6BCF30BEB09E4D71E"/>
              </w:placeholder>
              <w15:appearance w15:val="hidden"/>
            </w:sdtPr>
            <w:sdtContent>
              <w:r w:rsidR="007D1E2A" w:rsidRPr="007D1E2A">
                <w:rPr>
                  <w:rFonts w:ascii="Times New Roman" w:hAnsi="Times New Roman" w:cs="Times New Roman"/>
                  <w:shd w:val="clear" w:color="auto" w:fill="FFFFFF"/>
                </w:rPr>
                <w:t>708–713.</w:t>
              </w:r>
            </w:sdtContent>
          </w:sdt>
          <w:r w:rsidR="67735BAA" w:rsidRPr="007D1E2A">
            <w:rPr>
              <w:rFonts w:ascii="Times New Roman" w:hAnsi="Times New Roman" w:cs="Times New Roman"/>
              <w:shd w:val="clear" w:color="auto" w:fill="FFFFFF"/>
            </w:rPr>
            <w:t xml:space="preserve"> </w:t>
          </w:r>
          <w:sdt>
            <w:sdtPr>
              <w:tag w:val="tii-similarity-SU5URVJORVRfd3d3LmpvdXJuYWxzLnVjaGljYWdvLmVkdQ=="/>
              <w:id w:val="1381187852"/>
              <w:placeholder>
                <w:docPart w:val="9DD60978709C45C6BCF30BEB09E4D71E"/>
              </w:placeholder>
              <w15:appearance w15:val="hidden"/>
            </w:sdtPr>
            <w:sdtContent>
              <w:r w:rsidR="007D1E2A" w:rsidRPr="007D1E2A">
                <w:rPr>
                  <w:rFonts w:ascii="Times New Roman" w:hAnsi="Times New Roman" w:cs="Times New Roman"/>
                  <w:shd w:val="clear" w:color="auto" w:fill="FFFFFF"/>
                </w:rPr>
                <w:t>https://doi.org/10.1007/978-3-319-61542-4_70</w:t>
              </w:r>
            </w:sdtContent>
          </w:sdt>
        </w:p>
        <w:p w14:paraId="4BBBE838" w14:textId="77777777" w:rsidR="00A260F0" w:rsidRPr="00D72FF3" w:rsidRDefault="00F277DA" w:rsidP="00D72FF3">
          <w:pPr>
            <w:spacing w:line="240" w:lineRule="auto"/>
            <w:rPr>
              <w:rFonts w:ascii="Times New Roman" w:hAnsi="Times New Roman" w:cs="Times New Roman"/>
            </w:rPr>
          </w:pPr>
          <w:sdt>
            <w:sdtPr>
              <w:tag w:val="tii-similarity-U1VCTUlUVEVEX1dPUktfb2lkOjI6NzIwMTA0MjEx"/>
              <w:id w:val="1722252644"/>
              <w:placeholder>
                <w:docPart w:val="9DD60978709C45C6BCF30BEB09E4D71E"/>
              </w:placeholder>
              <w15:appearance w15:val="hidden"/>
            </w:sdtPr>
            <w:sdtContent>
              <w:r w:rsidR="00A260F0" w:rsidRPr="00D72FF3">
                <w:rPr>
                  <w:rFonts w:ascii="Times New Roman" w:hAnsi="Times New Roman" w:cs="Times New Roman"/>
                  <w:color w:val="222222"/>
                  <w:shd w:val="clear" w:color="auto" w:fill="FFFFFF"/>
                </w:rPr>
                <w:t>Welc, J. (2022). Financial statement analysis. In </w:t>
              </w:r>
              <w:r w:rsidR="00A260F0" w:rsidRPr="00D72FF3">
                <w:rPr>
                  <w:rFonts w:ascii="Times New Roman" w:hAnsi="Times New Roman" w:cs="Times New Roman"/>
                  <w:i/>
                  <w:iCs/>
                  <w:color w:val="222222"/>
                  <w:shd w:val="clear" w:color="auto" w:fill="FFFFFF"/>
                </w:rPr>
                <w:t>Evaluating Corporate Financial</w:t>
              </w:r>
            </w:sdtContent>
          </w:sdt>
          <w:r w:rsidR="00A260F0" w:rsidRPr="00D72FF3">
            <w:rPr>
              <w:rFonts w:ascii="Times New Roman" w:hAnsi="Times New Roman" w:cs="Times New Roman"/>
              <w:i/>
              <w:iCs/>
              <w:color w:val="222222"/>
              <w:shd w:val="clear" w:color="auto" w:fill="FFFFFF"/>
            </w:rPr>
            <w:t xml:space="preserve"> Performance</w:t>
          </w:r>
          <w:r w:rsidR="00A260F0" w:rsidRPr="00D72FF3">
            <w:rPr>
              <w:rFonts w:ascii="Times New Roman" w:hAnsi="Times New Roman" w:cs="Times New Roman"/>
              <w:color w:val="222222"/>
              <w:shd w:val="clear" w:color="auto" w:fill="FFFFFF"/>
            </w:rPr>
            <w:t> (pp. 131-212). Palgrave Macmillan, Cham.</w:t>
          </w:r>
        </w:p>
        <w:bookmarkStart w:id="41" w:name="_Toc161312207"/>
        <w:p w14:paraId="7596E33A" w14:textId="77777777" w:rsidR="00ED18C9" w:rsidRDefault="00F277DA" w:rsidP="00ED18C9">
          <w:pPr>
            <w:pStyle w:val="Heading1"/>
            <w:spacing w:line="240" w:lineRule="auto"/>
            <w:rPr>
              <w:rStyle w:val="Hyperlink"/>
              <w:rFonts w:ascii="Times New Roman" w:hAnsi="Times New Roman" w:cs="Times New Roman"/>
              <w:sz w:val="22"/>
              <w:szCs w:val="22"/>
              <w:shd w:val="clear" w:color="auto" w:fill="FFFFFF"/>
            </w:rPr>
          </w:pPr>
          <w:sdt>
            <w:sdtPr>
              <w:rPr>
                <w:color w:val="0563C1" w:themeColor="hyperlink"/>
                <w:u w:val="single"/>
              </w:rPr>
              <w:tag w:val="tii-similarity-U1VCTUlUVEVEX1dPUktfb2lkOjI6NzIwMTA0MjEx"/>
              <w:id w:val="1473496753"/>
              <w:placeholder>
                <w:docPart w:val="9DD60978709C45C6BCF30BEB09E4D71E"/>
              </w:placeholder>
              <w15:appearance w15:val="hidden"/>
            </w:sdtPr>
            <w:sdtEndPr>
              <w:rPr>
                <w:color w:val="2E74B5" w:themeColor="accent1" w:themeShade="BF"/>
                <w:u w:val="none"/>
              </w:rPr>
            </w:sdtEndPr>
            <w:sdtContent>
              <w:r w:rsidR="00A260F0" w:rsidRPr="00D72FF3">
                <w:rPr>
                  <w:rFonts w:ascii="Times New Roman" w:hAnsi="Times New Roman" w:cs="Times New Roman"/>
                  <w:color w:val="000000" w:themeColor="text1"/>
                  <w:sz w:val="22"/>
                  <w:szCs w:val="22"/>
                  <w:shd w:val="clear" w:color="auto" w:fill="FFFFFF"/>
                </w:rPr>
                <w:t>Welc, J., (2022) Financial statement analysis. In </w:t>
              </w:r>
              <w:r w:rsidR="00A260F0" w:rsidRPr="00D72FF3">
                <w:rPr>
                  <w:rFonts w:ascii="Times New Roman" w:hAnsi="Times New Roman" w:cs="Times New Roman"/>
                  <w:i/>
                  <w:iCs/>
                  <w:color w:val="000000" w:themeColor="text1"/>
                  <w:sz w:val="22"/>
                  <w:szCs w:val="22"/>
                  <w:shd w:val="clear" w:color="auto" w:fill="FFFFFF"/>
                </w:rPr>
                <w:t>Evaluating Corporate Financial</w:t>
              </w:r>
            </w:sdtContent>
          </w:sdt>
          <w:r w:rsidR="00A260F0" w:rsidRPr="00D72FF3">
            <w:rPr>
              <w:rFonts w:ascii="Times New Roman" w:hAnsi="Times New Roman" w:cs="Times New Roman"/>
              <w:i/>
              <w:iCs/>
              <w:color w:val="000000" w:themeColor="text1"/>
              <w:sz w:val="22"/>
              <w:szCs w:val="22"/>
              <w:shd w:val="clear" w:color="auto" w:fill="FFFFFF"/>
            </w:rPr>
            <w:t xml:space="preserve"> Performance</w:t>
          </w:r>
          <w:r w:rsidR="00A260F0" w:rsidRPr="00D72FF3">
            <w:rPr>
              <w:rFonts w:ascii="Times New Roman" w:hAnsi="Times New Roman" w:cs="Times New Roman"/>
              <w:color w:val="000000" w:themeColor="text1"/>
              <w:sz w:val="22"/>
              <w:szCs w:val="22"/>
              <w:shd w:val="clear" w:color="auto" w:fill="FFFFFF"/>
            </w:rPr>
            <w:t> (pp. 131-212). Palgrave Macmillan, Cham</w:t>
          </w:r>
          <w:r w:rsidR="00A260F0" w:rsidRPr="00D72FF3">
            <w:rPr>
              <w:rFonts w:ascii="Times New Roman" w:hAnsi="Times New Roman" w:cs="Times New Roman"/>
              <w:sz w:val="22"/>
              <w:szCs w:val="22"/>
              <w:shd w:val="clear" w:color="auto" w:fill="FFFFFF"/>
            </w:rPr>
            <w:t>.</w:t>
          </w:r>
          <w:r w:rsidR="00A260F0" w:rsidRPr="00D72FF3">
            <w:rPr>
              <w:rFonts w:ascii="Times New Roman" w:hAnsi="Times New Roman" w:cs="Times New Roman"/>
              <w:sz w:val="22"/>
              <w:szCs w:val="22"/>
            </w:rPr>
            <w:t xml:space="preserve"> </w:t>
          </w:r>
          <w:sdt>
            <w:sdtPr>
              <w:tag w:val="tii-similarity-U1VCTUlUVEVEX1dPUktfb2lkOjI5ODMxOjE1NTkzMzU5NA=="/>
              <w:id w:val="18663953"/>
              <w:placeholder>
                <w:docPart w:val="9DD60978709C45C6BCF30BEB09E4D71E"/>
              </w:placeholder>
              <w15:appearance w15:val="hidden"/>
            </w:sdtPr>
            <w:sdtContent>
              <w:hyperlink r:id="rId40" w:history="1">
                <w:r w:rsidR="00A260F0" w:rsidRPr="00D72FF3">
                  <w:rPr>
                    <w:rStyle w:val="Hyperlink"/>
                    <w:rFonts w:ascii="Times New Roman" w:hAnsi="Times New Roman" w:cs="Times New Roman"/>
                    <w:sz w:val="22"/>
                    <w:szCs w:val="22"/>
                    <w:shd w:val="clear" w:color="auto" w:fill="FFFFFF"/>
                  </w:rPr>
                  <w:t>https://link.springer.com/chapter/10.1007/978-3-030-97582-1_3</w:t>
                </w:r>
              </w:hyperlink>
            </w:sdtContent>
          </w:sdt>
        </w:p>
        <w:p w14:paraId="491871E9" w14:textId="081B6D5A" w:rsidR="00ED18C9" w:rsidRDefault="009F2670">
          <w:pPr>
            <w:rPr>
              <w:rFonts w:ascii="Times New Roman" w:hAnsi="Times New Roman" w:cs="Times New Roman"/>
            </w:rPr>
          </w:pPr>
        </w:p>
      </w:sdtContent>
    </w:sdt>
    <w:bookmarkEnd w:id="41" w:displacedByCustomXml="prev"/>
    <w:p w14:paraId="640938E2" w14:textId="28C92EE3" w:rsidR="003C3A73" w:rsidRPr="00ED18C9" w:rsidRDefault="003C3A73">
      <w:r>
        <w:rPr>
          <w:rFonts w:ascii="Times New Roman" w:hAnsi="Times New Roman" w:cs="Times New Roman"/>
          <w:sz w:val="24"/>
        </w:rPr>
        <w:br w:type="page"/>
      </w:r>
    </w:p>
    <w:p w14:paraId="0E7196BA" w14:textId="2B945F8F" w:rsidR="003C3A73" w:rsidRPr="00EC216D" w:rsidRDefault="00F277DA" w:rsidP="00384B72">
      <w:pPr>
        <w:spacing w:line="360" w:lineRule="auto"/>
        <w:jc w:val="both"/>
        <w:rPr>
          <w:rFonts w:ascii="Times New Roman" w:hAnsi="Times New Roman" w:cs="Times New Roman"/>
          <w:b/>
          <w:bCs/>
          <w:color w:val="2E74B5" w:themeColor="accent1" w:themeShade="BF"/>
          <w:sz w:val="44"/>
          <w:szCs w:val="44"/>
        </w:rPr>
      </w:pPr>
      <w:sdt>
        <w:sdtPr>
          <w:tag w:val="tii-similarity-U1VCTUlUVEVEX1dPUktfb2lkOjI5ODMxOjE1NTkzMzU5NA=="/>
          <w:id w:val="85629978"/>
          <w:placeholder>
            <w:docPart w:val="9DD60978709C45C6BCF30BEB09E4D71E"/>
          </w:placeholder>
          <w15:appearance w15:val="hidden"/>
        </w:sdtPr>
        <w:sdtContent>
          <w:r w:rsidR="003C3A73" w:rsidRPr="00EC216D">
            <w:rPr>
              <w:rFonts w:ascii="Times New Roman" w:hAnsi="Times New Roman" w:cs="Times New Roman"/>
              <w:b/>
              <w:bCs/>
              <w:color w:val="2E74B5" w:themeColor="accent1" w:themeShade="BF"/>
              <w:sz w:val="44"/>
              <w:szCs w:val="44"/>
            </w:rPr>
            <w:t>Appendix</w:t>
          </w:r>
        </w:sdtContent>
      </w:sdt>
      <w:r w:rsidR="003C3A73" w:rsidRPr="00EC216D">
        <w:rPr>
          <w:rFonts w:ascii="Times New Roman" w:hAnsi="Times New Roman" w:cs="Times New Roman"/>
          <w:b/>
          <w:bCs/>
          <w:color w:val="2E74B5" w:themeColor="accent1" w:themeShade="BF"/>
          <w:sz w:val="44"/>
          <w:szCs w:val="44"/>
        </w:rPr>
        <w:t>:</w:t>
      </w:r>
    </w:p>
    <w:p w14:paraId="6C5D8049" w14:textId="77777777" w:rsidR="008D01E0" w:rsidRDefault="00DA44E8" w:rsidP="008D01E0">
      <w:pPr>
        <w:spacing w:before="240" w:line="360" w:lineRule="auto"/>
        <w:jc w:val="both"/>
        <w:rPr>
          <w:rFonts w:ascii="Times New Roman" w:hAnsi="Times New Roman" w:cs="Times New Roman"/>
          <w:b/>
          <w:sz w:val="28"/>
          <w:szCs w:val="28"/>
          <w:u w:val="single"/>
        </w:rPr>
      </w:pPr>
      <w:r w:rsidRPr="001274F7">
        <w:rPr>
          <w:rFonts w:ascii="Times New Roman" w:hAnsi="Times New Roman" w:cs="Times New Roman"/>
          <w:b/>
          <w:sz w:val="28"/>
          <w:szCs w:val="28"/>
          <w:u w:val="single"/>
        </w:rPr>
        <w:t>Moving Average:</w:t>
      </w:r>
    </w:p>
    <w:p w14:paraId="13D6DCF9" w14:textId="46DB767D" w:rsidR="005C41C0" w:rsidRPr="001274F7" w:rsidRDefault="00F277DA" w:rsidP="008D01E0">
      <w:pPr>
        <w:spacing w:before="240" w:line="240" w:lineRule="auto"/>
        <w:jc w:val="both"/>
        <w:rPr>
          <w:rFonts w:ascii="Times New Roman" w:hAnsi="Times New Roman" w:cs="Times New Roman"/>
          <w:b/>
          <w:sz w:val="28"/>
          <w:szCs w:val="28"/>
          <w:u w:val="single"/>
        </w:rPr>
      </w:pPr>
      <w:sdt>
        <w:sdtPr>
          <w:tag w:val="tii-similarity-SU5URVJORVRfd3d3LmNvdXJzZWhlcm8uY29t"/>
          <w:id w:val="926935301"/>
          <w:placeholder>
            <w:docPart w:val="9DD60978709C45C6BCF30BEB09E4D71E"/>
          </w:placeholder>
          <w15:appearance w15:val="hidden"/>
        </w:sdtPr>
        <w:sdtContent>
          <w:r w:rsidR="005C41C0" w:rsidRPr="001274F7">
            <w:rPr>
              <w:rFonts w:ascii="Times New Roman" w:hAnsi="Times New Roman" w:cs="Times New Roman"/>
            </w:rPr>
            <w:t>A moving average is a series of averages, calculated from historic data. Moving</w:t>
          </w:r>
        </w:sdtContent>
      </w:sdt>
      <w:r w:rsidR="21F5092B" w:rsidRPr="77AD8B01">
        <w:rPr>
          <w:rFonts w:ascii="Times New Roman" w:hAnsi="Times New Roman" w:cs="Times New Roman"/>
        </w:rPr>
        <w:t xml:space="preserve"> </w:t>
      </w:r>
      <w:sdt>
        <w:sdtPr>
          <w:tag w:val="tii-similarity-SU5URVJORVRfd3d3LmNvdXJzZWhlcm8uY29t"/>
          <w:id w:val="799017229"/>
          <w:placeholder>
            <w:docPart w:val="9DD60978709C45C6BCF30BEB09E4D71E"/>
          </w:placeholder>
          <w15:appearance w15:val="hidden"/>
        </w:sdtPr>
        <w:sdtContent>
          <w:r w:rsidR="005C41C0" w:rsidRPr="001274F7">
            <w:rPr>
              <w:rFonts w:ascii="Times New Roman" w:hAnsi="Times New Roman" w:cs="Times New Roman"/>
            </w:rPr>
            <w:t>averages can be calculated for any number of time periods, for example a three-month</w:t>
          </w:r>
        </w:sdtContent>
      </w:sdt>
      <w:r w:rsidR="21F5092B" w:rsidRPr="77AD8B01">
        <w:rPr>
          <w:rFonts w:ascii="Times New Roman" w:hAnsi="Times New Roman" w:cs="Times New Roman"/>
        </w:rPr>
        <w:t xml:space="preserve"> </w:t>
      </w:r>
      <w:sdt>
        <w:sdtPr>
          <w:tag w:val="tii-similarity-SU5URVJORVRfd3d3LmNvdXJzZWhlcm8uY29t"/>
          <w:id w:val="1567154316"/>
          <w:placeholder>
            <w:docPart w:val="9DD60978709C45C6BCF30BEB09E4D71E"/>
          </w:placeholder>
          <w15:appearance w15:val="hidden"/>
        </w:sdtPr>
        <w:sdtContent>
          <w:r w:rsidR="005C41C0" w:rsidRPr="001274F7">
            <w:rPr>
              <w:rFonts w:ascii="Times New Roman" w:hAnsi="Times New Roman" w:cs="Times New Roman"/>
            </w:rPr>
            <w:t>moving average, a seven-day moving average, or a four-quarter moving average. The</w:t>
          </w:r>
        </w:sdtContent>
      </w:sdt>
      <w:r w:rsidR="21F5092B" w:rsidRPr="77AD8B01">
        <w:rPr>
          <w:rFonts w:ascii="Times New Roman" w:hAnsi="Times New Roman" w:cs="Times New Roman"/>
        </w:rPr>
        <w:t xml:space="preserve"> </w:t>
      </w:r>
      <w:sdt>
        <w:sdtPr>
          <w:tag w:val="tii-similarity-SU5URVJORVRfd3d3LmNvdXJzZWhlcm8uY29t"/>
          <w:id w:val="2016706070"/>
          <w:placeholder>
            <w:docPart w:val="9DD60978709C45C6BCF30BEB09E4D71E"/>
          </w:placeholder>
          <w15:appearance w15:val="hidden"/>
        </w:sdtPr>
        <w:sdtContent>
          <w:r w:rsidR="005C41C0" w:rsidRPr="001274F7">
            <w:rPr>
              <w:rFonts w:ascii="Times New Roman" w:hAnsi="Times New Roman" w:cs="Times New Roman"/>
            </w:rPr>
            <w:t>basic calculations are the same</w:t>
          </w:r>
        </w:sdtContent>
      </w:sdt>
      <w:r w:rsidR="005C41C0" w:rsidRPr="001274F7">
        <w:rPr>
          <w:rFonts w:ascii="Times New Roman" w:hAnsi="Times New Roman" w:cs="Times New Roman"/>
        </w:rPr>
        <w:t>. </w:t>
      </w:r>
      <w:r w:rsidR="004A01C0" w:rsidRPr="001274F7">
        <w:rPr>
          <w:rFonts w:ascii="Times New Roman" w:eastAsia="Times New Roman" w:hAnsi="Times New Roman" w:cs="Times New Roman"/>
          <w:lang w:val="en-GB" w:eastAsia="en-GB"/>
        </w:rPr>
        <w:t>(Chiarella et al., 2006)</w:t>
      </w:r>
    </w:p>
    <w:sdt>
      <w:sdtPr>
        <w:rPr>
          <w:b/>
          <w:bCs/>
        </w:rPr>
        <w:tag w:val="tii-similarity-SU5URVJORVRfcHJlcHJvZC5zaW1wbGlsZWFybi5jb20="/>
        <w:id w:val="497284190"/>
        <w:placeholder>
          <w:docPart w:val="9DD60978709C45C6BCF30BEB09E4D71E"/>
        </w:placeholder>
        <w15:appearance w15:val="hidden"/>
      </w:sdtPr>
      <w:sdtEndPr>
        <w:rPr>
          <w:b w:val="0"/>
          <w:bCs w:val="0"/>
        </w:rPr>
      </w:sdtEndPr>
      <w:sdtContent>
        <w:p w14:paraId="2EBC4536" w14:textId="0E8031E0" w:rsidR="003C3A73" w:rsidRPr="001274F7" w:rsidRDefault="00DA44E8" w:rsidP="00384B72">
          <w:pPr>
            <w:spacing w:line="360" w:lineRule="auto"/>
            <w:jc w:val="both"/>
            <w:rPr>
              <w:rFonts w:ascii="Times New Roman" w:hAnsi="Times New Roman" w:cs="Times New Roman"/>
              <w:sz w:val="28"/>
              <w:szCs w:val="28"/>
              <w:u w:val="single"/>
            </w:rPr>
          </w:pPr>
          <w:r w:rsidRPr="00614C46">
            <w:rPr>
              <w:rFonts w:ascii="Times New Roman" w:hAnsi="Times New Roman" w:cs="Times New Roman"/>
              <w:b/>
              <w:bCs/>
              <w:sz w:val="28"/>
              <w:szCs w:val="28"/>
              <w:u w:val="single"/>
            </w:rPr>
            <w:t>Single Exponential Smoothing:</w:t>
          </w:r>
        </w:p>
      </w:sdtContent>
    </w:sdt>
    <w:p w14:paraId="7355E0A8" w14:textId="2D58AD46" w:rsidR="005C41C0" w:rsidRPr="001274F7" w:rsidRDefault="00F277DA" w:rsidP="001274F7">
      <w:pPr>
        <w:spacing w:line="240" w:lineRule="auto"/>
        <w:rPr>
          <w:rFonts w:ascii="Times New Roman" w:hAnsi="Times New Roman" w:cs="Times New Roman"/>
        </w:rPr>
      </w:pPr>
      <w:sdt>
        <w:sdtPr>
          <w:tag w:val="tii-similarity-SU5URVJORVRfcHJlcHJvZC5zaW1wbGlsZWFybi5jb20="/>
          <w:id w:val="1092988309"/>
          <w:placeholder>
            <w:docPart w:val="9DD60978709C45C6BCF30BEB09E4D71E"/>
          </w:placeholder>
          <w15:appearance w15:val="hidden"/>
        </w:sdtPr>
        <w:sdtContent>
          <w:r w:rsidR="005C41C0" w:rsidRPr="38367C43">
            <w:rPr>
              <w:rFonts w:ascii="Times New Roman" w:hAnsi="Times New Roman" w:cs="Times New Roman"/>
            </w:rPr>
            <w:t>Simple or single exponential smoothing (SES) is the method of time series forecasting</w:t>
          </w:r>
        </w:sdtContent>
      </w:sdt>
      <w:r w:rsidR="21F5092B" w:rsidRPr="77AD8B01">
        <w:rPr>
          <w:rFonts w:ascii="Times New Roman" w:hAnsi="Times New Roman" w:cs="Times New Roman"/>
        </w:rPr>
        <w:t xml:space="preserve"> </w:t>
      </w:r>
      <w:sdt>
        <w:sdtPr>
          <w:tag w:val="tii-similarity-SU5URVJORVRfcHJlcHJvZC5zaW1wbGlsZWFybi5jb20="/>
          <w:id w:val="165253053"/>
          <w:placeholder>
            <w:docPart w:val="9DD60978709C45C6BCF30BEB09E4D71E"/>
          </w:placeholder>
          <w15:appearance w15:val="hidden"/>
        </w:sdtPr>
        <w:sdtContent>
          <w:r w:rsidR="005C41C0" w:rsidRPr="38367C43">
            <w:rPr>
              <w:rFonts w:ascii="Times New Roman" w:hAnsi="Times New Roman" w:cs="Times New Roman"/>
            </w:rPr>
            <w:t>used with univariate data with no trend and no seasonal pattern. It needs a single</w:t>
          </w:r>
        </w:sdtContent>
      </w:sdt>
      <w:r w:rsidR="21F5092B" w:rsidRPr="77AD8B01">
        <w:rPr>
          <w:rFonts w:ascii="Times New Roman" w:hAnsi="Times New Roman" w:cs="Times New Roman"/>
        </w:rPr>
        <w:t xml:space="preserve"> </w:t>
      </w:r>
      <w:sdt>
        <w:sdtPr>
          <w:tag w:val="tii-similarity-SU5URVJORVRfcHJlcHJvZC5zaW1wbGlsZWFybi5jb20="/>
          <w:id w:val="1393235768"/>
          <w:placeholder>
            <w:docPart w:val="9DD60978709C45C6BCF30BEB09E4D71E"/>
          </w:placeholder>
          <w15:appearance w15:val="hidden"/>
        </w:sdtPr>
        <w:sdtContent>
          <w:r w:rsidR="005C41C0" w:rsidRPr="38367C43">
            <w:rPr>
              <w:rFonts w:ascii="Times New Roman" w:hAnsi="Times New Roman" w:cs="Times New Roman"/>
            </w:rPr>
            <w:t>parameter called alpha (a), also known as the smoothing factor</w:t>
          </w:r>
        </w:sdtContent>
      </w:sdt>
      <w:r w:rsidR="005C41C0" w:rsidRPr="001274F7">
        <w:rPr>
          <w:rFonts w:ascii="Times New Roman" w:hAnsi="Times New Roman" w:cs="Times New Roman"/>
        </w:rPr>
        <w:t>. </w:t>
      </w:r>
      <w:r w:rsidR="004A01C0" w:rsidRPr="001274F7">
        <w:rPr>
          <w:rFonts w:ascii="Times New Roman" w:hAnsi="Times New Roman" w:cs="Times New Roman"/>
        </w:rPr>
        <w:t xml:space="preserve"> </w:t>
      </w:r>
      <w:r w:rsidR="00BC7390" w:rsidRPr="001274F7">
        <w:rPr>
          <w:rFonts w:ascii="Times New Roman" w:hAnsi="Times New Roman" w:cs="Times New Roman"/>
        </w:rPr>
        <w:t>(Cadenas et al., 2010)</w:t>
      </w:r>
    </w:p>
    <w:sdt>
      <w:sdtPr>
        <w:tag w:val="tii-similarity-U1VCTUlUVEVEX1dPUktfb2lkOjE6MTk1NTY5MzU3MA=="/>
        <w:id w:val="1236484896"/>
        <w:placeholder>
          <w:docPart w:val="9DD60978709C45C6BCF30BEB09E4D71E"/>
        </w:placeholder>
        <w15:appearance w15:val="hidden"/>
      </w:sdtPr>
      <w:sdtContent>
        <w:p w14:paraId="3A54DFE8" w14:textId="62741B4E" w:rsidR="00DA44E8" w:rsidRPr="001274F7" w:rsidRDefault="00DA44E8" w:rsidP="00384B72">
          <w:pPr>
            <w:spacing w:line="360" w:lineRule="auto"/>
            <w:jc w:val="both"/>
            <w:rPr>
              <w:rFonts w:ascii="Times New Roman" w:hAnsi="Times New Roman" w:cs="Times New Roman"/>
              <w:b/>
              <w:sz w:val="28"/>
              <w:szCs w:val="28"/>
              <w:u w:val="single"/>
            </w:rPr>
          </w:pPr>
          <w:r w:rsidRPr="001274F7">
            <w:rPr>
              <w:rFonts w:ascii="Times New Roman" w:hAnsi="Times New Roman" w:cs="Times New Roman"/>
              <w:b/>
              <w:sz w:val="28"/>
              <w:szCs w:val="28"/>
              <w:u w:val="single"/>
            </w:rPr>
            <w:t>Double Exponential Smoothing:</w:t>
          </w:r>
        </w:p>
      </w:sdtContent>
    </w:sdt>
    <w:p w14:paraId="6EB23AC2" w14:textId="66C189D3" w:rsidR="00652D09" w:rsidRDefault="00F277DA" w:rsidP="00652D09">
      <w:pPr>
        <w:spacing w:before="240" w:line="240" w:lineRule="auto"/>
        <w:rPr>
          <w:rFonts w:ascii="Times New Roman" w:eastAsia="Times New Roman" w:hAnsi="Times New Roman" w:cs="Times New Roman"/>
          <w:lang w:val="en-GB" w:eastAsia="en-GB"/>
        </w:rPr>
      </w:pPr>
      <w:sdt>
        <w:sdtPr>
          <w:tag w:val="tii-similarity-U1VCTUlUVEVEX1dPUktfb2lkOjE6MTk1NTY5MzU3MA=="/>
          <w:id w:val="49920413"/>
          <w:placeholder>
            <w:docPart w:val="9DD60978709C45C6BCF30BEB09E4D71E"/>
          </w:placeholder>
          <w15:appearance w15:val="hidden"/>
        </w:sdtPr>
        <w:sdtContent>
          <w:r w:rsidR="005C41C0" w:rsidRPr="001274F7">
            <w:rPr>
              <w:rFonts w:ascii="Times New Roman" w:hAnsi="Times New Roman" w:cs="Times New Roman"/>
            </w:rPr>
            <w:t>Double Exponential Smoothing is a forecasting method</w:t>
          </w:r>
        </w:sdtContent>
      </w:sdt>
      <w:r w:rsidR="005C41C0" w:rsidRPr="001274F7">
        <w:rPr>
          <w:rFonts w:ascii="Times New Roman" w:hAnsi="Times New Roman" w:cs="Times New Roman"/>
        </w:rPr>
        <w:t xml:space="preserve"> that uses a combination of </w:t>
      </w:r>
      <w:sdt>
        <w:sdtPr>
          <w:tag w:val="tii-similarity-U1VCTUlUVEVEX1dPUktfb2lkOjE6MTk1NTY5MzU3MA=="/>
          <w:id w:val="870618481"/>
          <w:placeholder>
            <w:docPart w:val="9DD60978709C45C6BCF30BEB09E4D71E"/>
          </w:placeholder>
          <w15:appearance w15:val="hidden"/>
        </w:sdtPr>
        <w:sdtContent>
          <w:r w:rsidR="005C41C0" w:rsidRPr="001274F7">
            <w:rPr>
              <w:rFonts w:ascii="Times New Roman" w:hAnsi="Times New Roman" w:cs="Times New Roman"/>
            </w:rPr>
            <w:t>level and trend</w:t>
          </w:r>
        </w:sdtContent>
      </w:sdt>
      <w:r w:rsidR="005C41C0" w:rsidRPr="001274F7">
        <w:rPr>
          <w:rFonts w:ascii="Times New Roman" w:hAnsi="Times New Roman" w:cs="Times New Roman"/>
        </w:rPr>
        <w:t xml:space="preserve"> components to make predictions. Double exponential smoothing is </w:t>
      </w:r>
      <w:sdt>
        <w:sdtPr>
          <w:tag w:val="tii-similarity-SU5URVJORVRfcHJlcHJvZC5zaW1wbGlsZWFybi5jb20="/>
          <w:id w:val="1983644849"/>
          <w:placeholder>
            <w:docPart w:val="9DD60978709C45C6BCF30BEB09E4D71E"/>
          </w:placeholder>
          <w15:appearance w15:val="hidden"/>
        </w:sdtPr>
        <w:sdtContent>
          <w:r w:rsidR="005C41C0" w:rsidRPr="38367C43">
            <w:rPr>
              <w:rFonts w:ascii="Times New Roman" w:hAnsi="Times New Roman" w:cs="Times New Roman"/>
            </w:rPr>
            <w:t>used in time-series forecasting when the data has a linear trend but no seasonal</w:t>
          </w:r>
        </w:sdtContent>
      </w:sdt>
      <w:r w:rsidR="21F5092B" w:rsidRPr="77AD8B01">
        <w:rPr>
          <w:rFonts w:ascii="Times New Roman" w:hAnsi="Times New Roman" w:cs="Times New Roman"/>
        </w:rPr>
        <w:t xml:space="preserve"> </w:t>
      </w:r>
      <w:sdt>
        <w:sdtPr>
          <w:tag w:val="tii-similarity-SU5URVJORVRfcHJlcHJvZC5zaW1wbGlsZWFybi5jb20="/>
          <w:id w:val="1281126847"/>
          <w:placeholder>
            <w:docPart w:val="9DD60978709C45C6BCF30BEB09E4D71E"/>
          </w:placeholder>
          <w15:appearance w15:val="hidden"/>
        </w:sdtPr>
        <w:sdtContent>
          <w:r w:rsidR="005C41C0" w:rsidRPr="38367C43">
            <w:rPr>
              <w:rFonts w:ascii="Times New Roman" w:hAnsi="Times New Roman" w:cs="Times New Roman"/>
            </w:rPr>
            <w:t>pattern. The basic idea here is to introduce a term that can consider the possibility of</w:t>
          </w:r>
        </w:sdtContent>
      </w:sdt>
      <w:r w:rsidR="21F5092B" w:rsidRPr="77AD8B01">
        <w:rPr>
          <w:rFonts w:ascii="Times New Roman" w:hAnsi="Times New Roman" w:cs="Times New Roman"/>
        </w:rPr>
        <w:t xml:space="preserve"> </w:t>
      </w:r>
      <w:sdt>
        <w:sdtPr>
          <w:tag w:val="tii-similarity-SU5URVJORVRfcHJlcHJvZC5zaW1wbGlsZWFybi5jb20="/>
          <w:id w:val="1202480892"/>
          <w:placeholder>
            <w:docPart w:val="9DD60978709C45C6BCF30BEB09E4D71E"/>
          </w:placeholder>
          <w15:appearance w15:val="hidden"/>
        </w:sdtPr>
        <w:sdtContent>
          <w:r w:rsidR="005C41C0" w:rsidRPr="38367C43">
            <w:rPr>
              <w:rFonts w:ascii="Times New Roman" w:hAnsi="Times New Roman" w:cs="Times New Roman"/>
            </w:rPr>
            <w:t>the series exhibiting some trend</w:t>
          </w:r>
        </w:sdtContent>
      </w:sdt>
      <w:r w:rsidR="00A400CE">
        <w:rPr>
          <w:rFonts w:ascii="Times New Roman" w:hAnsi="Times New Roman" w:cs="Times New Roman"/>
        </w:rPr>
        <w:t>.</w:t>
      </w:r>
      <w:r w:rsidR="0040305B" w:rsidRPr="001274F7">
        <w:rPr>
          <w:rFonts w:ascii="Times New Roman" w:hAnsi="Times New Roman" w:cs="Times New Roman"/>
        </w:rPr>
        <w:t xml:space="preserve"> </w:t>
      </w:r>
      <w:r w:rsidR="0040305B" w:rsidRPr="001274F7">
        <w:rPr>
          <w:rFonts w:ascii="Times New Roman" w:eastAsia="Times New Roman" w:hAnsi="Times New Roman" w:cs="Times New Roman"/>
          <w:lang w:val="en-GB" w:eastAsia="en-GB"/>
        </w:rPr>
        <w:t>(Hansun, 2016)</w:t>
      </w:r>
    </w:p>
    <w:p w14:paraId="60949E5E" w14:textId="17C379A9" w:rsidR="00652D09" w:rsidRPr="008D01E0" w:rsidRDefault="00652D09" w:rsidP="00652D09">
      <w:pPr>
        <w:spacing w:before="240" w:line="240" w:lineRule="auto"/>
        <w:rPr>
          <w:rFonts w:ascii="Times New Roman" w:hAnsi="Times New Roman" w:cs="Times New Roman"/>
          <w:b/>
          <w:sz w:val="28"/>
          <w:szCs w:val="28"/>
          <w:u w:val="single"/>
        </w:rPr>
      </w:pPr>
      <w:r w:rsidRPr="008D01E0">
        <w:rPr>
          <w:rFonts w:ascii="Times New Roman" w:hAnsi="Times New Roman" w:cs="Times New Roman"/>
          <w:b/>
          <w:sz w:val="28"/>
          <w:szCs w:val="28"/>
          <w:u w:val="single"/>
        </w:rPr>
        <w:t>Holt’s Winters</w:t>
      </w:r>
      <w:r w:rsidR="008D01E0" w:rsidRPr="008D01E0">
        <w:rPr>
          <w:rFonts w:ascii="Times New Roman" w:hAnsi="Times New Roman" w:cs="Times New Roman"/>
          <w:b/>
          <w:sz w:val="28"/>
          <w:szCs w:val="28"/>
          <w:u w:val="single"/>
        </w:rPr>
        <w:t xml:space="preserve"> Method (TES):</w:t>
      </w:r>
    </w:p>
    <w:p w14:paraId="78998F21" w14:textId="574CF663" w:rsidR="005C41C0" w:rsidRPr="001274F7" w:rsidRDefault="00F277DA" w:rsidP="0A2CD063">
      <w:pPr>
        <w:pStyle w:val="NormalWeb"/>
        <w:shd w:val="clear" w:color="auto" w:fill="FFFFFF" w:themeFill="background1"/>
        <w:spacing w:before="240" w:beforeAutospacing="0" w:after="390" w:afterAutospacing="0"/>
        <w:rPr>
          <w:rFonts w:eastAsiaTheme="minorEastAsia"/>
          <w:sz w:val="22"/>
          <w:szCs w:val="22"/>
          <w:lang w:val="en-US" w:eastAsia="en-US"/>
        </w:rPr>
      </w:pPr>
      <w:sdt>
        <w:sdtPr>
          <w:tag w:val="tii-similarity-SU5URVJORVRfcHJlcHJvZC5zaW1wbGlsZWFybi5jb20="/>
          <w:id w:val="731888234"/>
          <w:placeholder>
            <w:docPart w:val="9DD60978709C45C6BCF30BEB09E4D71E"/>
          </w:placeholder>
          <w15:appearance w15:val="hidden"/>
        </w:sdtPr>
        <w:sdtContent>
          <w:r w:rsidR="005C41C0" w:rsidRPr="38367C43">
            <w:rPr>
              <w:rFonts w:eastAsiaTheme="minorEastAsia"/>
              <w:sz w:val="22"/>
              <w:szCs w:val="22"/>
              <w:lang w:val="en-US" w:eastAsia="en-US"/>
            </w:rPr>
            <w:t xml:space="preserve">This method is the variation of exponential smoothing </w:t>
          </w:r>
          <w:r w:rsidR="7E891384" w:rsidRPr="38367C43">
            <w:rPr>
              <w:rFonts w:eastAsiaTheme="minorEastAsia"/>
              <w:sz w:val="22"/>
              <w:szCs w:val="22"/>
              <w:lang w:val="en-US" w:eastAsia="en-US"/>
            </w:rPr>
            <w:t>that</w:t>
          </w:r>
        </w:sdtContent>
      </w:sdt>
      <w:r w:rsidR="7E891384" w:rsidRPr="0A2CD063">
        <w:rPr>
          <w:rFonts w:eastAsiaTheme="minorEastAsia"/>
          <w:sz w:val="22"/>
          <w:szCs w:val="22"/>
          <w:lang w:val="en-US" w:eastAsia="en-US"/>
        </w:rPr>
        <w:t xml:space="preserve"> is</w:t>
      </w:r>
      <w:r w:rsidR="005C41C0" w:rsidRPr="0A2CD063">
        <w:rPr>
          <w:rFonts w:eastAsiaTheme="minorEastAsia"/>
          <w:sz w:val="22"/>
          <w:szCs w:val="22"/>
          <w:lang w:val="en-US" w:eastAsia="en-US"/>
        </w:rPr>
        <w:t xml:space="preserve"> </w:t>
      </w:r>
      <w:sdt>
        <w:sdtPr>
          <w:tag w:val="tii-similarity-SU5URVJORVRfcHJlcHJvZC5zaW1wbGlsZWFybi5jb20="/>
          <w:id w:val="615139815"/>
          <w:placeholder>
            <w:docPart w:val="9DD60978709C45C6BCF30BEB09E4D71E"/>
          </w:placeholder>
          <w15:appearance w15:val="hidden"/>
        </w:sdtPr>
        <w:sdtContent>
          <w:r w:rsidR="005C41C0" w:rsidRPr="38367C43">
            <w:rPr>
              <w:rFonts w:eastAsiaTheme="minorEastAsia"/>
              <w:sz w:val="22"/>
              <w:szCs w:val="22"/>
              <w:lang w:val="en-US" w:eastAsia="en-US"/>
            </w:rPr>
            <w:t>most advanced and is</w:t>
          </w:r>
        </w:sdtContent>
      </w:sdt>
      <w:r w:rsidR="21F5092B" w:rsidRPr="77AD8B01">
        <w:rPr>
          <w:rFonts w:eastAsiaTheme="minorEastAsia"/>
          <w:sz w:val="22"/>
          <w:szCs w:val="22"/>
          <w:lang w:val="en-US" w:eastAsia="en-US"/>
        </w:rPr>
        <w:t xml:space="preserve"> </w:t>
      </w:r>
      <w:sdt>
        <w:sdtPr>
          <w:tag w:val="tii-similarity-SU5URVJORVRfcHJlcHJvZC5zaW1wbGlsZWFybi5jb20="/>
          <w:id w:val="8115147"/>
          <w:placeholder>
            <w:docPart w:val="9DD60978709C45C6BCF30BEB09E4D71E"/>
          </w:placeholder>
          <w15:appearance w15:val="hidden"/>
        </w:sdtPr>
        <w:sdtContent>
          <w:r w:rsidR="005C41C0" w:rsidRPr="38367C43">
            <w:rPr>
              <w:rFonts w:eastAsiaTheme="minorEastAsia"/>
              <w:sz w:val="22"/>
              <w:szCs w:val="22"/>
              <w:lang w:val="en-US" w:eastAsia="en-US"/>
            </w:rPr>
            <w:t>used for time series forecasting when the data has linear trends and seasonal</w:t>
          </w:r>
        </w:sdtContent>
      </w:sdt>
      <w:r w:rsidR="21F5092B" w:rsidRPr="77AD8B01">
        <w:rPr>
          <w:rFonts w:eastAsiaTheme="minorEastAsia"/>
          <w:sz w:val="22"/>
          <w:szCs w:val="22"/>
          <w:lang w:val="en-US" w:eastAsia="en-US"/>
        </w:rPr>
        <w:t xml:space="preserve"> </w:t>
      </w:r>
      <w:sdt>
        <w:sdtPr>
          <w:tag w:val="tii-similarity-SU5URVJORVRfcHJlcHJvZC5zaW1wbGlsZWFybi5jb20="/>
          <w:id w:val="1936048997"/>
          <w:placeholder>
            <w:docPart w:val="9DD60978709C45C6BCF30BEB09E4D71E"/>
          </w:placeholder>
          <w15:appearance w15:val="hidden"/>
        </w:sdtPr>
        <w:sdtContent>
          <w:r w:rsidR="005C41C0" w:rsidRPr="38367C43">
            <w:rPr>
              <w:rFonts w:eastAsiaTheme="minorEastAsia"/>
              <w:sz w:val="22"/>
              <w:szCs w:val="22"/>
              <w:lang w:val="en-US" w:eastAsia="en-US"/>
            </w:rPr>
            <w:t>patterns. The technique applies exponential smoothing three times – level smoothing,</w:t>
          </w:r>
        </w:sdtContent>
      </w:sdt>
      <w:r w:rsidR="21F5092B" w:rsidRPr="77AD8B01">
        <w:rPr>
          <w:rFonts w:eastAsiaTheme="minorEastAsia"/>
          <w:sz w:val="22"/>
          <w:szCs w:val="22"/>
          <w:lang w:val="en-US" w:eastAsia="en-US"/>
        </w:rPr>
        <w:t xml:space="preserve"> </w:t>
      </w:r>
      <w:sdt>
        <w:sdtPr>
          <w:tag w:val="tii-similarity-SU5URVJORVRfcHJlcHJvZC5zaW1wbGlsZWFybi5jb20="/>
          <w:id w:val="754738880"/>
          <w:placeholder>
            <w:docPart w:val="9DD60978709C45C6BCF30BEB09E4D71E"/>
          </w:placeholder>
          <w15:appearance w15:val="hidden"/>
        </w:sdtPr>
        <w:sdtContent>
          <w:r w:rsidR="005C41C0" w:rsidRPr="38367C43">
            <w:rPr>
              <w:rFonts w:eastAsiaTheme="minorEastAsia"/>
              <w:sz w:val="22"/>
              <w:szCs w:val="22"/>
              <w:lang w:val="en-US" w:eastAsia="en-US"/>
            </w:rPr>
            <w:t>trend smoothing, and seasonal smoothing. A new smoothing parameter called gamma</w:t>
          </w:r>
        </w:sdtContent>
      </w:sdt>
      <w:r w:rsidR="21F5092B" w:rsidRPr="77AD8B01">
        <w:rPr>
          <w:rFonts w:eastAsiaTheme="minorEastAsia"/>
          <w:sz w:val="22"/>
          <w:szCs w:val="22"/>
          <w:lang w:val="en-US" w:eastAsia="en-US"/>
        </w:rPr>
        <w:t xml:space="preserve"> </w:t>
      </w:r>
      <w:sdt>
        <w:sdtPr>
          <w:tag w:val="tii-similarity-SU5URVJORVRfcHJlcHJvZC5zaW1wbGlsZWFybi5jb20="/>
          <w:id w:val="743705064"/>
          <w:placeholder>
            <w:docPart w:val="9DD60978709C45C6BCF30BEB09E4D71E"/>
          </w:placeholder>
          <w15:appearance w15:val="hidden"/>
        </w:sdtPr>
        <w:sdtContent>
          <w:r w:rsidR="005C41C0" w:rsidRPr="38367C43">
            <w:rPr>
              <w:rFonts w:eastAsiaTheme="minorEastAsia"/>
              <w:sz w:val="22"/>
              <w:szCs w:val="22"/>
              <w:lang w:val="en-US" w:eastAsia="en-US"/>
            </w:rPr>
            <w:t>(g) is added to control the influence of the seasonal component.  The triple exponential</w:t>
          </w:r>
        </w:sdtContent>
      </w:sdt>
      <w:r w:rsidR="21F5092B" w:rsidRPr="77AD8B01">
        <w:rPr>
          <w:rFonts w:eastAsiaTheme="minorEastAsia"/>
          <w:sz w:val="22"/>
          <w:szCs w:val="22"/>
          <w:lang w:val="en-US" w:eastAsia="en-US"/>
        </w:rPr>
        <w:t xml:space="preserve"> </w:t>
      </w:r>
      <w:sdt>
        <w:sdtPr>
          <w:tag w:val="tii-similarity-SU5URVJORVRfcHJlcHJvZC5zaW1wbGlsZWFybi5jb20="/>
          <w:id w:val="1312523165"/>
          <w:placeholder>
            <w:docPart w:val="9DD60978709C45C6BCF30BEB09E4D71E"/>
          </w:placeholder>
          <w15:appearance w15:val="hidden"/>
        </w:sdtPr>
        <w:sdtContent>
          <w:r w:rsidR="005C41C0" w:rsidRPr="38367C43">
            <w:rPr>
              <w:rFonts w:eastAsiaTheme="minorEastAsia"/>
              <w:sz w:val="22"/>
              <w:szCs w:val="22"/>
              <w:lang w:val="en-US" w:eastAsia="en-US"/>
            </w:rPr>
            <w:t>smoothing method is called Holt-Winters Exponential Smoothing, named after its</w:t>
          </w:r>
        </w:sdtContent>
      </w:sdt>
      <w:r w:rsidR="21F5092B" w:rsidRPr="77AD8B01">
        <w:rPr>
          <w:rFonts w:eastAsiaTheme="minorEastAsia"/>
          <w:sz w:val="22"/>
          <w:szCs w:val="22"/>
          <w:lang w:val="en-US" w:eastAsia="en-US"/>
        </w:rPr>
        <w:t xml:space="preserve"> </w:t>
      </w:r>
      <w:sdt>
        <w:sdtPr>
          <w:tag w:val="tii-similarity-SU5URVJORVRfcHJlcHJvZC5zaW1wbGlsZWFybi5jb20="/>
          <w:id w:val="422155255"/>
          <w:placeholder>
            <w:docPart w:val="9DD60978709C45C6BCF30BEB09E4D71E"/>
          </w:placeholder>
          <w15:appearance w15:val="hidden"/>
        </w:sdtPr>
        <w:sdtContent>
          <w:r w:rsidR="005C41C0" w:rsidRPr="38367C43">
            <w:rPr>
              <w:rFonts w:eastAsiaTheme="minorEastAsia"/>
              <w:sz w:val="22"/>
              <w:szCs w:val="22"/>
              <w:lang w:val="en-US" w:eastAsia="en-US"/>
            </w:rPr>
            <w:t>contributors, Charles</w:t>
          </w:r>
        </w:sdtContent>
      </w:sdt>
      <w:r w:rsidR="005C41C0" w:rsidRPr="0A2CD063">
        <w:rPr>
          <w:rFonts w:eastAsiaTheme="minorEastAsia"/>
          <w:sz w:val="22"/>
          <w:szCs w:val="22"/>
          <w:lang w:val="en-US" w:eastAsia="en-US"/>
        </w:rPr>
        <w:t xml:space="preserve"> </w:t>
      </w:r>
      <w:r w:rsidR="21F5092B" w:rsidRPr="3CBED054">
        <w:rPr>
          <w:rFonts w:eastAsiaTheme="minorEastAsia"/>
          <w:sz w:val="22"/>
          <w:szCs w:val="22"/>
          <w:lang w:val="en-US" w:eastAsia="en-US"/>
        </w:rPr>
        <w:t>Hol</w:t>
      </w:r>
      <w:r w:rsidR="70805542" w:rsidRPr="3CBED054">
        <w:rPr>
          <w:rFonts w:eastAsiaTheme="minorEastAsia"/>
          <w:sz w:val="22"/>
          <w:szCs w:val="22"/>
          <w:lang w:val="en-US" w:eastAsia="en-US"/>
        </w:rPr>
        <w:t>’</w:t>
      </w:r>
      <w:r w:rsidR="21F5092B" w:rsidRPr="3CBED054">
        <w:rPr>
          <w:rFonts w:eastAsiaTheme="minorEastAsia"/>
          <w:sz w:val="22"/>
          <w:szCs w:val="22"/>
          <w:lang w:val="en-US" w:eastAsia="en-US"/>
        </w:rPr>
        <w:t>t</w:t>
      </w:r>
      <w:r w:rsidR="005C41C0" w:rsidRPr="0A2CD063">
        <w:rPr>
          <w:rFonts w:eastAsiaTheme="minorEastAsia"/>
          <w:sz w:val="22"/>
          <w:szCs w:val="22"/>
          <w:lang w:val="en-US" w:eastAsia="en-US"/>
        </w:rPr>
        <w:t xml:space="preserve"> </w:t>
      </w:r>
      <w:sdt>
        <w:sdtPr>
          <w:tag w:val="tii-similarity-SU5URVJORVRfcHJlcHJvZC5zaW1wbGlsZWFybi5jb20="/>
          <w:id w:val="533561355"/>
          <w:placeholder>
            <w:docPart w:val="9DD60978709C45C6BCF30BEB09E4D71E"/>
          </w:placeholder>
          <w15:appearance w15:val="hidden"/>
        </w:sdtPr>
        <w:sdtContent>
          <w:r w:rsidR="005C41C0" w:rsidRPr="38367C43">
            <w:rPr>
              <w:rFonts w:eastAsiaTheme="minorEastAsia"/>
              <w:sz w:val="22"/>
              <w:szCs w:val="22"/>
              <w:lang w:val="en-US" w:eastAsia="en-US"/>
            </w:rPr>
            <w:t>and Peter Winters</w:t>
          </w:r>
        </w:sdtContent>
      </w:sdt>
      <w:r w:rsidR="005C41C0" w:rsidRPr="0A2CD063">
        <w:rPr>
          <w:rFonts w:eastAsiaTheme="minorEastAsia"/>
          <w:sz w:val="22"/>
          <w:szCs w:val="22"/>
          <w:lang w:val="en-US" w:eastAsia="en-US"/>
        </w:rPr>
        <w:t>.</w:t>
      </w:r>
      <w:r w:rsidR="006E048D" w:rsidRPr="001274F7">
        <w:rPr>
          <w:sz w:val="22"/>
          <w:szCs w:val="22"/>
        </w:rPr>
        <w:t xml:space="preserve"> </w:t>
      </w:r>
      <w:r w:rsidR="006E048D" w:rsidRPr="0A2CD063">
        <w:rPr>
          <w:rFonts w:eastAsiaTheme="minorEastAsia"/>
          <w:sz w:val="22"/>
          <w:szCs w:val="22"/>
          <w:lang w:val="en-US" w:eastAsia="en-US"/>
        </w:rPr>
        <w:t>(Chatfield, 1978)</w:t>
      </w:r>
    </w:p>
    <w:p w14:paraId="2623F67C" w14:textId="77777777" w:rsidR="005C41C0" w:rsidRDefault="005C41C0" w:rsidP="00DA44E8">
      <w:pPr>
        <w:spacing w:line="360" w:lineRule="auto"/>
        <w:rPr>
          <w:rFonts w:ascii="Times New Roman" w:hAnsi="Times New Roman" w:cs="Times New Roman"/>
          <w:b/>
          <w:sz w:val="24"/>
        </w:rPr>
      </w:pPr>
    </w:p>
    <w:p w14:paraId="4235BDA6" w14:textId="77777777" w:rsidR="00DA44E8" w:rsidRDefault="00DA44E8" w:rsidP="00384B72">
      <w:pPr>
        <w:spacing w:line="360" w:lineRule="auto"/>
        <w:jc w:val="both"/>
        <w:rPr>
          <w:rFonts w:ascii="Times New Roman" w:hAnsi="Times New Roman" w:cs="Times New Roman"/>
          <w:b/>
          <w:sz w:val="24"/>
        </w:rPr>
      </w:pPr>
    </w:p>
    <w:p w14:paraId="709F7614" w14:textId="50ED6471" w:rsidR="00DA44E8" w:rsidRPr="00221BB7" w:rsidRDefault="00DA44E8" w:rsidP="00384B72">
      <w:pPr>
        <w:spacing w:line="360" w:lineRule="auto"/>
        <w:jc w:val="both"/>
        <w:rPr>
          <w:rFonts w:ascii="Times New Roman" w:hAnsi="Times New Roman" w:cs="Times New Roman"/>
          <w:sz w:val="24"/>
        </w:rPr>
      </w:pPr>
    </w:p>
    <w:sectPr w:rsidR="00DA44E8" w:rsidRPr="00221BB7">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AE833" w14:textId="77777777" w:rsidR="001274F7" w:rsidRDefault="001274F7" w:rsidP="001274F7">
      <w:pPr>
        <w:spacing w:after="0" w:line="240" w:lineRule="auto"/>
      </w:pPr>
      <w:r>
        <w:separator/>
      </w:r>
    </w:p>
  </w:endnote>
  <w:endnote w:type="continuationSeparator" w:id="0">
    <w:p w14:paraId="2B3E5AD9" w14:textId="77777777" w:rsidR="001274F7" w:rsidRDefault="001274F7" w:rsidP="001274F7">
      <w:pPr>
        <w:spacing w:after="0" w:line="240" w:lineRule="auto"/>
      </w:pPr>
      <w:r>
        <w:continuationSeparator/>
      </w:r>
    </w:p>
  </w:endnote>
  <w:endnote w:type="continuationNotice" w:id="1">
    <w:p w14:paraId="73B3EED6" w14:textId="77777777" w:rsidR="006C1A43" w:rsidRDefault="006C1A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706D2" w14:textId="77777777" w:rsidR="001274F7" w:rsidRDefault="001274F7" w:rsidP="001274F7">
      <w:pPr>
        <w:spacing w:after="0" w:line="240" w:lineRule="auto"/>
      </w:pPr>
      <w:r>
        <w:separator/>
      </w:r>
    </w:p>
  </w:footnote>
  <w:footnote w:type="continuationSeparator" w:id="0">
    <w:p w14:paraId="263584EE" w14:textId="77777777" w:rsidR="001274F7" w:rsidRDefault="001274F7" w:rsidP="001274F7">
      <w:pPr>
        <w:spacing w:after="0" w:line="240" w:lineRule="auto"/>
      </w:pPr>
      <w:r>
        <w:continuationSeparator/>
      </w:r>
    </w:p>
  </w:footnote>
  <w:footnote w:type="continuationNotice" w:id="1">
    <w:p w14:paraId="30ED172D" w14:textId="77777777" w:rsidR="006C1A43" w:rsidRDefault="006C1A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CB46" w14:textId="0D529116" w:rsidR="001274F7" w:rsidRPr="00D269E3" w:rsidRDefault="001274F7" w:rsidP="00D269E3">
    <w:pPr>
      <w:pStyle w:val="Header"/>
      <w:pBdr>
        <w:bottom w:val="single" w:sz="4" w:space="1" w:color="D9D9D9" w:themeColor="background1" w:themeShade="D9"/>
      </w:pBdr>
      <w:jc w:val="right"/>
      <w:rPr>
        <w:highlight w:val="white"/>
      </w:rPr>
    </w:pPr>
    <w:r>
      <w:rPr>
        <w:color w:val="7F7F7F" w:themeColor="background1" w:themeShade="7F"/>
        <w:spacing w:val="60"/>
      </w:rPr>
      <w:t>Page</w:t>
    </w:r>
    <w:r>
      <w:t xml:space="preserve"> | </w:t>
    </w:r>
    <w:r>
      <w:rPr>
        <w:b/>
      </w:rPr>
      <w:fldChar w:fldCharType="begin"/>
    </w:r>
    <w:r>
      <w:instrText xml:space="preserve"> PAGE   \* MERGEFORMAT </w:instrText>
    </w:r>
    <w:r>
      <w:fldChar w:fldCharType="separate"/>
    </w:r>
    <w:r>
      <w:rPr>
        <w:b/>
        <w:bCs/>
        <w:noProof/>
      </w:rPr>
      <w:t>2</w:t>
    </w:r>
    <w:r>
      <w:rPr>
        <w:b/>
        <w:bCs/>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6vJ1GoH5xKt5YK" int2:id="3VyCs1cs">
      <int2:state int2:value="Rejected" int2:type="AugLoop_Text_Critique"/>
    </int2:textHash>
    <int2:textHash int2:hashCode="MQiQK1xaTlTH6z" int2:id="A5U0Khwl">
      <int2:state int2:value="Rejected" int2:type="AugLoop_Text_Critique"/>
    </int2:textHash>
    <int2:textHash int2:hashCode="LCBymbf9A9qLak" int2:id="LcAZ50zQ">
      <int2:state int2:value="Rejected" int2:type="AugLoop_Text_Critique"/>
    </int2:textHash>
    <int2:textHash int2:hashCode="998oPfQTDIjyLY" int2:id="wJuSyrSs">
      <int2:state int2:value="Rejected" int2:type="AugLoop_Text_Critique"/>
    </int2:textHash>
    <int2:textHash int2:hashCode="0WrwUqscjAe3it" int2:id="ZJPSvUaC">
      <int2:state int2:value="Rejected" int2:type="AugLoop_Text_Critique"/>
    </int2:textHash>
    <int2:textHash int2:hashCode="UwA3tgZsgM1pbB" int2:id="e8GQJRDA">
      <int2:state int2:value="Rejected" int2:type="AugLoop_Text_Critique"/>
    </int2:textHash>
    <int2:textHash int2:hashCode="ruv77XbBn/Jx5U" int2:id="eYmOL790">
      <int2:state int2:value="Rejected" int2:type="AugLoop_Text_Critique"/>
    </int2:textHash>
    <int2:textHash int2:hashCode="HyUdmjeiecJozF" int2:id="eh33CXcB">
      <int2:state int2:value="Rejected" int2:type="AugLoop_Text_Critique"/>
    </int2:textHash>
    <int2:textHash int2:hashCode="rUryeZgCU2Mbuw" int2:id="fJ1p3hqP">
      <int2:state int2:value="Rejected" int2:type="AugLoop_Text_Critique"/>
    </int2:textHash>
    <int2:textHash int2:hashCode="vBtXmNx8uDtGd/" int2:id="kQ8S6f8C">
      <int2:state int2:value="Rejected" int2:type="AugLoop_Text_Critique"/>
    </int2:textHash>
    <int2:textHash int2:hashCode="fZNQDIauWHs9n0" int2:id="ma9xiRyk">
      <int2:state int2:value="Rejected" int2:type="AugLoop_Text_Critique"/>
    </int2:textHash>
    <int2:textHash int2:hashCode="0GCeYgH+0zcTVv" int2:id="pX3XhbBf">
      <int2:state int2:value="Rejected" int2:type="AugLoop_Text_Critique"/>
    </int2:textHash>
    <int2:textHash int2:hashCode="TPZpi81FsDYI4I" int2:id="pXWYjnk4">
      <int2:state int2:value="Rejected" int2:type="AugLoop_Text_Critique"/>
    </int2:textHash>
    <int2:textHash int2:hashCode="iGKnXlTqGFwJOb" int2:id="pd74ZzUR">
      <int2:state int2:value="Rejected" int2:type="AugLoop_Text_Critique"/>
    </int2:textHash>
    <int2:textHash int2:hashCode="KUK/D4OuEbn45i" int2:id="vZDw9Lrt">
      <int2:state int2:value="Rejected" int2:type="AugLoop_Text_Critique"/>
    </int2:textHash>
    <int2:textHash int2:hashCode="BhthYF1O+W+F+X" int2:id="w75jw0o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E25"/>
    <w:multiLevelType w:val="hybridMultilevel"/>
    <w:tmpl w:val="CA2A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F31"/>
    <w:multiLevelType w:val="multilevel"/>
    <w:tmpl w:val="623C08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A564DD"/>
    <w:multiLevelType w:val="multilevel"/>
    <w:tmpl w:val="84E0E6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3A0217"/>
    <w:multiLevelType w:val="multilevel"/>
    <w:tmpl w:val="D0D40CD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87816814">
    <w:abstractNumId w:val="0"/>
  </w:num>
  <w:num w:numId="2" w16cid:durableId="881556650">
    <w:abstractNumId w:val="3"/>
  </w:num>
  <w:num w:numId="3" w16cid:durableId="1911186525">
    <w:abstractNumId w:val="2"/>
  </w:num>
  <w:num w:numId="4" w16cid:durableId="1827091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E1NzIxNTCytLCwMDRS0lEKTi0uzszPAykwqQUAZUjU0ywAAAA="/>
  </w:docVars>
  <w:rsids>
    <w:rsidRoot w:val="00B15503"/>
    <w:rsid w:val="00002B12"/>
    <w:rsid w:val="00012E39"/>
    <w:rsid w:val="000139EE"/>
    <w:rsid w:val="000160F5"/>
    <w:rsid w:val="00017670"/>
    <w:rsid w:val="0002268F"/>
    <w:rsid w:val="00025144"/>
    <w:rsid w:val="00027224"/>
    <w:rsid w:val="0003418C"/>
    <w:rsid w:val="000376EE"/>
    <w:rsid w:val="000407A5"/>
    <w:rsid w:val="0004349C"/>
    <w:rsid w:val="00044B4F"/>
    <w:rsid w:val="000469C3"/>
    <w:rsid w:val="00053CC2"/>
    <w:rsid w:val="0005496C"/>
    <w:rsid w:val="000564C7"/>
    <w:rsid w:val="00057E09"/>
    <w:rsid w:val="000664C2"/>
    <w:rsid w:val="0006740E"/>
    <w:rsid w:val="00072538"/>
    <w:rsid w:val="0007581A"/>
    <w:rsid w:val="00076A7C"/>
    <w:rsid w:val="00076EC8"/>
    <w:rsid w:val="000851AD"/>
    <w:rsid w:val="00087A13"/>
    <w:rsid w:val="00092014"/>
    <w:rsid w:val="0009275E"/>
    <w:rsid w:val="000A03EB"/>
    <w:rsid w:val="000A6A8C"/>
    <w:rsid w:val="000A77EB"/>
    <w:rsid w:val="000B05AA"/>
    <w:rsid w:val="000B3979"/>
    <w:rsid w:val="000D6618"/>
    <w:rsid w:val="000E08F9"/>
    <w:rsid w:val="000E1EC0"/>
    <w:rsid w:val="000E3EBA"/>
    <w:rsid w:val="000F33F8"/>
    <w:rsid w:val="000F450C"/>
    <w:rsid w:val="000F4FA8"/>
    <w:rsid w:val="000F6643"/>
    <w:rsid w:val="000F69F0"/>
    <w:rsid w:val="00103D92"/>
    <w:rsid w:val="00104613"/>
    <w:rsid w:val="00107AB9"/>
    <w:rsid w:val="001274F7"/>
    <w:rsid w:val="0013074D"/>
    <w:rsid w:val="00131651"/>
    <w:rsid w:val="00147024"/>
    <w:rsid w:val="001523DF"/>
    <w:rsid w:val="00154710"/>
    <w:rsid w:val="001566ED"/>
    <w:rsid w:val="001612F7"/>
    <w:rsid w:val="0016322E"/>
    <w:rsid w:val="001634E8"/>
    <w:rsid w:val="00163833"/>
    <w:rsid w:val="00165C1C"/>
    <w:rsid w:val="001677AE"/>
    <w:rsid w:val="0017093A"/>
    <w:rsid w:val="00173BD9"/>
    <w:rsid w:val="001772C4"/>
    <w:rsid w:val="001860AB"/>
    <w:rsid w:val="00187A49"/>
    <w:rsid w:val="001A01BA"/>
    <w:rsid w:val="001A3BD2"/>
    <w:rsid w:val="001B24CC"/>
    <w:rsid w:val="001B2791"/>
    <w:rsid w:val="001B4F36"/>
    <w:rsid w:val="001C4311"/>
    <w:rsid w:val="001D494D"/>
    <w:rsid w:val="001E29AF"/>
    <w:rsid w:val="001E3475"/>
    <w:rsid w:val="001E5297"/>
    <w:rsid w:val="001E7E6F"/>
    <w:rsid w:val="00200736"/>
    <w:rsid w:val="00201264"/>
    <w:rsid w:val="00202C0E"/>
    <w:rsid w:val="002043B5"/>
    <w:rsid w:val="002077D5"/>
    <w:rsid w:val="002100E7"/>
    <w:rsid w:val="00211D03"/>
    <w:rsid w:val="00221546"/>
    <w:rsid w:val="00221BB7"/>
    <w:rsid w:val="00221F0F"/>
    <w:rsid w:val="00223A95"/>
    <w:rsid w:val="00227FD0"/>
    <w:rsid w:val="00233A0A"/>
    <w:rsid w:val="00233D5A"/>
    <w:rsid w:val="002362CC"/>
    <w:rsid w:val="00237844"/>
    <w:rsid w:val="00242FE8"/>
    <w:rsid w:val="002447AA"/>
    <w:rsid w:val="002466F0"/>
    <w:rsid w:val="00247C21"/>
    <w:rsid w:val="00251835"/>
    <w:rsid w:val="002537DD"/>
    <w:rsid w:val="00253825"/>
    <w:rsid w:val="00254DF9"/>
    <w:rsid w:val="00261A1B"/>
    <w:rsid w:val="002635C9"/>
    <w:rsid w:val="002649B8"/>
    <w:rsid w:val="00280E19"/>
    <w:rsid w:val="00281DE4"/>
    <w:rsid w:val="00284C3D"/>
    <w:rsid w:val="00287DD4"/>
    <w:rsid w:val="00293C24"/>
    <w:rsid w:val="00295A7F"/>
    <w:rsid w:val="002A0685"/>
    <w:rsid w:val="002B0551"/>
    <w:rsid w:val="002B1345"/>
    <w:rsid w:val="002B2AEA"/>
    <w:rsid w:val="002B4EF9"/>
    <w:rsid w:val="002C2D02"/>
    <w:rsid w:val="002C2D13"/>
    <w:rsid w:val="002C4C73"/>
    <w:rsid w:val="002D75AF"/>
    <w:rsid w:val="002E11E4"/>
    <w:rsid w:val="002E124B"/>
    <w:rsid w:val="002E2EC4"/>
    <w:rsid w:val="002E3822"/>
    <w:rsid w:val="002E6293"/>
    <w:rsid w:val="002F18D4"/>
    <w:rsid w:val="002F27F3"/>
    <w:rsid w:val="00306618"/>
    <w:rsid w:val="00306B2A"/>
    <w:rsid w:val="00310E8C"/>
    <w:rsid w:val="00311F6E"/>
    <w:rsid w:val="00316CB8"/>
    <w:rsid w:val="003208CA"/>
    <w:rsid w:val="00323899"/>
    <w:rsid w:val="00324913"/>
    <w:rsid w:val="0033048E"/>
    <w:rsid w:val="0033059E"/>
    <w:rsid w:val="003352B4"/>
    <w:rsid w:val="00344031"/>
    <w:rsid w:val="00345F34"/>
    <w:rsid w:val="00350D66"/>
    <w:rsid w:val="003531B0"/>
    <w:rsid w:val="00354C15"/>
    <w:rsid w:val="00360608"/>
    <w:rsid w:val="00362193"/>
    <w:rsid w:val="00365EB3"/>
    <w:rsid w:val="003714AC"/>
    <w:rsid w:val="0037499D"/>
    <w:rsid w:val="00375214"/>
    <w:rsid w:val="0037736A"/>
    <w:rsid w:val="003808CD"/>
    <w:rsid w:val="00384B72"/>
    <w:rsid w:val="00385F67"/>
    <w:rsid w:val="00386FC0"/>
    <w:rsid w:val="003929FA"/>
    <w:rsid w:val="00395216"/>
    <w:rsid w:val="00395F32"/>
    <w:rsid w:val="00396BC1"/>
    <w:rsid w:val="003A15B8"/>
    <w:rsid w:val="003A4AFD"/>
    <w:rsid w:val="003B350C"/>
    <w:rsid w:val="003B65C0"/>
    <w:rsid w:val="003B6CE9"/>
    <w:rsid w:val="003C034C"/>
    <w:rsid w:val="003C36AB"/>
    <w:rsid w:val="003C3A73"/>
    <w:rsid w:val="003C6D1A"/>
    <w:rsid w:val="003D0331"/>
    <w:rsid w:val="003D2FFD"/>
    <w:rsid w:val="003D75C7"/>
    <w:rsid w:val="003E1D5C"/>
    <w:rsid w:val="003E40B4"/>
    <w:rsid w:val="003E6136"/>
    <w:rsid w:val="003E6866"/>
    <w:rsid w:val="003F5473"/>
    <w:rsid w:val="003F55D6"/>
    <w:rsid w:val="0040305B"/>
    <w:rsid w:val="0040453E"/>
    <w:rsid w:val="00406FD9"/>
    <w:rsid w:val="00411126"/>
    <w:rsid w:val="00411536"/>
    <w:rsid w:val="00412A6A"/>
    <w:rsid w:val="004137D9"/>
    <w:rsid w:val="004174D5"/>
    <w:rsid w:val="004237E4"/>
    <w:rsid w:val="00425CC1"/>
    <w:rsid w:val="0043173C"/>
    <w:rsid w:val="00441BD4"/>
    <w:rsid w:val="00441D84"/>
    <w:rsid w:val="00442874"/>
    <w:rsid w:val="004429B6"/>
    <w:rsid w:val="00442E09"/>
    <w:rsid w:val="00450604"/>
    <w:rsid w:val="00451624"/>
    <w:rsid w:val="00453392"/>
    <w:rsid w:val="004539E2"/>
    <w:rsid w:val="00456194"/>
    <w:rsid w:val="00456BF3"/>
    <w:rsid w:val="00462708"/>
    <w:rsid w:val="00476259"/>
    <w:rsid w:val="00477B92"/>
    <w:rsid w:val="00483DC3"/>
    <w:rsid w:val="004A01C0"/>
    <w:rsid w:val="004A66E0"/>
    <w:rsid w:val="004A765D"/>
    <w:rsid w:val="004B0E79"/>
    <w:rsid w:val="004B2200"/>
    <w:rsid w:val="004B289F"/>
    <w:rsid w:val="004C3873"/>
    <w:rsid w:val="004C4AE3"/>
    <w:rsid w:val="004C6BF2"/>
    <w:rsid w:val="004D21E7"/>
    <w:rsid w:val="004D5043"/>
    <w:rsid w:val="004D50DB"/>
    <w:rsid w:val="004D6DA6"/>
    <w:rsid w:val="004E6D3D"/>
    <w:rsid w:val="004F43B0"/>
    <w:rsid w:val="004F51CD"/>
    <w:rsid w:val="005032D9"/>
    <w:rsid w:val="00507470"/>
    <w:rsid w:val="005111CB"/>
    <w:rsid w:val="00511D1E"/>
    <w:rsid w:val="0051211A"/>
    <w:rsid w:val="00516FF4"/>
    <w:rsid w:val="00522A08"/>
    <w:rsid w:val="00522C57"/>
    <w:rsid w:val="005235B9"/>
    <w:rsid w:val="005238DA"/>
    <w:rsid w:val="005269CB"/>
    <w:rsid w:val="00532D7E"/>
    <w:rsid w:val="005442EE"/>
    <w:rsid w:val="0054594A"/>
    <w:rsid w:val="00554D6C"/>
    <w:rsid w:val="00565E95"/>
    <w:rsid w:val="00565E9F"/>
    <w:rsid w:val="00571844"/>
    <w:rsid w:val="00582345"/>
    <w:rsid w:val="005915EC"/>
    <w:rsid w:val="005A0DA4"/>
    <w:rsid w:val="005A1C83"/>
    <w:rsid w:val="005B0A7E"/>
    <w:rsid w:val="005B4EF0"/>
    <w:rsid w:val="005B525A"/>
    <w:rsid w:val="005C06CD"/>
    <w:rsid w:val="005C41C0"/>
    <w:rsid w:val="005C6D05"/>
    <w:rsid w:val="005D0C1D"/>
    <w:rsid w:val="005D19FA"/>
    <w:rsid w:val="005D3D79"/>
    <w:rsid w:val="005E05FB"/>
    <w:rsid w:val="005F1BB1"/>
    <w:rsid w:val="005F2F07"/>
    <w:rsid w:val="005F3440"/>
    <w:rsid w:val="005F5E02"/>
    <w:rsid w:val="005F6AB2"/>
    <w:rsid w:val="006017FF"/>
    <w:rsid w:val="00601E56"/>
    <w:rsid w:val="006051D1"/>
    <w:rsid w:val="00614C46"/>
    <w:rsid w:val="00615F99"/>
    <w:rsid w:val="00617D13"/>
    <w:rsid w:val="00621255"/>
    <w:rsid w:val="00622FE5"/>
    <w:rsid w:val="00624CA2"/>
    <w:rsid w:val="00625094"/>
    <w:rsid w:val="006265C7"/>
    <w:rsid w:val="006305A5"/>
    <w:rsid w:val="0063312E"/>
    <w:rsid w:val="006361F9"/>
    <w:rsid w:val="0063692D"/>
    <w:rsid w:val="00646746"/>
    <w:rsid w:val="006504EC"/>
    <w:rsid w:val="00651A7E"/>
    <w:rsid w:val="00652D09"/>
    <w:rsid w:val="0065717F"/>
    <w:rsid w:val="00657469"/>
    <w:rsid w:val="00660E8C"/>
    <w:rsid w:val="00674E72"/>
    <w:rsid w:val="0067529F"/>
    <w:rsid w:val="00676DBD"/>
    <w:rsid w:val="00676E08"/>
    <w:rsid w:val="00693279"/>
    <w:rsid w:val="0069532B"/>
    <w:rsid w:val="0069724C"/>
    <w:rsid w:val="006A38C0"/>
    <w:rsid w:val="006A65F0"/>
    <w:rsid w:val="006C1A43"/>
    <w:rsid w:val="006C2E71"/>
    <w:rsid w:val="006C7374"/>
    <w:rsid w:val="006D1005"/>
    <w:rsid w:val="006D118C"/>
    <w:rsid w:val="006D4997"/>
    <w:rsid w:val="006D6123"/>
    <w:rsid w:val="006D6D84"/>
    <w:rsid w:val="006D7055"/>
    <w:rsid w:val="006E01F4"/>
    <w:rsid w:val="006E048D"/>
    <w:rsid w:val="006E0E4B"/>
    <w:rsid w:val="006E40C5"/>
    <w:rsid w:val="006F1AA9"/>
    <w:rsid w:val="006F3C3C"/>
    <w:rsid w:val="006F49D0"/>
    <w:rsid w:val="00706632"/>
    <w:rsid w:val="0071588E"/>
    <w:rsid w:val="00715BA5"/>
    <w:rsid w:val="00733C51"/>
    <w:rsid w:val="00744960"/>
    <w:rsid w:val="00744D76"/>
    <w:rsid w:val="00745D27"/>
    <w:rsid w:val="00747938"/>
    <w:rsid w:val="0075250C"/>
    <w:rsid w:val="00753D13"/>
    <w:rsid w:val="00753D74"/>
    <w:rsid w:val="00763BE2"/>
    <w:rsid w:val="007657C4"/>
    <w:rsid w:val="00773283"/>
    <w:rsid w:val="00785587"/>
    <w:rsid w:val="00785CA4"/>
    <w:rsid w:val="00790D81"/>
    <w:rsid w:val="00793389"/>
    <w:rsid w:val="00796A58"/>
    <w:rsid w:val="007A01A1"/>
    <w:rsid w:val="007A1BB4"/>
    <w:rsid w:val="007A2203"/>
    <w:rsid w:val="007A5735"/>
    <w:rsid w:val="007B0F9C"/>
    <w:rsid w:val="007B298B"/>
    <w:rsid w:val="007B524C"/>
    <w:rsid w:val="007B58D0"/>
    <w:rsid w:val="007B7AAE"/>
    <w:rsid w:val="007C2BC2"/>
    <w:rsid w:val="007D18BB"/>
    <w:rsid w:val="007D1E2A"/>
    <w:rsid w:val="007D3EF6"/>
    <w:rsid w:val="007D5C11"/>
    <w:rsid w:val="007D7820"/>
    <w:rsid w:val="007E3828"/>
    <w:rsid w:val="007E527E"/>
    <w:rsid w:val="007E58D1"/>
    <w:rsid w:val="007E5EBA"/>
    <w:rsid w:val="007F1A16"/>
    <w:rsid w:val="007F47EE"/>
    <w:rsid w:val="007F4889"/>
    <w:rsid w:val="0081176D"/>
    <w:rsid w:val="00814455"/>
    <w:rsid w:val="00815B4F"/>
    <w:rsid w:val="00822FAD"/>
    <w:rsid w:val="00824176"/>
    <w:rsid w:val="00826D1C"/>
    <w:rsid w:val="0083682D"/>
    <w:rsid w:val="00840168"/>
    <w:rsid w:val="00843F80"/>
    <w:rsid w:val="00851BED"/>
    <w:rsid w:val="00854017"/>
    <w:rsid w:val="00855354"/>
    <w:rsid w:val="00856A14"/>
    <w:rsid w:val="00856A38"/>
    <w:rsid w:val="00860016"/>
    <w:rsid w:val="00863AD5"/>
    <w:rsid w:val="00870E8E"/>
    <w:rsid w:val="00872267"/>
    <w:rsid w:val="00880257"/>
    <w:rsid w:val="0088147D"/>
    <w:rsid w:val="00883B62"/>
    <w:rsid w:val="00885962"/>
    <w:rsid w:val="00885C8D"/>
    <w:rsid w:val="008A19FB"/>
    <w:rsid w:val="008A4FBF"/>
    <w:rsid w:val="008B1D02"/>
    <w:rsid w:val="008B457C"/>
    <w:rsid w:val="008B70FE"/>
    <w:rsid w:val="008C73B8"/>
    <w:rsid w:val="008D01E0"/>
    <w:rsid w:val="008D0C92"/>
    <w:rsid w:val="008D45D1"/>
    <w:rsid w:val="008D78FE"/>
    <w:rsid w:val="008E0D79"/>
    <w:rsid w:val="008E2709"/>
    <w:rsid w:val="008E2ED2"/>
    <w:rsid w:val="008E55BC"/>
    <w:rsid w:val="008E74C4"/>
    <w:rsid w:val="008F6340"/>
    <w:rsid w:val="00911072"/>
    <w:rsid w:val="00914909"/>
    <w:rsid w:val="00915C6F"/>
    <w:rsid w:val="009221B1"/>
    <w:rsid w:val="00922B12"/>
    <w:rsid w:val="00925E2F"/>
    <w:rsid w:val="00930A90"/>
    <w:rsid w:val="00933638"/>
    <w:rsid w:val="009372D9"/>
    <w:rsid w:val="0093798F"/>
    <w:rsid w:val="00937A47"/>
    <w:rsid w:val="00940205"/>
    <w:rsid w:val="00941EDB"/>
    <w:rsid w:val="009430B3"/>
    <w:rsid w:val="0094525B"/>
    <w:rsid w:val="00950070"/>
    <w:rsid w:val="009506E0"/>
    <w:rsid w:val="009522EC"/>
    <w:rsid w:val="00952864"/>
    <w:rsid w:val="00954725"/>
    <w:rsid w:val="00954880"/>
    <w:rsid w:val="00957976"/>
    <w:rsid w:val="00970097"/>
    <w:rsid w:val="00973B07"/>
    <w:rsid w:val="00974A78"/>
    <w:rsid w:val="0097739B"/>
    <w:rsid w:val="00977736"/>
    <w:rsid w:val="009819A7"/>
    <w:rsid w:val="0098515D"/>
    <w:rsid w:val="0099013D"/>
    <w:rsid w:val="0099238B"/>
    <w:rsid w:val="009A07C6"/>
    <w:rsid w:val="009A282B"/>
    <w:rsid w:val="009A348A"/>
    <w:rsid w:val="009A46EB"/>
    <w:rsid w:val="009B7BFA"/>
    <w:rsid w:val="009C2D94"/>
    <w:rsid w:val="009C40B5"/>
    <w:rsid w:val="009C4429"/>
    <w:rsid w:val="009C51ED"/>
    <w:rsid w:val="009C63D7"/>
    <w:rsid w:val="009D3F25"/>
    <w:rsid w:val="009D6CEF"/>
    <w:rsid w:val="009E235B"/>
    <w:rsid w:val="009E2824"/>
    <w:rsid w:val="009E5DB4"/>
    <w:rsid w:val="00A1188F"/>
    <w:rsid w:val="00A16FD5"/>
    <w:rsid w:val="00A221B9"/>
    <w:rsid w:val="00A2234A"/>
    <w:rsid w:val="00A250A3"/>
    <w:rsid w:val="00A260F0"/>
    <w:rsid w:val="00A26E5B"/>
    <w:rsid w:val="00A324BC"/>
    <w:rsid w:val="00A3512B"/>
    <w:rsid w:val="00A37CCB"/>
    <w:rsid w:val="00A400CE"/>
    <w:rsid w:val="00A4227B"/>
    <w:rsid w:val="00A428A9"/>
    <w:rsid w:val="00A4335A"/>
    <w:rsid w:val="00A43D5E"/>
    <w:rsid w:val="00A440F0"/>
    <w:rsid w:val="00A46D52"/>
    <w:rsid w:val="00A57018"/>
    <w:rsid w:val="00A57ECA"/>
    <w:rsid w:val="00A61D32"/>
    <w:rsid w:val="00A62540"/>
    <w:rsid w:val="00A64624"/>
    <w:rsid w:val="00A6709F"/>
    <w:rsid w:val="00A74109"/>
    <w:rsid w:val="00A75D51"/>
    <w:rsid w:val="00A7706F"/>
    <w:rsid w:val="00A82180"/>
    <w:rsid w:val="00AB77F9"/>
    <w:rsid w:val="00ACB643"/>
    <w:rsid w:val="00AD1A7F"/>
    <w:rsid w:val="00AD46DA"/>
    <w:rsid w:val="00AD5E0B"/>
    <w:rsid w:val="00AD6334"/>
    <w:rsid w:val="00AD64B0"/>
    <w:rsid w:val="00AE0593"/>
    <w:rsid w:val="00AE2C91"/>
    <w:rsid w:val="00AE34DB"/>
    <w:rsid w:val="00AE3AE8"/>
    <w:rsid w:val="00AE6490"/>
    <w:rsid w:val="00AF30BD"/>
    <w:rsid w:val="00B02325"/>
    <w:rsid w:val="00B05A86"/>
    <w:rsid w:val="00B06239"/>
    <w:rsid w:val="00B07FA4"/>
    <w:rsid w:val="00B1383A"/>
    <w:rsid w:val="00B15503"/>
    <w:rsid w:val="00B17A7F"/>
    <w:rsid w:val="00B20DC8"/>
    <w:rsid w:val="00B26CB7"/>
    <w:rsid w:val="00B2708F"/>
    <w:rsid w:val="00B30579"/>
    <w:rsid w:val="00B32B6F"/>
    <w:rsid w:val="00B36AC4"/>
    <w:rsid w:val="00B4600E"/>
    <w:rsid w:val="00B46BB5"/>
    <w:rsid w:val="00B50796"/>
    <w:rsid w:val="00B51C29"/>
    <w:rsid w:val="00B51E66"/>
    <w:rsid w:val="00B61ABB"/>
    <w:rsid w:val="00B702A2"/>
    <w:rsid w:val="00B70374"/>
    <w:rsid w:val="00B73575"/>
    <w:rsid w:val="00B73C83"/>
    <w:rsid w:val="00B73F4F"/>
    <w:rsid w:val="00B80AF8"/>
    <w:rsid w:val="00B82340"/>
    <w:rsid w:val="00B850CC"/>
    <w:rsid w:val="00B936DC"/>
    <w:rsid w:val="00B957F3"/>
    <w:rsid w:val="00BA55C7"/>
    <w:rsid w:val="00BA7FC9"/>
    <w:rsid w:val="00BB3901"/>
    <w:rsid w:val="00BB4741"/>
    <w:rsid w:val="00BB5979"/>
    <w:rsid w:val="00BB7FA5"/>
    <w:rsid w:val="00BC41DA"/>
    <w:rsid w:val="00BC4497"/>
    <w:rsid w:val="00BC5180"/>
    <w:rsid w:val="00BC7390"/>
    <w:rsid w:val="00BD343D"/>
    <w:rsid w:val="00BD468D"/>
    <w:rsid w:val="00BD7215"/>
    <w:rsid w:val="00BD7219"/>
    <w:rsid w:val="00BE69A3"/>
    <w:rsid w:val="00BF0232"/>
    <w:rsid w:val="00BF2462"/>
    <w:rsid w:val="00BF57B1"/>
    <w:rsid w:val="00C0149D"/>
    <w:rsid w:val="00C14921"/>
    <w:rsid w:val="00C14B24"/>
    <w:rsid w:val="00C14E9C"/>
    <w:rsid w:val="00C22745"/>
    <w:rsid w:val="00C3087E"/>
    <w:rsid w:val="00C30AC9"/>
    <w:rsid w:val="00C31EB6"/>
    <w:rsid w:val="00C35284"/>
    <w:rsid w:val="00C429FF"/>
    <w:rsid w:val="00C51AE5"/>
    <w:rsid w:val="00C63460"/>
    <w:rsid w:val="00C63FD1"/>
    <w:rsid w:val="00C65926"/>
    <w:rsid w:val="00C660F1"/>
    <w:rsid w:val="00C66175"/>
    <w:rsid w:val="00C666C3"/>
    <w:rsid w:val="00C700C0"/>
    <w:rsid w:val="00C70F46"/>
    <w:rsid w:val="00C76434"/>
    <w:rsid w:val="00C81820"/>
    <w:rsid w:val="00C85C60"/>
    <w:rsid w:val="00C92FCE"/>
    <w:rsid w:val="00C959FB"/>
    <w:rsid w:val="00CA421E"/>
    <w:rsid w:val="00CC24A1"/>
    <w:rsid w:val="00CD1922"/>
    <w:rsid w:val="00CE0836"/>
    <w:rsid w:val="00CE3441"/>
    <w:rsid w:val="00CF157D"/>
    <w:rsid w:val="00CF5587"/>
    <w:rsid w:val="00CF7717"/>
    <w:rsid w:val="00D00A02"/>
    <w:rsid w:val="00D10D10"/>
    <w:rsid w:val="00D15328"/>
    <w:rsid w:val="00D15D44"/>
    <w:rsid w:val="00D21F30"/>
    <w:rsid w:val="00D269E3"/>
    <w:rsid w:val="00D30EBF"/>
    <w:rsid w:val="00D52D9E"/>
    <w:rsid w:val="00D53FE6"/>
    <w:rsid w:val="00D555B9"/>
    <w:rsid w:val="00D558D7"/>
    <w:rsid w:val="00D567C0"/>
    <w:rsid w:val="00D60D4D"/>
    <w:rsid w:val="00D6163D"/>
    <w:rsid w:val="00D63095"/>
    <w:rsid w:val="00D65AAF"/>
    <w:rsid w:val="00D6771C"/>
    <w:rsid w:val="00D72FF3"/>
    <w:rsid w:val="00D74FC4"/>
    <w:rsid w:val="00D76253"/>
    <w:rsid w:val="00D77EB5"/>
    <w:rsid w:val="00D83B97"/>
    <w:rsid w:val="00D86105"/>
    <w:rsid w:val="00D90CA5"/>
    <w:rsid w:val="00D90CCC"/>
    <w:rsid w:val="00D9464F"/>
    <w:rsid w:val="00DA3569"/>
    <w:rsid w:val="00DA44E8"/>
    <w:rsid w:val="00DA4F39"/>
    <w:rsid w:val="00DA5006"/>
    <w:rsid w:val="00DA55EE"/>
    <w:rsid w:val="00DA5E1B"/>
    <w:rsid w:val="00DA7CFF"/>
    <w:rsid w:val="00DC35AA"/>
    <w:rsid w:val="00DC42AA"/>
    <w:rsid w:val="00DC72E6"/>
    <w:rsid w:val="00DD59CD"/>
    <w:rsid w:val="00DE03D3"/>
    <w:rsid w:val="00DE24BE"/>
    <w:rsid w:val="00DE5171"/>
    <w:rsid w:val="00DF0217"/>
    <w:rsid w:val="00DF45F2"/>
    <w:rsid w:val="00E00FA5"/>
    <w:rsid w:val="00E02E17"/>
    <w:rsid w:val="00E05E27"/>
    <w:rsid w:val="00E06667"/>
    <w:rsid w:val="00E13338"/>
    <w:rsid w:val="00E140B1"/>
    <w:rsid w:val="00E16519"/>
    <w:rsid w:val="00E23E11"/>
    <w:rsid w:val="00E311A6"/>
    <w:rsid w:val="00E3371E"/>
    <w:rsid w:val="00E41B27"/>
    <w:rsid w:val="00E41BD9"/>
    <w:rsid w:val="00E43973"/>
    <w:rsid w:val="00E72A1F"/>
    <w:rsid w:val="00E76763"/>
    <w:rsid w:val="00E8385F"/>
    <w:rsid w:val="00E85062"/>
    <w:rsid w:val="00E854F8"/>
    <w:rsid w:val="00E90684"/>
    <w:rsid w:val="00EA0278"/>
    <w:rsid w:val="00EA5CFA"/>
    <w:rsid w:val="00EB01B4"/>
    <w:rsid w:val="00EB2192"/>
    <w:rsid w:val="00EC1427"/>
    <w:rsid w:val="00EC216D"/>
    <w:rsid w:val="00ED18C9"/>
    <w:rsid w:val="00ED5115"/>
    <w:rsid w:val="00ED6CFD"/>
    <w:rsid w:val="00EE2AF0"/>
    <w:rsid w:val="00EF51C1"/>
    <w:rsid w:val="00F01C81"/>
    <w:rsid w:val="00F12B94"/>
    <w:rsid w:val="00F13DE0"/>
    <w:rsid w:val="00F23746"/>
    <w:rsid w:val="00F24415"/>
    <w:rsid w:val="00F277DA"/>
    <w:rsid w:val="00F30ABC"/>
    <w:rsid w:val="00F319A6"/>
    <w:rsid w:val="00F33A69"/>
    <w:rsid w:val="00F343C8"/>
    <w:rsid w:val="00F36352"/>
    <w:rsid w:val="00F37CBB"/>
    <w:rsid w:val="00F42629"/>
    <w:rsid w:val="00F42975"/>
    <w:rsid w:val="00F44569"/>
    <w:rsid w:val="00F47C83"/>
    <w:rsid w:val="00F51502"/>
    <w:rsid w:val="00F52B07"/>
    <w:rsid w:val="00F55A2D"/>
    <w:rsid w:val="00F63B31"/>
    <w:rsid w:val="00F64BA1"/>
    <w:rsid w:val="00F656D2"/>
    <w:rsid w:val="00F6593D"/>
    <w:rsid w:val="00F66B5E"/>
    <w:rsid w:val="00F710A0"/>
    <w:rsid w:val="00F72061"/>
    <w:rsid w:val="00F73270"/>
    <w:rsid w:val="00F7783C"/>
    <w:rsid w:val="00F87F23"/>
    <w:rsid w:val="00F91171"/>
    <w:rsid w:val="00F94458"/>
    <w:rsid w:val="00F96809"/>
    <w:rsid w:val="00F9756C"/>
    <w:rsid w:val="00FA2185"/>
    <w:rsid w:val="00FC057D"/>
    <w:rsid w:val="00FC1B8A"/>
    <w:rsid w:val="00FC67A6"/>
    <w:rsid w:val="00FE0519"/>
    <w:rsid w:val="00FE5F97"/>
    <w:rsid w:val="00FE698E"/>
    <w:rsid w:val="00FE7615"/>
    <w:rsid w:val="00FE7B49"/>
    <w:rsid w:val="00FF3086"/>
    <w:rsid w:val="00FF3749"/>
    <w:rsid w:val="00FF3D96"/>
    <w:rsid w:val="01119330"/>
    <w:rsid w:val="01780FDD"/>
    <w:rsid w:val="03B5D42A"/>
    <w:rsid w:val="03E9C218"/>
    <w:rsid w:val="05C43074"/>
    <w:rsid w:val="064CEF62"/>
    <w:rsid w:val="06AA9D42"/>
    <w:rsid w:val="06D13645"/>
    <w:rsid w:val="0737687F"/>
    <w:rsid w:val="0799B81D"/>
    <w:rsid w:val="079AC78A"/>
    <w:rsid w:val="08B4ADA9"/>
    <w:rsid w:val="094030AD"/>
    <w:rsid w:val="0A2CD063"/>
    <w:rsid w:val="0A47D0CD"/>
    <w:rsid w:val="0ACEAB31"/>
    <w:rsid w:val="0BCDC8F6"/>
    <w:rsid w:val="0BDEE768"/>
    <w:rsid w:val="0BE5C435"/>
    <w:rsid w:val="0BE8822B"/>
    <w:rsid w:val="0BFBC31F"/>
    <w:rsid w:val="0C0CF5DF"/>
    <w:rsid w:val="0CD263EB"/>
    <w:rsid w:val="0E424BE1"/>
    <w:rsid w:val="0F7D0F19"/>
    <w:rsid w:val="0F7FDFAB"/>
    <w:rsid w:val="0FEB1AD4"/>
    <w:rsid w:val="112DE2AA"/>
    <w:rsid w:val="11CF5AD0"/>
    <w:rsid w:val="11F8155D"/>
    <w:rsid w:val="1288F3A7"/>
    <w:rsid w:val="12A49CF7"/>
    <w:rsid w:val="12F9AA88"/>
    <w:rsid w:val="135A2873"/>
    <w:rsid w:val="1698E860"/>
    <w:rsid w:val="1756D61F"/>
    <w:rsid w:val="17EED697"/>
    <w:rsid w:val="18154963"/>
    <w:rsid w:val="18A29B04"/>
    <w:rsid w:val="19547BCA"/>
    <w:rsid w:val="1A4DFE4F"/>
    <w:rsid w:val="1A66A363"/>
    <w:rsid w:val="1AAD84AB"/>
    <w:rsid w:val="1BE7EB82"/>
    <w:rsid w:val="1BEE947A"/>
    <w:rsid w:val="1BFE1140"/>
    <w:rsid w:val="1C74FFAD"/>
    <w:rsid w:val="1D5D1BAA"/>
    <w:rsid w:val="1E46A88E"/>
    <w:rsid w:val="1ECEABDA"/>
    <w:rsid w:val="201862CB"/>
    <w:rsid w:val="20EFA53A"/>
    <w:rsid w:val="21302A10"/>
    <w:rsid w:val="21AB22A8"/>
    <w:rsid w:val="21F5092B"/>
    <w:rsid w:val="2531DA8A"/>
    <w:rsid w:val="254ED1F2"/>
    <w:rsid w:val="256B8258"/>
    <w:rsid w:val="264628C2"/>
    <w:rsid w:val="265F127A"/>
    <w:rsid w:val="26AADCCB"/>
    <w:rsid w:val="2701913D"/>
    <w:rsid w:val="274A65C4"/>
    <w:rsid w:val="277CC152"/>
    <w:rsid w:val="285980B5"/>
    <w:rsid w:val="28D8A153"/>
    <w:rsid w:val="297366D4"/>
    <w:rsid w:val="29747641"/>
    <w:rsid w:val="2A9985F7"/>
    <w:rsid w:val="2B0AFA4E"/>
    <w:rsid w:val="2B47724C"/>
    <w:rsid w:val="2B8DE905"/>
    <w:rsid w:val="2C6B02C0"/>
    <w:rsid w:val="2D7BE368"/>
    <w:rsid w:val="2DC7C733"/>
    <w:rsid w:val="2F00250C"/>
    <w:rsid w:val="2F4C678B"/>
    <w:rsid w:val="2FBA639D"/>
    <w:rsid w:val="31311702"/>
    <w:rsid w:val="3150220E"/>
    <w:rsid w:val="31C8DEC9"/>
    <w:rsid w:val="32267BAF"/>
    <w:rsid w:val="32ADF821"/>
    <w:rsid w:val="32B827C7"/>
    <w:rsid w:val="33D150C7"/>
    <w:rsid w:val="34B5338E"/>
    <w:rsid w:val="34EEEC7D"/>
    <w:rsid w:val="35E12DF3"/>
    <w:rsid w:val="35F587FE"/>
    <w:rsid w:val="36B3C2D4"/>
    <w:rsid w:val="38027AF4"/>
    <w:rsid w:val="38367C43"/>
    <w:rsid w:val="39A63EDC"/>
    <w:rsid w:val="39BDCFB5"/>
    <w:rsid w:val="3A03DBC2"/>
    <w:rsid w:val="3A079C53"/>
    <w:rsid w:val="3AA65B75"/>
    <w:rsid w:val="3B22FFF3"/>
    <w:rsid w:val="3B4347B0"/>
    <w:rsid w:val="3B5230C4"/>
    <w:rsid w:val="3B9C7C48"/>
    <w:rsid w:val="3CBED054"/>
    <w:rsid w:val="3E694BD6"/>
    <w:rsid w:val="3EE1FDE2"/>
    <w:rsid w:val="3FC0BCC0"/>
    <w:rsid w:val="4043DCEA"/>
    <w:rsid w:val="40887CFA"/>
    <w:rsid w:val="4108BC05"/>
    <w:rsid w:val="42760400"/>
    <w:rsid w:val="430F27FF"/>
    <w:rsid w:val="44646BDF"/>
    <w:rsid w:val="44B0DD01"/>
    <w:rsid w:val="458F7DC2"/>
    <w:rsid w:val="463A9B37"/>
    <w:rsid w:val="464771DE"/>
    <w:rsid w:val="4698381D"/>
    <w:rsid w:val="479DE50C"/>
    <w:rsid w:val="4801D819"/>
    <w:rsid w:val="48057E0F"/>
    <w:rsid w:val="48B6107B"/>
    <w:rsid w:val="496E4BE7"/>
    <w:rsid w:val="4B3627DE"/>
    <w:rsid w:val="4B71E2E8"/>
    <w:rsid w:val="4BE17723"/>
    <w:rsid w:val="4C495D16"/>
    <w:rsid w:val="4D99E26F"/>
    <w:rsid w:val="4E5C8F6D"/>
    <w:rsid w:val="4EB14DA1"/>
    <w:rsid w:val="4F4AE17F"/>
    <w:rsid w:val="4FD353BA"/>
    <w:rsid w:val="4FFCE175"/>
    <w:rsid w:val="504CD00F"/>
    <w:rsid w:val="50A27079"/>
    <w:rsid w:val="518F358D"/>
    <w:rsid w:val="51A33742"/>
    <w:rsid w:val="51EA0BF1"/>
    <w:rsid w:val="52D54026"/>
    <w:rsid w:val="53E4990E"/>
    <w:rsid w:val="544E43A2"/>
    <w:rsid w:val="5461CDEE"/>
    <w:rsid w:val="54B9C81B"/>
    <w:rsid w:val="56595FBB"/>
    <w:rsid w:val="56C78BC7"/>
    <w:rsid w:val="58222E41"/>
    <w:rsid w:val="5943EA32"/>
    <w:rsid w:val="5A53CC43"/>
    <w:rsid w:val="5A62DB75"/>
    <w:rsid w:val="5C372B7D"/>
    <w:rsid w:val="5D1BE6FA"/>
    <w:rsid w:val="5D8E37C0"/>
    <w:rsid w:val="5DAD2199"/>
    <w:rsid w:val="5F80E67B"/>
    <w:rsid w:val="60A94C89"/>
    <w:rsid w:val="60D66BD0"/>
    <w:rsid w:val="60F15C01"/>
    <w:rsid w:val="619843F3"/>
    <w:rsid w:val="62420203"/>
    <w:rsid w:val="62AEF1FF"/>
    <w:rsid w:val="630C9AC2"/>
    <w:rsid w:val="6570A599"/>
    <w:rsid w:val="6617092D"/>
    <w:rsid w:val="66613E06"/>
    <w:rsid w:val="6702F9B1"/>
    <w:rsid w:val="67735BAA"/>
    <w:rsid w:val="67BC14A3"/>
    <w:rsid w:val="67BF6504"/>
    <w:rsid w:val="67FBE844"/>
    <w:rsid w:val="684AFB81"/>
    <w:rsid w:val="68965D36"/>
    <w:rsid w:val="689A0721"/>
    <w:rsid w:val="69226BE4"/>
    <w:rsid w:val="69804DE3"/>
    <w:rsid w:val="6981E778"/>
    <w:rsid w:val="699F94A2"/>
    <w:rsid w:val="6A09A287"/>
    <w:rsid w:val="6A8C5B47"/>
    <w:rsid w:val="6B2B0F1B"/>
    <w:rsid w:val="6B44603A"/>
    <w:rsid w:val="6BAD9106"/>
    <w:rsid w:val="6BF4E80F"/>
    <w:rsid w:val="6C39C1F0"/>
    <w:rsid w:val="6D090AB9"/>
    <w:rsid w:val="6D1B06B0"/>
    <w:rsid w:val="6F959631"/>
    <w:rsid w:val="6FA846C6"/>
    <w:rsid w:val="700E2B8E"/>
    <w:rsid w:val="7054586B"/>
    <w:rsid w:val="706E1A11"/>
    <w:rsid w:val="70805542"/>
    <w:rsid w:val="70EB71B6"/>
    <w:rsid w:val="71BDE4F5"/>
    <w:rsid w:val="71CADCE8"/>
    <w:rsid w:val="72E3A2B5"/>
    <w:rsid w:val="73808710"/>
    <w:rsid w:val="740AFE49"/>
    <w:rsid w:val="74B80011"/>
    <w:rsid w:val="755D2D70"/>
    <w:rsid w:val="7578BCFA"/>
    <w:rsid w:val="75B1BD19"/>
    <w:rsid w:val="76856151"/>
    <w:rsid w:val="77704EC7"/>
    <w:rsid w:val="77AD8B01"/>
    <w:rsid w:val="7A0CF95A"/>
    <w:rsid w:val="7A5EAE00"/>
    <w:rsid w:val="7AB816CF"/>
    <w:rsid w:val="7BF74117"/>
    <w:rsid w:val="7DA1ECF6"/>
    <w:rsid w:val="7DC6344E"/>
    <w:rsid w:val="7E4179F2"/>
    <w:rsid w:val="7E6CCFC4"/>
    <w:rsid w:val="7E891384"/>
    <w:rsid w:val="7E9DF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555A"/>
  <w15:chartTrackingRefBased/>
  <w15:docId w15:val="{53B44EEE-D94E-4216-B980-F896E55A7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6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7D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3A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64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6643"/>
    <w:pPr>
      <w:spacing w:before="480" w:line="276" w:lineRule="auto"/>
      <w:outlineLvl w:val="9"/>
    </w:pPr>
    <w:rPr>
      <w:b/>
      <w:bCs/>
      <w:sz w:val="28"/>
      <w:szCs w:val="28"/>
    </w:rPr>
  </w:style>
  <w:style w:type="paragraph" w:styleId="TOC1">
    <w:name w:val="toc 1"/>
    <w:basedOn w:val="Normal"/>
    <w:next w:val="Normal"/>
    <w:autoRedefine/>
    <w:uiPriority w:val="39"/>
    <w:unhideWhenUsed/>
    <w:rsid w:val="000F6643"/>
    <w:pPr>
      <w:spacing w:before="120" w:after="0" w:line="240" w:lineRule="auto"/>
    </w:pPr>
    <w:rPr>
      <w:rFonts w:eastAsiaTheme="minorEastAsia" w:cstheme="minorHAnsi"/>
      <w:b/>
      <w:bCs/>
      <w:i/>
      <w:iCs/>
      <w:sz w:val="24"/>
      <w:szCs w:val="24"/>
      <w:lang w:val="en-GB" w:eastAsia="zh-CN"/>
    </w:rPr>
  </w:style>
  <w:style w:type="paragraph" w:styleId="TOC2">
    <w:name w:val="toc 2"/>
    <w:basedOn w:val="Normal"/>
    <w:next w:val="Normal"/>
    <w:autoRedefine/>
    <w:uiPriority w:val="39"/>
    <w:unhideWhenUsed/>
    <w:rsid w:val="000F6643"/>
    <w:pPr>
      <w:spacing w:before="120" w:after="0" w:line="240" w:lineRule="auto"/>
      <w:ind w:left="240"/>
    </w:pPr>
    <w:rPr>
      <w:rFonts w:eastAsiaTheme="minorEastAsia" w:cstheme="minorHAnsi"/>
      <w:b/>
      <w:bCs/>
      <w:lang w:val="en-GB" w:eastAsia="zh-CN"/>
    </w:rPr>
  </w:style>
  <w:style w:type="paragraph" w:styleId="TOC3">
    <w:name w:val="toc 3"/>
    <w:basedOn w:val="Normal"/>
    <w:next w:val="Normal"/>
    <w:autoRedefine/>
    <w:uiPriority w:val="39"/>
    <w:unhideWhenUsed/>
    <w:rsid w:val="000F6643"/>
    <w:pPr>
      <w:spacing w:after="0" w:line="240" w:lineRule="auto"/>
      <w:ind w:left="480"/>
    </w:pPr>
    <w:rPr>
      <w:rFonts w:eastAsiaTheme="minorEastAsia" w:cstheme="minorHAnsi"/>
      <w:sz w:val="20"/>
      <w:szCs w:val="20"/>
      <w:lang w:val="en-GB" w:eastAsia="zh-CN"/>
    </w:rPr>
  </w:style>
  <w:style w:type="character" w:styleId="Hyperlink">
    <w:name w:val="Hyperlink"/>
    <w:basedOn w:val="DefaultParagraphFont"/>
    <w:uiPriority w:val="99"/>
    <w:unhideWhenUsed/>
    <w:rsid w:val="000F6643"/>
    <w:rPr>
      <w:color w:val="0563C1" w:themeColor="hyperlink"/>
      <w:u w:val="single"/>
    </w:rPr>
  </w:style>
  <w:style w:type="paragraph" w:styleId="ListParagraph">
    <w:name w:val="List Paragraph"/>
    <w:basedOn w:val="Normal"/>
    <w:uiPriority w:val="34"/>
    <w:qFormat/>
    <w:rsid w:val="008D45D1"/>
    <w:pPr>
      <w:ind w:left="720"/>
      <w:contextualSpacing/>
    </w:pPr>
  </w:style>
  <w:style w:type="character" w:customStyle="1" w:styleId="normaltextrun">
    <w:name w:val="normaltextrun"/>
    <w:basedOn w:val="DefaultParagraphFont"/>
    <w:rsid w:val="006A65F0"/>
  </w:style>
  <w:style w:type="character" w:customStyle="1" w:styleId="Heading3Char">
    <w:name w:val="Heading 3 Char"/>
    <w:basedOn w:val="DefaultParagraphFont"/>
    <w:link w:val="Heading3"/>
    <w:uiPriority w:val="9"/>
    <w:rsid w:val="00223A95"/>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511D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025144"/>
    <w:pPr>
      <w:spacing w:after="200" w:line="240" w:lineRule="auto"/>
    </w:pPr>
    <w:rPr>
      <w:i/>
      <w:iCs/>
      <w:color w:val="44546A" w:themeColor="text2"/>
      <w:sz w:val="18"/>
      <w:szCs w:val="18"/>
    </w:rPr>
  </w:style>
  <w:style w:type="paragraph" w:customStyle="1" w:styleId="paragraph">
    <w:name w:val="paragraph"/>
    <w:basedOn w:val="Normal"/>
    <w:rsid w:val="00A43D5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DefaultParagraphFont"/>
    <w:rsid w:val="00A43D5E"/>
  </w:style>
  <w:style w:type="character" w:customStyle="1" w:styleId="scxw91011623">
    <w:name w:val="scxw91011623"/>
    <w:basedOn w:val="DefaultParagraphFont"/>
    <w:rsid w:val="00A43D5E"/>
  </w:style>
  <w:style w:type="paragraph" w:styleId="NormalWeb">
    <w:name w:val="Normal (Web)"/>
    <w:basedOn w:val="Normal"/>
    <w:uiPriority w:val="99"/>
    <w:unhideWhenUsed/>
    <w:rsid w:val="008C73B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8C73B8"/>
    <w:rPr>
      <w:i/>
      <w:iCs/>
    </w:rPr>
  </w:style>
  <w:style w:type="character" w:styleId="UnresolvedMention">
    <w:name w:val="Unresolved Mention"/>
    <w:basedOn w:val="DefaultParagraphFont"/>
    <w:uiPriority w:val="99"/>
    <w:semiHidden/>
    <w:unhideWhenUsed/>
    <w:rsid w:val="008C73B8"/>
    <w:rPr>
      <w:color w:val="605E5C"/>
      <w:shd w:val="clear" w:color="auto" w:fill="E1DFDD"/>
    </w:rPr>
  </w:style>
  <w:style w:type="character" w:styleId="FollowedHyperlink">
    <w:name w:val="FollowedHyperlink"/>
    <w:basedOn w:val="DefaultParagraphFont"/>
    <w:uiPriority w:val="99"/>
    <w:semiHidden/>
    <w:unhideWhenUsed/>
    <w:rsid w:val="008C73B8"/>
    <w:rPr>
      <w:color w:val="954F72" w:themeColor="followedHyperlink"/>
      <w:u w:val="single"/>
    </w:rPr>
  </w:style>
  <w:style w:type="character" w:customStyle="1" w:styleId="Heading2Char">
    <w:name w:val="Heading 2 Char"/>
    <w:basedOn w:val="DefaultParagraphFont"/>
    <w:link w:val="Heading2"/>
    <w:uiPriority w:val="9"/>
    <w:rsid w:val="00287DD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27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F7"/>
  </w:style>
  <w:style w:type="paragraph" w:styleId="Footer">
    <w:name w:val="footer"/>
    <w:basedOn w:val="Normal"/>
    <w:link w:val="FooterChar"/>
    <w:uiPriority w:val="99"/>
    <w:unhideWhenUsed/>
    <w:rsid w:val="00127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F7"/>
  </w:style>
  <w:style w:type="paragraph" w:styleId="TableofFigures">
    <w:name w:val="table of figures"/>
    <w:basedOn w:val="Normal"/>
    <w:next w:val="Normal"/>
    <w:uiPriority w:val="99"/>
    <w:unhideWhenUsed/>
    <w:rsid w:val="00C6617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9190">
      <w:bodyDiv w:val="1"/>
      <w:marLeft w:val="0"/>
      <w:marRight w:val="0"/>
      <w:marTop w:val="0"/>
      <w:marBottom w:val="0"/>
      <w:divBdr>
        <w:top w:val="none" w:sz="0" w:space="0" w:color="auto"/>
        <w:left w:val="none" w:sz="0" w:space="0" w:color="auto"/>
        <w:bottom w:val="none" w:sz="0" w:space="0" w:color="auto"/>
        <w:right w:val="none" w:sz="0" w:space="0" w:color="auto"/>
      </w:divBdr>
      <w:divsChild>
        <w:div w:id="41682193">
          <w:marLeft w:val="0"/>
          <w:marRight w:val="0"/>
          <w:marTop w:val="0"/>
          <w:marBottom w:val="0"/>
          <w:divBdr>
            <w:top w:val="none" w:sz="0" w:space="0" w:color="auto"/>
            <w:left w:val="none" w:sz="0" w:space="0" w:color="auto"/>
            <w:bottom w:val="none" w:sz="0" w:space="0" w:color="auto"/>
            <w:right w:val="none" w:sz="0" w:space="0" w:color="auto"/>
          </w:divBdr>
        </w:div>
        <w:div w:id="1922710471">
          <w:marLeft w:val="0"/>
          <w:marRight w:val="0"/>
          <w:marTop w:val="0"/>
          <w:marBottom w:val="0"/>
          <w:divBdr>
            <w:top w:val="none" w:sz="0" w:space="0" w:color="auto"/>
            <w:left w:val="none" w:sz="0" w:space="0" w:color="auto"/>
            <w:bottom w:val="none" w:sz="0" w:space="0" w:color="auto"/>
            <w:right w:val="none" w:sz="0" w:space="0" w:color="auto"/>
          </w:divBdr>
        </w:div>
        <w:div w:id="1715621757">
          <w:marLeft w:val="0"/>
          <w:marRight w:val="0"/>
          <w:marTop w:val="0"/>
          <w:marBottom w:val="0"/>
          <w:divBdr>
            <w:top w:val="none" w:sz="0" w:space="0" w:color="auto"/>
            <w:left w:val="none" w:sz="0" w:space="0" w:color="auto"/>
            <w:bottom w:val="none" w:sz="0" w:space="0" w:color="auto"/>
            <w:right w:val="none" w:sz="0" w:space="0" w:color="auto"/>
          </w:divBdr>
        </w:div>
        <w:div w:id="188691483">
          <w:marLeft w:val="0"/>
          <w:marRight w:val="0"/>
          <w:marTop w:val="0"/>
          <w:marBottom w:val="0"/>
          <w:divBdr>
            <w:top w:val="none" w:sz="0" w:space="0" w:color="auto"/>
            <w:left w:val="none" w:sz="0" w:space="0" w:color="auto"/>
            <w:bottom w:val="none" w:sz="0" w:space="0" w:color="auto"/>
            <w:right w:val="none" w:sz="0" w:space="0" w:color="auto"/>
          </w:divBdr>
        </w:div>
      </w:divsChild>
    </w:div>
    <w:div w:id="113060131">
      <w:bodyDiv w:val="1"/>
      <w:marLeft w:val="0"/>
      <w:marRight w:val="0"/>
      <w:marTop w:val="0"/>
      <w:marBottom w:val="0"/>
      <w:divBdr>
        <w:top w:val="none" w:sz="0" w:space="0" w:color="auto"/>
        <w:left w:val="none" w:sz="0" w:space="0" w:color="auto"/>
        <w:bottom w:val="none" w:sz="0" w:space="0" w:color="auto"/>
        <w:right w:val="none" w:sz="0" w:space="0" w:color="auto"/>
      </w:divBdr>
      <w:divsChild>
        <w:div w:id="1985812433">
          <w:marLeft w:val="0"/>
          <w:marRight w:val="0"/>
          <w:marTop w:val="0"/>
          <w:marBottom w:val="0"/>
          <w:divBdr>
            <w:top w:val="single" w:sz="6" w:space="0" w:color="auto"/>
            <w:left w:val="single" w:sz="6" w:space="0" w:color="auto"/>
            <w:bottom w:val="single" w:sz="6" w:space="0" w:color="auto"/>
            <w:right w:val="single" w:sz="6" w:space="0" w:color="auto"/>
          </w:divBdr>
        </w:div>
      </w:divsChild>
    </w:div>
    <w:div w:id="153111730">
      <w:bodyDiv w:val="1"/>
      <w:marLeft w:val="0"/>
      <w:marRight w:val="0"/>
      <w:marTop w:val="0"/>
      <w:marBottom w:val="0"/>
      <w:divBdr>
        <w:top w:val="none" w:sz="0" w:space="0" w:color="auto"/>
        <w:left w:val="none" w:sz="0" w:space="0" w:color="auto"/>
        <w:bottom w:val="none" w:sz="0" w:space="0" w:color="auto"/>
        <w:right w:val="none" w:sz="0" w:space="0" w:color="auto"/>
      </w:divBdr>
      <w:divsChild>
        <w:div w:id="1408455013">
          <w:marLeft w:val="0"/>
          <w:marRight w:val="0"/>
          <w:marTop w:val="0"/>
          <w:marBottom w:val="0"/>
          <w:divBdr>
            <w:top w:val="single" w:sz="6" w:space="0" w:color="auto"/>
            <w:left w:val="single" w:sz="6" w:space="0" w:color="auto"/>
            <w:bottom w:val="single" w:sz="6" w:space="0" w:color="auto"/>
            <w:right w:val="single" w:sz="6" w:space="0" w:color="auto"/>
          </w:divBdr>
        </w:div>
      </w:divsChild>
    </w:div>
    <w:div w:id="201330880">
      <w:bodyDiv w:val="1"/>
      <w:marLeft w:val="0"/>
      <w:marRight w:val="0"/>
      <w:marTop w:val="0"/>
      <w:marBottom w:val="0"/>
      <w:divBdr>
        <w:top w:val="none" w:sz="0" w:space="0" w:color="auto"/>
        <w:left w:val="none" w:sz="0" w:space="0" w:color="auto"/>
        <w:bottom w:val="none" w:sz="0" w:space="0" w:color="auto"/>
        <w:right w:val="none" w:sz="0" w:space="0" w:color="auto"/>
      </w:divBdr>
      <w:divsChild>
        <w:div w:id="994140214">
          <w:marLeft w:val="0"/>
          <w:marRight w:val="0"/>
          <w:marTop w:val="0"/>
          <w:marBottom w:val="0"/>
          <w:divBdr>
            <w:top w:val="single" w:sz="6" w:space="0" w:color="auto"/>
            <w:left w:val="single" w:sz="6" w:space="0" w:color="auto"/>
            <w:bottom w:val="single" w:sz="6" w:space="0" w:color="auto"/>
            <w:right w:val="single" w:sz="6" w:space="0" w:color="auto"/>
          </w:divBdr>
        </w:div>
      </w:divsChild>
    </w:div>
    <w:div w:id="226916170">
      <w:bodyDiv w:val="1"/>
      <w:marLeft w:val="0"/>
      <w:marRight w:val="0"/>
      <w:marTop w:val="0"/>
      <w:marBottom w:val="0"/>
      <w:divBdr>
        <w:top w:val="none" w:sz="0" w:space="0" w:color="auto"/>
        <w:left w:val="none" w:sz="0" w:space="0" w:color="auto"/>
        <w:bottom w:val="none" w:sz="0" w:space="0" w:color="auto"/>
        <w:right w:val="none" w:sz="0" w:space="0" w:color="auto"/>
      </w:divBdr>
      <w:divsChild>
        <w:div w:id="2103337154">
          <w:marLeft w:val="0"/>
          <w:marRight w:val="0"/>
          <w:marTop w:val="0"/>
          <w:marBottom w:val="0"/>
          <w:divBdr>
            <w:top w:val="single" w:sz="6" w:space="0" w:color="auto"/>
            <w:left w:val="single" w:sz="6" w:space="0" w:color="auto"/>
            <w:bottom w:val="single" w:sz="6" w:space="0" w:color="auto"/>
            <w:right w:val="single" w:sz="6" w:space="0" w:color="auto"/>
          </w:divBdr>
        </w:div>
      </w:divsChild>
    </w:div>
    <w:div w:id="248005125">
      <w:bodyDiv w:val="1"/>
      <w:marLeft w:val="0"/>
      <w:marRight w:val="0"/>
      <w:marTop w:val="0"/>
      <w:marBottom w:val="0"/>
      <w:divBdr>
        <w:top w:val="none" w:sz="0" w:space="0" w:color="auto"/>
        <w:left w:val="none" w:sz="0" w:space="0" w:color="auto"/>
        <w:bottom w:val="none" w:sz="0" w:space="0" w:color="auto"/>
        <w:right w:val="none" w:sz="0" w:space="0" w:color="auto"/>
      </w:divBdr>
      <w:divsChild>
        <w:div w:id="1116172249">
          <w:marLeft w:val="0"/>
          <w:marRight w:val="0"/>
          <w:marTop w:val="0"/>
          <w:marBottom w:val="0"/>
          <w:divBdr>
            <w:top w:val="single" w:sz="6" w:space="0" w:color="auto"/>
            <w:left w:val="single" w:sz="6" w:space="0" w:color="auto"/>
            <w:bottom w:val="single" w:sz="6" w:space="0" w:color="auto"/>
            <w:right w:val="single" w:sz="6" w:space="0" w:color="auto"/>
          </w:divBdr>
        </w:div>
      </w:divsChild>
    </w:div>
    <w:div w:id="249432674">
      <w:bodyDiv w:val="1"/>
      <w:marLeft w:val="0"/>
      <w:marRight w:val="0"/>
      <w:marTop w:val="0"/>
      <w:marBottom w:val="0"/>
      <w:divBdr>
        <w:top w:val="none" w:sz="0" w:space="0" w:color="auto"/>
        <w:left w:val="none" w:sz="0" w:space="0" w:color="auto"/>
        <w:bottom w:val="none" w:sz="0" w:space="0" w:color="auto"/>
        <w:right w:val="none" w:sz="0" w:space="0" w:color="auto"/>
      </w:divBdr>
      <w:divsChild>
        <w:div w:id="254553678">
          <w:marLeft w:val="-720"/>
          <w:marRight w:val="0"/>
          <w:marTop w:val="0"/>
          <w:marBottom w:val="0"/>
          <w:divBdr>
            <w:top w:val="none" w:sz="0" w:space="0" w:color="auto"/>
            <w:left w:val="none" w:sz="0" w:space="0" w:color="auto"/>
            <w:bottom w:val="none" w:sz="0" w:space="0" w:color="auto"/>
            <w:right w:val="none" w:sz="0" w:space="0" w:color="auto"/>
          </w:divBdr>
        </w:div>
      </w:divsChild>
    </w:div>
    <w:div w:id="252591087">
      <w:bodyDiv w:val="1"/>
      <w:marLeft w:val="0"/>
      <w:marRight w:val="0"/>
      <w:marTop w:val="0"/>
      <w:marBottom w:val="0"/>
      <w:divBdr>
        <w:top w:val="none" w:sz="0" w:space="0" w:color="auto"/>
        <w:left w:val="none" w:sz="0" w:space="0" w:color="auto"/>
        <w:bottom w:val="none" w:sz="0" w:space="0" w:color="auto"/>
        <w:right w:val="none" w:sz="0" w:space="0" w:color="auto"/>
      </w:divBdr>
      <w:divsChild>
        <w:div w:id="431096161">
          <w:marLeft w:val="0"/>
          <w:marRight w:val="0"/>
          <w:marTop w:val="0"/>
          <w:marBottom w:val="0"/>
          <w:divBdr>
            <w:top w:val="single" w:sz="6" w:space="0" w:color="auto"/>
            <w:left w:val="single" w:sz="6" w:space="0" w:color="auto"/>
            <w:bottom w:val="single" w:sz="6" w:space="0" w:color="auto"/>
            <w:right w:val="single" w:sz="6" w:space="0" w:color="auto"/>
          </w:divBdr>
        </w:div>
      </w:divsChild>
    </w:div>
    <w:div w:id="301616677">
      <w:bodyDiv w:val="1"/>
      <w:marLeft w:val="0"/>
      <w:marRight w:val="0"/>
      <w:marTop w:val="0"/>
      <w:marBottom w:val="0"/>
      <w:divBdr>
        <w:top w:val="none" w:sz="0" w:space="0" w:color="auto"/>
        <w:left w:val="none" w:sz="0" w:space="0" w:color="auto"/>
        <w:bottom w:val="none" w:sz="0" w:space="0" w:color="auto"/>
        <w:right w:val="none" w:sz="0" w:space="0" w:color="auto"/>
      </w:divBdr>
    </w:div>
    <w:div w:id="318730601">
      <w:bodyDiv w:val="1"/>
      <w:marLeft w:val="0"/>
      <w:marRight w:val="0"/>
      <w:marTop w:val="0"/>
      <w:marBottom w:val="0"/>
      <w:divBdr>
        <w:top w:val="none" w:sz="0" w:space="0" w:color="auto"/>
        <w:left w:val="none" w:sz="0" w:space="0" w:color="auto"/>
        <w:bottom w:val="none" w:sz="0" w:space="0" w:color="auto"/>
        <w:right w:val="none" w:sz="0" w:space="0" w:color="auto"/>
      </w:divBdr>
      <w:divsChild>
        <w:div w:id="473447799">
          <w:marLeft w:val="-720"/>
          <w:marRight w:val="0"/>
          <w:marTop w:val="0"/>
          <w:marBottom w:val="0"/>
          <w:divBdr>
            <w:top w:val="none" w:sz="0" w:space="0" w:color="auto"/>
            <w:left w:val="none" w:sz="0" w:space="0" w:color="auto"/>
            <w:bottom w:val="none" w:sz="0" w:space="0" w:color="auto"/>
            <w:right w:val="none" w:sz="0" w:space="0" w:color="auto"/>
          </w:divBdr>
        </w:div>
      </w:divsChild>
    </w:div>
    <w:div w:id="364796283">
      <w:bodyDiv w:val="1"/>
      <w:marLeft w:val="0"/>
      <w:marRight w:val="0"/>
      <w:marTop w:val="0"/>
      <w:marBottom w:val="0"/>
      <w:divBdr>
        <w:top w:val="none" w:sz="0" w:space="0" w:color="auto"/>
        <w:left w:val="none" w:sz="0" w:space="0" w:color="auto"/>
        <w:bottom w:val="none" w:sz="0" w:space="0" w:color="auto"/>
        <w:right w:val="none" w:sz="0" w:space="0" w:color="auto"/>
      </w:divBdr>
      <w:divsChild>
        <w:div w:id="144322357">
          <w:marLeft w:val="-720"/>
          <w:marRight w:val="0"/>
          <w:marTop w:val="0"/>
          <w:marBottom w:val="0"/>
          <w:divBdr>
            <w:top w:val="none" w:sz="0" w:space="0" w:color="auto"/>
            <w:left w:val="none" w:sz="0" w:space="0" w:color="auto"/>
            <w:bottom w:val="none" w:sz="0" w:space="0" w:color="auto"/>
            <w:right w:val="none" w:sz="0" w:space="0" w:color="auto"/>
          </w:divBdr>
        </w:div>
      </w:divsChild>
    </w:div>
    <w:div w:id="415399164">
      <w:bodyDiv w:val="1"/>
      <w:marLeft w:val="0"/>
      <w:marRight w:val="0"/>
      <w:marTop w:val="0"/>
      <w:marBottom w:val="0"/>
      <w:divBdr>
        <w:top w:val="none" w:sz="0" w:space="0" w:color="auto"/>
        <w:left w:val="none" w:sz="0" w:space="0" w:color="auto"/>
        <w:bottom w:val="none" w:sz="0" w:space="0" w:color="auto"/>
        <w:right w:val="none" w:sz="0" w:space="0" w:color="auto"/>
      </w:divBdr>
    </w:div>
    <w:div w:id="429277619">
      <w:bodyDiv w:val="1"/>
      <w:marLeft w:val="0"/>
      <w:marRight w:val="0"/>
      <w:marTop w:val="0"/>
      <w:marBottom w:val="0"/>
      <w:divBdr>
        <w:top w:val="none" w:sz="0" w:space="0" w:color="auto"/>
        <w:left w:val="none" w:sz="0" w:space="0" w:color="auto"/>
        <w:bottom w:val="none" w:sz="0" w:space="0" w:color="auto"/>
        <w:right w:val="none" w:sz="0" w:space="0" w:color="auto"/>
      </w:divBdr>
      <w:divsChild>
        <w:div w:id="1781952815">
          <w:marLeft w:val="0"/>
          <w:marRight w:val="0"/>
          <w:marTop w:val="0"/>
          <w:marBottom w:val="0"/>
          <w:divBdr>
            <w:top w:val="single" w:sz="6" w:space="0" w:color="auto"/>
            <w:left w:val="single" w:sz="6" w:space="0" w:color="auto"/>
            <w:bottom w:val="single" w:sz="6" w:space="0" w:color="auto"/>
            <w:right w:val="single" w:sz="6" w:space="0" w:color="auto"/>
          </w:divBdr>
        </w:div>
      </w:divsChild>
    </w:div>
    <w:div w:id="486558058">
      <w:bodyDiv w:val="1"/>
      <w:marLeft w:val="0"/>
      <w:marRight w:val="0"/>
      <w:marTop w:val="0"/>
      <w:marBottom w:val="0"/>
      <w:divBdr>
        <w:top w:val="none" w:sz="0" w:space="0" w:color="auto"/>
        <w:left w:val="none" w:sz="0" w:space="0" w:color="auto"/>
        <w:bottom w:val="none" w:sz="0" w:space="0" w:color="auto"/>
        <w:right w:val="none" w:sz="0" w:space="0" w:color="auto"/>
      </w:divBdr>
    </w:div>
    <w:div w:id="486746183">
      <w:bodyDiv w:val="1"/>
      <w:marLeft w:val="0"/>
      <w:marRight w:val="0"/>
      <w:marTop w:val="0"/>
      <w:marBottom w:val="0"/>
      <w:divBdr>
        <w:top w:val="none" w:sz="0" w:space="0" w:color="auto"/>
        <w:left w:val="none" w:sz="0" w:space="0" w:color="auto"/>
        <w:bottom w:val="none" w:sz="0" w:space="0" w:color="auto"/>
        <w:right w:val="none" w:sz="0" w:space="0" w:color="auto"/>
      </w:divBdr>
      <w:divsChild>
        <w:div w:id="635838594">
          <w:marLeft w:val="0"/>
          <w:marRight w:val="0"/>
          <w:marTop w:val="0"/>
          <w:marBottom w:val="0"/>
          <w:divBdr>
            <w:top w:val="single" w:sz="6" w:space="0" w:color="auto"/>
            <w:left w:val="single" w:sz="6" w:space="0" w:color="auto"/>
            <w:bottom w:val="single" w:sz="6" w:space="0" w:color="auto"/>
            <w:right w:val="single" w:sz="6" w:space="0" w:color="auto"/>
          </w:divBdr>
        </w:div>
      </w:divsChild>
    </w:div>
    <w:div w:id="522746911">
      <w:bodyDiv w:val="1"/>
      <w:marLeft w:val="0"/>
      <w:marRight w:val="0"/>
      <w:marTop w:val="0"/>
      <w:marBottom w:val="0"/>
      <w:divBdr>
        <w:top w:val="none" w:sz="0" w:space="0" w:color="auto"/>
        <w:left w:val="none" w:sz="0" w:space="0" w:color="auto"/>
        <w:bottom w:val="none" w:sz="0" w:space="0" w:color="auto"/>
        <w:right w:val="none" w:sz="0" w:space="0" w:color="auto"/>
      </w:divBdr>
      <w:divsChild>
        <w:div w:id="1525633284">
          <w:marLeft w:val="0"/>
          <w:marRight w:val="0"/>
          <w:marTop w:val="0"/>
          <w:marBottom w:val="0"/>
          <w:divBdr>
            <w:top w:val="single" w:sz="6" w:space="0" w:color="auto"/>
            <w:left w:val="single" w:sz="6" w:space="0" w:color="auto"/>
            <w:bottom w:val="single" w:sz="6" w:space="0" w:color="auto"/>
            <w:right w:val="single" w:sz="6" w:space="0" w:color="auto"/>
          </w:divBdr>
        </w:div>
      </w:divsChild>
    </w:div>
    <w:div w:id="560407116">
      <w:bodyDiv w:val="1"/>
      <w:marLeft w:val="0"/>
      <w:marRight w:val="0"/>
      <w:marTop w:val="0"/>
      <w:marBottom w:val="0"/>
      <w:divBdr>
        <w:top w:val="none" w:sz="0" w:space="0" w:color="auto"/>
        <w:left w:val="none" w:sz="0" w:space="0" w:color="auto"/>
        <w:bottom w:val="none" w:sz="0" w:space="0" w:color="auto"/>
        <w:right w:val="none" w:sz="0" w:space="0" w:color="auto"/>
      </w:divBdr>
      <w:divsChild>
        <w:div w:id="404881439">
          <w:marLeft w:val="-720"/>
          <w:marRight w:val="0"/>
          <w:marTop w:val="0"/>
          <w:marBottom w:val="0"/>
          <w:divBdr>
            <w:top w:val="none" w:sz="0" w:space="0" w:color="auto"/>
            <w:left w:val="none" w:sz="0" w:space="0" w:color="auto"/>
            <w:bottom w:val="none" w:sz="0" w:space="0" w:color="auto"/>
            <w:right w:val="none" w:sz="0" w:space="0" w:color="auto"/>
          </w:divBdr>
        </w:div>
      </w:divsChild>
    </w:div>
    <w:div w:id="577833893">
      <w:bodyDiv w:val="1"/>
      <w:marLeft w:val="0"/>
      <w:marRight w:val="0"/>
      <w:marTop w:val="0"/>
      <w:marBottom w:val="0"/>
      <w:divBdr>
        <w:top w:val="none" w:sz="0" w:space="0" w:color="auto"/>
        <w:left w:val="none" w:sz="0" w:space="0" w:color="auto"/>
        <w:bottom w:val="none" w:sz="0" w:space="0" w:color="auto"/>
        <w:right w:val="none" w:sz="0" w:space="0" w:color="auto"/>
      </w:divBdr>
      <w:divsChild>
        <w:div w:id="479422832">
          <w:marLeft w:val="-720"/>
          <w:marRight w:val="0"/>
          <w:marTop w:val="0"/>
          <w:marBottom w:val="0"/>
          <w:divBdr>
            <w:top w:val="none" w:sz="0" w:space="0" w:color="auto"/>
            <w:left w:val="none" w:sz="0" w:space="0" w:color="auto"/>
            <w:bottom w:val="none" w:sz="0" w:space="0" w:color="auto"/>
            <w:right w:val="none" w:sz="0" w:space="0" w:color="auto"/>
          </w:divBdr>
        </w:div>
      </w:divsChild>
    </w:div>
    <w:div w:id="589119261">
      <w:bodyDiv w:val="1"/>
      <w:marLeft w:val="0"/>
      <w:marRight w:val="0"/>
      <w:marTop w:val="0"/>
      <w:marBottom w:val="0"/>
      <w:divBdr>
        <w:top w:val="none" w:sz="0" w:space="0" w:color="auto"/>
        <w:left w:val="none" w:sz="0" w:space="0" w:color="auto"/>
        <w:bottom w:val="none" w:sz="0" w:space="0" w:color="auto"/>
        <w:right w:val="none" w:sz="0" w:space="0" w:color="auto"/>
      </w:divBdr>
      <w:divsChild>
        <w:div w:id="1674645539">
          <w:marLeft w:val="-720"/>
          <w:marRight w:val="0"/>
          <w:marTop w:val="0"/>
          <w:marBottom w:val="0"/>
          <w:divBdr>
            <w:top w:val="none" w:sz="0" w:space="0" w:color="auto"/>
            <w:left w:val="none" w:sz="0" w:space="0" w:color="auto"/>
            <w:bottom w:val="none" w:sz="0" w:space="0" w:color="auto"/>
            <w:right w:val="none" w:sz="0" w:space="0" w:color="auto"/>
          </w:divBdr>
        </w:div>
      </w:divsChild>
    </w:div>
    <w:div w:id="604771008">
      <w:bodyDiv w:val="1"/>
      <w:marLeft w:val="0"/>
      <w:marRight w:val="0"/>
      <w:marTop w:val="0"/>
      <w:marBottom w:val="0"/>
      <w:divBdr>
        <w:top w:val="none" w:sz="0" w:space="0" w:color="auto"/>
        <w:left w:val="none" w:sz="0" w:space="0" w:color="auto"/>
        <w:bottom w:val="none" w:sz="0" w:space="0" w:color="auto"/>
        <w:right w:val="none" w:sz="0" w:space="0" w:color="auto"/>
      </w:divBdr>
      <w:divsChild>
        <w:div w:id="1441804829">
          <w:marLeft w:val="0"/>
          <w:marRight w:val="0"/>
          <w:marTop w:val="0"/>
          <w:marBottom w:val="0"/>
          <w:divBdr>
            <w:top w:val="single" w:sz="6" w:space="0" w:color="auto"/>
            <w:left w:val="single" w:sz="6" w:space="0" w:color="auto"/>
            <w:bottom w:val="single" w:sz="6" w:space="0" w:color="auto"/>
            <w:right w:val="single" w:sz="6" w:space="0" w:color="auto"/>
          </w:divBdr>
        </w:div>
      </w:divsChild>
    </w:div>
    <w:div w:id="612714328">
      <w:bodyDiv w:val="1"/>
      <w:marLeft w:val="0"/>
      <w:marRight w:val="0"/>
      <w:marTop w:val="0"/>
      <w:marBottom w:val="0"/>
      <w:divBdr>
        <w:top w:val="none" w:sz="0" w:space="0" w:color="auto"/>
        <w:left w:val="none" w:sz="0" w:space="0" w:color="auto"/>
        <w:bottom w:val="none" w:sz="0" w:space="0" w:color="auto"/>
        <w:right w:val="none" w:sz="0" w:space="0" w:color="auto"/>
      </w:divBdr>
      <w:divsChild>
        <w:div w:id="172037766">
          <w:marLeft w:val="0"/>
          <w:marRight w:val="0"/>
          <w:marTop w:val="0"/>
          <w:marBottom w:val="0"/>
          <w:divBdr>
            <w:top w:val="single" w:sz="6" w:space="0" w:color="auto"/>
            <w:left w:val="single" w:sz="6" w:space="0" w:color="auto"/>
            <w:bottom w:val="single" w:sz="6" w:space="0" w:color="auto"/>
            <w:right w:val="single" w:sz="6" w:space="0" w:color="auto"/>
          </w:divBdr>
        </w:div>
      </w:divsChild>
    </w:div>
    <w:div w:id="626011792">
      <w:bodyDiv w:val="1"/>
      <w:marLeft w:val="0"/>
      <w:marRight w:val="0"/>
      <w:marTop w:val="0"/>
      <w:marBottom w:val="0"/>
      <w:divBdr>
        <w:top w:val="none" w:sz="0" w:space="0" w:color="auto"/>
        <w:left w:val="none" w:sz="0" w:space="0" w:color="auto"/>
        <w:bottom w:val="none" w:sz="0" w:space="0" w:color="auto"/>
        <w:right w:val="none" w:sz="0" w:space="0" w:color="auto"/>
      </w:divBdr>
      <w:divsChild>
        <w:div w:id="741297535">
          <w:marLeft w:val="-720"/>
          <w:marRight w:val="0"/>
          <w:marTop w:val="0"/>
          <w:marBottom w:val="0"/>
          <w:divBdr>
            <w:top w:val="none" w:sz="0" w:space="0" w:color="auto"/>
            <w:left w:val="none" w:sz="0" w:space="0" w:color="auto"/>
            <w:bottom w:val="none" w:sz="0" w:space="0" w:color="auto"/>
            <w:right w:val="none" w:sz="0" w:space="0" w:color="auto"/>
          </w:divBdr>
        </w:div>
      </w:divsChild>
    </w:div>
    <w:div w:id="632953287">
      <w:bodyDiv w:val="1"/>
      <w:marLeft w:val="0"/>
      <w:marRight w:val="0"/>
      <w:marTop w:val="0"/>
      <w:marBottom w:val="0"/>
      <w:divBdr>
        <w:top w:val="none" w:sz="0" w:space="0" w:color="auto"/>
        <w:left w:val="none" w:sz="0" w:space="0" w:color="auto"/>
        <w:bottom w:val="none" w:sz="0" w:space="0" w:color="auto"/>
        <w:right w:val="none" w:sz="0" w:space="0" w:color="auto"/>
      </w:divBdr>
      <w:divsChild>
        <w:div w:id="1697930096">
          <w:marLeft w:val="0"/>
          <w:marRight w:val="0"/>
          <w:marTop w:val="0"/>
          <w:marBottom w:val="0"/>
          <w:divBdr>
            <w:top w:val="single" w:sz="6" w:space="0" w:color="auto"/>
            <w:left w:val="single" w:sz="6" w:space="0" w:color="auto"/>
            <w:bottom w:val="single" w:sz="6" w:space="0" w:color="auto"/>
            <w:right w:val="single" w:sz="6" w:space="0" w:color="auto"/>
          </w:divBdr>
        </w:div>
      </w:divsChild>
    </w:div>
    <w:div w:id="639501700">
      <w:bodyDiv w:val="1"/>
      <w:marLeft w:val="0"/>
      <w:marRight w:val="0"/>
      <w:marTop w:val="0"/>
      <w:marBottom w:val="0"/>
      <w:divBdr>
        <w:top w:val="none" w:sz="0" w:space="0" w:color="auto"/>
        <w:left w:val="none" w:sz="0" w:space="0" w:color="auto"/>
        <w:bottom w:val="none" w:sz="0" w:space="0" w:color="auto"/>
        <w:right w:val="none" w:sz="0" w:space="0" w:color="auto"/>
      </w:divBdr>
      <w:divsChild>
        <w:div w:id="790825695">
          <w:marLeft w:val="0"/>
          <w:marRight w:val="0"/>
          <w:marTop w:val="0"/>
          <w:marBottom w:val="0"/>
          <w:divBdr>
            <w:top w:val="single" w:sz="6" w:space="0" w:color="auto"/>
            <w:left w:val="single" w:sz="6" w:space="0" w:color="auto"/>
            <w:bottom w:val="single" w:sz="6" w:space="0" w:color="auto"/>
            <w:right w:val="single" w:sz="6" w:space="0" w:color="auto"/>
          </w:divBdr>
        </w:div>
      </w:divsChild>
    </w:div>
    <w:div w:id="644243495">
      <w:bodyDiv w:val="1"/>
      <w:marLeft w:val="0"/>
      <w:marRight w:val="0"/>
      <w:marTop w:val="0"/>
      <w:marBottom w:val="0"/>
      <w:divBdr>
        <w:top w:val="none" w:sz="0" w:space="0" w:color="auto"/>
        <w:left w:val="none" w:sz="0" w:space="0" w:color="auto"/>
        <w:bottom w:val="none" w:sz="0" w:space="0" w:color="auto"/>
        <w:right w:val="none" w:sz="0" w:space="0" w:color="auto"/>
      </w:divBdr>
      <w:divsChild>
        <w:div w:id="688720871">
          <w:marLeft w:val="-720"/>
          <w:marRight w:val="0"/>
          <w:marTop w:val="0"/>
          <w:marBottom w:val="0"/>
          <w:divBdr>
            <w:top w:val="none" w:sz="0" w:space="0" w:color="auto"/>
            <w:left w:val="none" w:sz="0" w:space="0" w:color="auto"/>
            <w:bottom w:val="none" w:sz="0" w:space="0" w:color="auto"/>
            <w:right w:val="none" w:sz="0" w:space="0" w:color="auto"/>
          </w:divBdr>
        </w:div>
      </w:divsChild>
    </w:div>
    <w:div w:id="708914985">
      <w:bodyDiv w:val="1"/>
      <w:marLeft w:val="0"/>
      <w:marRight w:val="0"/>
      <w:marTop w:val="0"/>
      <w:marBottom w:val="0"/>
      <w:divBdr>
        <w:top w:val="none" w:sz="0" w:space="0" w:color="auto"/>
        <w:left w:val="none" w:sz="0" w:space="0" w:color="auto"/>
        <w:bottom w:val="none" w:sz="0" w:space="0" w:color="auto"/>
        <w:right w:val="none" w:sz="0" w:space="0" w:color="auto"/>
      </w:divBdr>
      <w:divsChild>
        <w:div w:id="1391462175">
          <w:marLeft w:val="0"/>
          <w:marRight w:val="0"/>
          <w:marTop w:val="0"/>
          <w:marBottom w:val="0"/>
          <w:divBdr>
            <w:top w:val="single" w:sz="6" w:space="0" w:color="auto"/>
            <w:left w:val="single" w:sz="6" w:space="0" w:color="auto"/>
            <w:bottom w:val="single" w:sz="6" w:space="0" w:color="auto"/>
            <w:right w:val="single" w:sz="6" w:space="0" w:color="auto"/>
          </w:divBdr>
        </w:div>
      </w:divsChild>
    </w:div>
    <w:div w:id="723989649">
      <w:bodyDiv w:val="1"/>
      <w:marLeft w:val="0"/>
      <w:marRight w:val="0"/>
      <w:marTop w:val="0"/>
      <w:marBottom w:val="0"/>
      <w:divBdr>
        <w:top w:val="none" w:sz="0" w:space="0" w:color="auto"/>
        <w:left w:val="none" w:sz="0" w:space="0" w:color="auto"/>
        <w:bottom w:val="none" w:sz="0" w:space="0" w:color="auto"/>
        <w:right w:val="none" w:sz="0" w:space="0" w:color="auto"/>
      </w:divBdr>
      <w:divsChild>
        <w:div w:id="109053647">
          <w:marLeft w:val="0"/>
          <w:marRight w:val="0"/>
          <w:marTop w:val="0"/>
          <w:marBottom w:val="0"/>
          <w:divBdr>
            <w:top w:val="single" w:sz="6" w:space="0" w:color="auto"/>
            <w:left w:val="single" w:sz="6" w:space="0" w:color="auto"/>
            <w:bottom w:val="single" w:sz="6" w:space="0" w:color="auto"/>
            <w:right w:val="single" w:sz="6" w:space="0" w:color="auto"/>
          </w:divBdr>
        </w:div>
      </w:divsChild>
    </w:div>
    <w:div w:id="734550841">
      <w:bodyDiv w:val="1"/>
      <w:marLeft w:val="0"/>
      <w:marRight w:val="0"/>
      <w:marTop w:val="0"/>
      <w:marBottom w:val="0"/>
      <w:divBdr>
        <w:top w:val="none" w:sz="0" w:space="0" w:color="auto"/>
        <w:left w:val="none" w:sz="0" w:space="0" w:color="auto"/>
        <w:bottom w:val="none" w:sz="0" w:space="0" w:color="auto"/>
        <w:right w:val="none" w:sz="0" w:space="0" w:color="auto"/>
      </w:divBdr>
      <w:divsChild>
        <w:div w:id="96996155">
          <w:marLeft w:val="0"/>
          <w:marRight w:val="0"/>
          <w:marTop w:val="0"/>
          <w:marBottom w:val="0"/>
          <w:divBdr>
            <w:top w:val="single" w:sz="6" w:space="0" w:color="auto"/>
            <w:left w:val="single" w:sz="6" w:space="0" w:color="auto"/>
            <w:bottom w:val="single" w:sz="6" w:space="0" w:color="auto"/>
            <w:right w:val="single" w:sz="6" w:space="0" w:color="auto"/>
          </w:divBdr>
        </w:div>
      </w:divsChild>
    </w:div>
    <w:div w:id="749733469">
      <w:bodyDiv w:val="1"/>
      <w:marLeft w:val="0"/>
      <w:marRight w:val="0"/>
      <w:marTop w:val="0"/>
      <w:marBottom w:val="0"/>
      <w:divBdr>
        <w:top w:val="none" w:sz="0" w:space="0" w:color="auto"/>
        <w:left w:val="none" w:sz="0" w:space="0" w:color="auto"/>
        <w:bottom w:val="none" w:sz="0" w:space="0" w:color="auto"/>
        <w:right w:val="none" w:sz="0" w:space="0" w:color="auto"/>
      </w:divBdr>
      <w:divsChild>
        <w:div w:id="491530387">
          <w:marLeft w:val="-720"/>
          <w:marRight w:val="0"/>
          <w:marTop w:val="0"/>
          <w:marBottom w:val="0"/>
          <w:divBdr>
            <w:top w:val="none" w:sz="0" w:space="0" w:color="auto"/>
            <w:left w:val="none" w:sz="0" w:space="0" w:color="auto"/>
            <w:bottom w:val="none" w:sz="0" w:space="0" w:color="auto"/>
            <w:right w:val="none" w:sz="0" w:space="0" w:color="auto"/>
          </w:divBdr>
        </w:div>
      </w:divsChild>
    </w:div>
    <w:div w:id="824780626">
      <w:bodyDiv w:val="1"/>
      <w:marLeft w:val="0"/>
      <w:marRight w:val="0"/>
      <w:marTop w:val="0"/>
      <w:marBottom w:val="0"/>
      <w:divBdr>
        <w:top w:val="none" w:sz="0" w:space="0" w:color="auto"/>
        <w:left w:val="none" w:sz="0" w:space="0" w:color="auto"/>
        <w:bottom w:val="none" w:sz="0" w:space="0" w:color="auto"/>
        <w:right w:val="none" w:sz="0" w:space="0" w:color="auto"/>
      </w:divBdr>
      <w:divsChild>
        <w:div w:id="505480165">
          <w:marLeft w:val="0"/>
          <w:marRight w:val="0"/>
          <w:marTop w:val="0"/>
          <w:marBottom w:val="0"/>
          <w:divBdr>
            <w:top w:val="single" w:sz="6" w:space="0" w:color="auto"/>
            <w:left w:val="single" w:sz="6" w:space="0" w:color="auto"/>
            <w:bottom w:val="single" w:sz="6" w:space="0" w:color="auto"/>
            <w:right w:val="single" w:sz="6" w:space="0" w:color="auto"/>
          </w:divBdr>
        </w:div>
      </w:divsChild>
    </w:div>
    <w:div w:id="831799181">
      <w:bodyDiv w:val="1"/>
      <w:marLeft w:val="0"/>
      <w:marRight w:val="0"/>
      <w:marTop w:val="0"/>
      <w:marBottom w:val="0"/>
      <w:divBdr>
        <w:top w:val="none" w:sz="0" w:space="0" w:color="auto"/>
        <w:left w:val="none" w:sz="0" w:space="0" w:color="auto"/>
        <w:bottom w:val="none" w:sz="0" w:space="0" w:color="auto"/>
        <w:right w:val="none" w:sz="0" w:space="0" w:color="auto"/>
      </w:divBdr>
      <w:divsChild>
        <w:div w:id="1544437411">
          <w:marLeft w:val="0"/>
          <w:marRight w:val="0"/>
          <w:marTop w:val="0"/>
          <w:marBottom w:val="0"/>
          <w:divBdr>
            <w:top w:val="single" w:sz="6" w:space="0" w:color="auto"/>
            <w:left w:val="single" w:sz="6" w:space="0" w:color="auto"/>
            <w:bottom w:val="single" w:sz="6" w:space="0" w:color="auto"/>
            <w:right w:val="single" w:sz="6" w:space="0" w:color="auto"/>
          </w:divBdr>
        </w:div>
      </w:divsChild>
    </w:div>
    <w:div w:id="847251820">
      <w:bodyDiv w:val="1"/>
      <w:marLeft w:val="0"/>
      <w:marRight w:val="0"/>
      <w:marTop w:val="0"/>
      <w:marBottom w:val="0"/>
      <w:divBdr>
        <w:top w:val="none" w:sz="0" w:space="0" w:color="auto"/>
        <w:left w:val="none" w:sz="0" w:space="0" w:color="auto"/>
        <w:bottom w:val="none" w:sz="0" w:space="0" w:color="auto"/>
        <w:right w:val="none" w:sz="0" w:space="0" w:color="auto"/>
      </w:divBdr>
      <w:divsChild>
        <w:div w:id="892424262">
          <w:marLeft w:val="0"/>
          <w:marRight w:val="0"/>
          <w:marTop w:val="0"/>
          <w:marBottom w:val="0"/>
          <w:divBdr>
            <w:top w:val="single" w:sz="18" w:space="0" w:color="FAA11E"/>
            <w:left w:val="single" w:sz="18" w:space="0" w:color="FAA11E"/>
            <w:bottom w:val="single" w:sz="18" w:space="0" w:color="FAA11E"/>
            <w:right w:val="single" w:sz="18" w:space="0" w:color="FAA11E"/>
          </w:divBdr>
        </w:div>
      </w:divsChild>
    </w:div>
    <w:div w:id="858197439">
      <w:bodyDiv w:val="1"/>
      <w:marLeft w:val="0"/>
      <w:marRight w:val="0"/>
      <w:marTop w:val="0"/>
      <w:marBottom w:val="0"/>
      <w:divBdr>
        <w:top w:val="none" w:sz="0" w:space="0" w:color="auto"/>
        <w:left w:val="none" w:sz="0" w:space="0" w:color="auto"/>
        <w:bottom w:val="none" w:sz="0" w:space="0" w:color="auto"/>
        <w:right w:val="none" w:sz="0" w:space="0" w:color="auto"/>
      </w:divBdr>
    </w:div>
    <w:div w:id="877857462">
      <w:bodyDiv w:val="1"/>
      <w:marLeft w:val="0"/>
      <w:marRight w:val="0"/>
      <w:marTop w:val="0"/>
      <w:marBottom w:val="0"/>
      <w:divBdr>
        <w:top w:val="none" w:sz="0" w:space="0" w:color="auto"/>
        <w:left w:val="none" w:sz="0" w:space="0" w:color="auto"/>
        <w:bottom w:val="none" w:sz="0" w:space="0" w:color="auto"/>
        <w:right w:val="none" w:sz="0" w:space="0" w:color="auto"/>
      </w:divBdr>
      <w:divsChild>
        <w:div w:id="1806004312">
          <w:marLeft w:val="0"/>
          <w:marRight w:val="0"/>
          <w:marTop w:val="0"/>
          <w:marBottom w:val="0"/>
          <w:divBdr>
            <w:top w:val="single" w:sz="6" w:space="0" w:color="auto"/>
            <w:left w:val="single" w:sz="6" w:space="0" w:color="auto"/>
            <w:bottom w:val="single" w:sz="6" w:space="0" w:color="auto"/>
            <w:right w:val="single" w:sz="6" w:space="0" w:color="auto"/>
          </w:divBdr>
        </w:div>
      </w:divsChild>
    </w:div>
    <w:div w:id="950742839">
      <w:bodyDiv w:val="1"/>
      <w:marLeft w:val="0"/>
      <w:marRight w:val="0"/>
      <w:marTop w:val="0"/>
      <w:marBottom w:val="0"/>
      <w:divBdr>
        <w:top w:val="none" w:sz="0" w:space="0" w:color="auto"/>
        <w:left w:val="none" w:sz="0" w:space="0" w:color="auto"/>
        <w:bottom w:val="none" w:sz="0" w:space="0" w:color="auto"/>
        <w:right w:val="none" w:sz="0" w:space="0" w:color="auto"/>
      </w:divBdr>
    </w:div>
    <w:div w:id="958336606">
      <w:bodyDiv w:val="1"/>
      <w:marLeft w:val="0"/>
      <w:marRight w:val="0"/>
      <w:marTop w:val="0"/>
      <w:marBottom w:val="0"/>
      <w:divBdr>
        <w:top w:val="none" w:sz="0" w:space="0" w:color="auto"/>
        <w:left w:val="none" w:sz="0" w:space="0" w:color="auto"/>
        <w:bottom w:val="none" w:sz="0" w:space="0" w:color="auto"/>
        <w:right w:val="none" w:sz="0" w:space="0" w:color="auto"/>
      </w:divBdr>
      <w:divsChild>
        <w:div w:id="1112895744">
          <w:marLeft w:val="-720"/>
          <w:marRight w:val="0"/>
          <w:marTop w:val="0"/>
          <w:marBottom w:val="0"/>
          <w:divBdr>
            <w:top w:val="none" w:sz="0" w:space="0" w:color="auto"/>
            <w:left w:val="none" w:sz="0" w:space="0" w:color="auto"/>
            <w:bottom w:val="none" w:sz="0" w:space="0" w:color="auto"/>
            <w:right w:val="none" w:sz="0" w:space="0" w:color="auto"/>
          </w:divBdr>
        </w:div>
      </w:divsChild>
    </w:div>
    <w:div w:id="1011879465">
      <w:bodyDiv w:val="1"/>
      <w:marLeft w:val="0"/>
      <w:marRight w:val="0"/>
      <w:marTop w:val="0"/>
      <w:marBottom w:val="0"/>
      <w:divBdr>
        <w:top w:val="none" w:sz="0" w:space="0" w:color="auto"/>
        <w:left w:val="none" w:sz="0" w:space="0" w:color="auto"/>
        <w:bottom w:val="none" w:sz="0" w:space="0" w:color="auto"/>
        <w:right w:val="none" w:sz="0" w:space="0" w:color="auto"/>
      </w:divBdr>
    </w:div>
    <w:div w:id="1113940483">
      <w:bodyDiv w:val="1"/>
      <w:marLeft w:val="0"/>
      <w:marRight w:val="0"/>
      <w:marTop w:val="0"/>
      <w:marBottom w:val="0"/>
      <w:divBdr>
        <w:top w:val="none" w:sz="0" w:space="0" w:color="auto"/>
        <w:left w:val="none" w:sz="0" w:space="0" w:color="auto"/>
        <w:bottom w:val="none" w:sz="0" w:space="0" w:color="auto"/>
        <w:right w:val="none" w:sz="0" w:space="0" w:color="auto"/>
      </w:divBdr>
    </w:div>
    <w:div w:id="1120687296">
      <w:bodyDiv w:val="1"/>
      <w:marLeft w:val="0"/>
      <w:marRight w:val="0"/>
      <w:marTop w:val="0"/>
      <w:marBottom w:val="0"/>
      <w:divBdr>
        <w:top w:val="none" w:sz="0" w:space="0" w:color="auto"/>
        <w:left w:val="none" w:sz="0" w:space="0" w:color="auto"/>
        <w:bottom w:val="none" w:sz="0" w:space="0" w:color="auto"/>
        <w:right w:val="none" w:sz="0" w:space="0" w:color="auto"/>
      </w:divBdr>
      <w:divsChild>
        <w:div w:id="454564457">
          <w:marLeft w:val="0"/>
          <w:marRight w:val="0"/>
          <w:marTop w:val="0"/>
          <w:marBottom w:val="0"/>
          <w:divBdr>
            <w:top w:val="single" w:sz="6" w:space="0" w:color="auto"/>
            <w:left w:val="single" w:sz="6" w:space="0" w:color="auto"/>
            <w:bottom w:val="single" w:sz="6" w:space="0" w:color="auto"/>
            <w:right w:val="single" w:sz="6" w:space="0" w:color="auto"/>
          </w:divBdr>
        </w:div>
      </w:divsChild>
    </w:div>
    <w:div w:id="1154417313">
      <w:bodyDiv w:val="1"/>
      <w:marLeft w:val="0"/>
      <w:marRight w:val="0"/>
      <w:marTop w:val="0"/>
      <w:marBottom w:val="0"/>
      <w:divBdr>
        <w:top w:val="none" w:sz="0" w:space="0" w:color="auto"/>
        <w:left w:val="none" w:sz="0" w:space="0" w:color="auto"/>
        <w:bottom w:val="none" w:sz="0" w:space="0" w:color="auto"/>
        <w:right w:val="none" w:sz="0" w:space="0" w:color="auto"/>
      </w:divBdr>
    </w:div>
    <w:div w:id="1168325378">
      <w:bodyDiv w:val="1"/>
      <w:marLeft w:val="0"/>
      <w:marRight w:val="0"/>
      <w:marTop w:val="0"/>
      <w:marBottom w:val="0"/>
      <w:divBdr>
        <w:top w:val="none" w:sz="0" w:space="0" w:color="auto"/>
        <w:left w:val="none" w:sz="0" w:space="0" w:color="auto"/>
        <w:bottom w:val="none" w:sz="0" w:space="0" w:color="auto"/>
        <w:right w:val="none" w:sz="0" w:space="0" w:color="auto"/>
      </w:divBdr>
    </w:div>
    <w:div w:id="1185483265">
      <w:bodyDiv w:val="1"/>
      <w:marLeft w:val="0"/>
      <w:marRight w:val="0"/>
      <w:marTop w:val="0"/>
      <w:marBottom w:val="0"/>
      <w:divBdr>
        <w:top w:val="none" w:sz="0" w:space="0" w:color="auto"/>
        <w:left w:val="none" w:sz="0" w:space="0" w:color="auto"/>
        <w:bottom w:val="none" w:sz="0" w:space="0" w:color="auto"/>
        <w:right w:val="none" w:sz="0" w:space="0" w:color="auto"/>
      </w:divBdr>
    </w:div>
    <w:div w:id="1211069704">
      <w:bodyDiv w:val="1"/>
      <w:marLeft w:val="0"/>
      <w:marRight w:val="0"/>
      <w:marTop w:val="0"/>
      <w:marBottom w:val="0"/>
      <w:divBdr>
        <w:top w:val="none" w:sz="0" w:space="0" w:color="auto"/>
        <w:left w:val="none" w:sz="0" w:space="0" w:color="auto"/>
        <w:bottom w:val="none" w:sz="0" w:space="0" w:color="auto"/>
        <w:right w:val="none" w:sz="0" w:space="0" w:color="auto"/>
      </w:divBdr>
    </w:div>
    <w:div w:id="1270041031">
      <w:bodyDiv w:val="1"/>
      <w:marLeft w:val="0"/>
      <w:marRight w:val="0"/>
      <w:marTop w:val="0"/>
      <w:marBottom w:val="0"/>
      <w:divBdr>
        <w:top w:val="none" w:sz="0" w:space="0" w:color="auto"/>
        <w:left w:val="none" w:sz="0" w:space="0" w:color="auto"/>
        <w:bottom w:val="none" w:sz="0" w:space="0" w:color="auto"/>
        <w:right w:val="none" w:sz="0" w:space="0" w:color="auto"/>
      </w:divBdr>
      <w:divsChild>
        <w:div w:id="1255046108">
          <w:marLeft w:val="0"/>
          <w:marRight w:val="0"/>
          <w:marTop w:val="0"/>
          <w:marBottom w:val="0"/>
          <w:divBdr>
            <w:top w:val="single" w:sz="6" w:space="0" w:color="auto"/>
            <w:left w:val="single" w:sz="6" w:space="0" w:color="auto"/>
            <w:bottom w:val="single" w:sz="6" w:space="0" w:color="auto"/>
            <w:right w:val="single" w:sz="6" w:space="0" w:color="auto"/>
          </w:divBdr>
        </w:div>
      </w:divsChild>
    </w:div>
    <w:div w:id="1272977956">
      <w:bodyDiv w:val="1"/>
      <w:marLeft w:val="0"/>
      <w:marRight w:val="0"/>
      <w:marTop w:val="0"/>
      <w:marBottom w:val="0"/>
      <w:divBdr>
        <w:top w:val="none" w:sz="0" w:space="0" w:color="auto"/>
        <w:left w:val="none" w:sz="0" w:space="0" w:color="auto"/>
        <w:bottom w:val="none" w:sz="0" w:space="0" w:color="auto"/>
        <w:right w:val="none" w:sz="0" w:space="0" w:color="auto"/>
      </w:divBdr>
      <w:divsChild>
        <w:div w:id="1396704578">
          <w:marLeft w:val="0"/>
          <w:marRight w:val="0"/>
          <w:marTop w:val="0"/>
          <w:marBottom w:val="0"/>
          <w:divBdr>
            <w:top w:val="single" w:sz="6" w:space="0" w:color="auto"/>
            <w:left w:val="single" w:sz="6" w:space="0" w:color="auto"/>
            <w:bottom w:val="single" w:sz="6" w:space="0" w:color="auto"/>
            <w:right w:val="single" w:sz="6" w:space="0" w:color="auto"/>
          </w:divBdr>
        </w:div>
      </w:divsChild>
    </w:div>
    <w:div w:id="1278214940">
      <w:bodyDiv w:val="1"/>
      <w:marLeft w:val="0"/>
      <w:marRight w:val="0"/>
      <w:marTop w:val="0"/>
      <w:marBottom w:val="0"/>
      <w:divBdr>
        <w:top w:val="none" w:sz="0" w:space="0" w:color="auto"/>
        <w:left w:val="none" w:sz="0" w:space="0" w:color="auto"/>
        <w:bottom w:val="none" w:sz="0" w:space="0" w:color="auto"/>
        <w:right w:val="none" w:sz="0" w:space="0" w:color="auto"/>
      </w:divBdr>
      <w:divsChild>
        <w:div w:id="1166673896">
          <w:marLeft w:val="0"/>
          <w:marRight w:val="0"/>
          <w:marTop w:val="0"/>
          <w:marBottom w:val="0"/>
          <w:divBdr>
            <w:top w:val="none" w:sz="0" w:space="0" w:color="auto"/>
            <w:left w:val="none" w:sz="0" w:space="0" w:color="auto"/>
            <w:bottom w:val="none" w:sz="0" w:space="0" w:color="auto"/>
            <w:right w:val="none" w:sz="0" w:space="0" w:color="auto"/>
          </w:divBdr>
        </w:div>
      </w:divsChild>
    </w:div>
    <w:div w:id="1290477519">
      <w:bodyDiv w:val="1"/>
      <w:marLeft w:val="0"/>
      <w:marRight w:val="0"/>
      <w:marTop w:val="0"/>
      <w:marBottom w:val="0"/>
      <w:divBdr>
        <w:top w:val="none" w:sz="0" w:space="0" w:color="auto"/>
        <w:left w:val="none" w:sz="0" w:space="0" w:color="auto"/>
        <w:bottom w:val="none" w:sz="0" w:space="0" w:color="auto"/>
        <w:right w:val="none" w:sz="0" w:space="0" w:color="auto"/>
      </w:divBdr>
    </w:div>
    <w:div w:id="1344283657">
      <w:bodyDiv w:val="1"/>
      <w:marLeft w:val="0"/>
      <w:marRight w:val="0"/>
      <w:marTop w:val="0"/>
      <w:marBottom w:val="0"/>
      <w:divBdr>
        <w:top w:val="none" w:sz="0" w:space="0" w:color="auto"/>
        <w:left w:val="none" w:sz="0" w:space="0" w:color="auto"/>
        <w:bottom w:val="none" w:sz="0" w:space="0" w:color="auto"/>
        <w:right w:val="none" w:sz="0" w:space="0" w:color="auto"/>
      </w:divBdr>
      <w:divsChild>
        <w:div w:id="1940140941">
          <w:marLeft w:val="-720"/>
          <w:marRight w:val="0"/>
          <w:marTop w:val="0"/>
          <w:marBottom w:val="0"/>
          <w:divBdr>
            <w:top w:val="none" w:sz="0" w:space="0" w:color="auto"/>
            <w:left w:val="none" w:sz="0" w:space="0" w:color="auto"/>
            <w:bottom w:val="none" w:sz="0" w:space="0" w:color="auto"/>
            <w:right w:val="none" w:sz="0" w:space="0" w:color="auto"/>
          </w:divBdr>
        </w:div>
      </w:divsChild>
    </w:div>
    <w:div w:id="1364480076">
      <w:bodyDiv w:val="1"/>
      <w:marLeft w:val="0"/>
      <w:marRight w:val="0"/>
      <w:marTop w:val="0"/>
      <w:marBottom w:val="0"/>
      <w:divBdr>
        <w:top w:val="none" w:sz="0" w:space="0" w:color="auto"/>
        <w:left w:val="none" w:sz="0" w:space="0" w:color="auto"/>
        <w:bottom w:val="none" w:sz="0" w:space="0" w:color="auto"/>
        <w:right w:val="none" w:sz="0" w:space="0" w:color="auto"/>
      </w:divBdr>
      <w:divsChild>
        <w:div w:id="828012839">
          <w:marLeft w:val="0"/>
          <w:marRight w:val="0"/>
          <w:marTop w:val="0"/>
          <w:marBottom w:val="0"/>
          <w:divBdr>
            <w:top w:val="single" w:sz="6" w:space="0" w:color="auto"/>
            <w:left w:val="single" w:sz="6" w:space="0" w:color="auto"/>
            <w:bottom w:val="single" w:sz="6" w:space="0" w:color="auto"/>
            <w:right w:val="single" w:sz="6" w:space="0" w:color="auto"/>
          </w:divBdr>
        </w:div>
      </w:divsChild>
    </w:div>
    <w:div w:id="1405252036">
      <w:bodyDiv w:val="1"/>
      <w:marLeft w:val="0"/>
      <w:marRight w:val="0"/>
      <w:marTop w:val="0"/>
      <w:marBottom w:val="0"/>
      <w:divBdr>
        <w:top w:val="none" w:sz="0" w:space="0" w:color="auto"/>
        <w:left w:val="none" w:sz="0" w:space="0" w:color="auto"/>
        <w:bottom w:val="none" w:sz="0" w:space="0" w:color="auto"/>
        <w:right w:val="none" w:sz="0" w:space="0" w:color="auto"/>
      </w:divBdr>
      <w:divsChild>
        <w:div w:id="1915045304">
          <w:marLeft w:val="0"/>
          <w:marRight w:val="0"/>
          <w:marTop w:val="0"/>
          <w:marBottom w:val="0"/>
          <w:divBdr>
            <w:top w:val="none" w:sz="0" w:space="0" w:color="auto"/>
            <w:left w:val="none" w:sz="0" w:space="0" w:color="auto"/>
            <w:bottom w:val="none" w:sz="0" w:space="0" w:color="auto"/>
            <w:right w:val="none" w:sz="0" w:space="0" w:color="auto"/>
          </w:divBdr>
        </w:div>
      </w:divsChild>
    </w:div>
    <w:div w:id="1429042681">
      <w:bodyDiv w:val="1"/>
      <w:marLeft w:val="0"/>
      <w:marRight w:val="0"/>
      <w:marTop w:val="0"/>
      <w:marBottom w:val="0"/>
      <w:divBdr>
        <w:top w:val="none" w:sz="0" w:space="0" w:color="auto"/>
        <w:left w:val="none" w:sz="0" w:space="0" w:color="auto"/>
        <w:bottom w:val="none" w:sz="0" w:space="0" w:color="auto"/>
        <w:right w:val="none" w:sz="0" w:space="0" w:color="auto"/>
      </w:divBdr>
      <w:divsChild>
        <w:div w:id="617300729">
          <w:marLeft w:val="0"/>
          <w:marRight w:val="0"/>
          <w:marTop w:val="0"/>
          <w:marBottom w:val="0"/>
          <w:divBdr>
            <w:top w:val="single" w:sz="6" w:space="0" w:color="auto"/>
            <w:left w:val="single" w:sz="6" w:space="0" w:color="auto"/>
            <w:bottom w:val="single" w:sz="6" w:space="0" w:color="auto"/>
            <w:right w:val="single" w:sz="6" w:space="0" w:color="auto"/>
          </w:divBdr>
        </w:div>
      </w:divsChild>
    </w:div>
    <w:div w:id="1432622466">
      <w:bodyDiv w:val="1"/>
      <w:marLeft w:val="0"/>
      <w:marRight w:val="0"/>
      <w:marTop w:val="0"/>
      <w:marBottom w:val="0"/>
      <w:divBdr>
        <w:top w:val="none" w:sz="0" w:space="0" w:color="auto"/>
        <w:left w:val="none" w:sz="0" w:space="0" w:color="auto"/>
        <w:bottom w:val="none" w:sz="0" w:space="0" w:color="auto"/>
        <w:right w:val="none" w:sz="0" w:space="0" w:color="auto"/>
      </w:divBdr>
      <w:divsChild>
        <w:div w:id="1684479400">
          <w:marLeft w:val="0"/>
          <w:marRight w:val="0"/>
          <w:marTop w:val="0"/>
          <w:marBottom w:val="0"/>
          <w:divBdr>
            <w:top w:val="single" w:sz="6" w:space="0" w:color="auto"/>
            <w:left w:val="single" w:sz="6" w:space="0" w:color="auto"/>
            <w:bottom w:val="single" w:sz="6" w:space="0" w:color="auto"/>
            <w:right w:val="single" w:sz="6" w:space="0" w:color="auto"/>
          </w:divBdr>
        </w:div>
      </w:divsChild>
    </w:div>
    <w:div w:id="1460416421">
      <w:bodyDiv w:val="1"/>
      <w:marLeft w:val="0"/>
      <w:marRight w:val="0"/>
      <w:marTop w:val="0"/>
      <w:marBottom w:val="0"/>
      <w:divBdr>
        <w:top w:val="none" w:sz="0" w:space="0" w:color="auto"/>
        <w:left w:val="none" w:sz="0" w:space="0" w:color="auto"/>
        <w:bottom w:val="none" w:sz="0" w:space="0" w:color="auto"/>
        <w:right w:val="none" w:sz="0" w:space="0" w:color="auto"/>
      </w:divBdr>
      <w:divsChild>
        <w:div w:id="361515248">
          <w:marLeft w:val="0"/>
          <w:marRight w:val="0"/>
          <w:marTop w:val="0"/>
          <w:marBottom w:val="0"/>
          <w:divBdr>
            <w:top w:val="single" w:sz="6" w:space="0" w:color="auto"/>
            <w:left w:val="single" w:sz="6" w:space="0" w:color="auto"/>
            <w:bottom w:val="single" w:sz="6" w:space="0" w:color="auto"/>
            <w:right w:val="single" w:sz="6" w:space="0" w:color="auto"/>
          </w:divBdr>
        </w:div>
      </w:divsChild>
    </w:div>
    <w:div w:id="1465154603">
      <w:bodyDiv w:val="1"/>
      <w:marLeft w:val="0"/>
      <w:marRight w:val="0"/>
      <w:marTop w:val="0"/>
      <w:marBottom w:val="0"/>
      <w:divBdr>
        <w:top w:val="none" w:sz="0" w:space="0" w:color="auto"/>
        <w:left w:val="none" w:sz="0" w:space="0" w:color="auto"/>
        <w:bottom w:val="none" w:sz="0" w:space="0" w:color="auto"/>
        <w:right w:val="none" w:sz="0" w:space="0" w:color="auto"/>
      </w:divBdr>
    </w:div>
    <w:div w:id="1495532136">
      <w:bodyDiv w:val="1"/>
      <w:marLeft w:val="0"/>
      <w:marRight w:val="0"/>
      <w:marTop w:val="0"/>
      <w:marBottom w:val="0"/>
      <w:divBdr>
        <w:top w:val="none" w:sz="0" w:space="0" w:color="auto"/>
        <w:left w:val="none" w:sz="0" w:space="0" w:color="auto"/>
        <w:bottom w:val="none" w:sz="0" w:space="0" w:color="auto"/>
        <w:right w:val="none" w:sz="0" w:space="0" w:color="auto"/>
      </w:divBdr>
      <w:divsChild>
        <w:div w:id="1482187519">
          <w:marLeft w:val="0"/>
          <w:marRight w:val="0"/>
          <w:marTop w:val="0"/>
          <w:marBottom w:val="0"/>
          <w:divBdr>
            <w:top w:val="single" w:sz="6" w:space="0" w:color="auto"/>
            <w:left w:val="single" w:sz="6" w:space="0" w:color="auto"/>
            <w:bottom w:val="single" w:sz="6" w:space="0" w:color="auto"/>
            <w:right w:val="single" w:sz="6" w:space="0" w:color="auto"/>
          </w:divBdr>
        </w:div>
      </w:divsChild>
    </w:div>
    <w:div w:id="1504051530">
      <w:bodyDiv w:val="1"/>
      <w:marLeft w:val="0"/>
      <w:marRight w:val="0"/>
      <w:marTop w:val="0"/>
      <w:marBottom w:val="0"/>
      <w:divBdr>
        <w:top w:val="none" w:sz="0" w:space="0" w:color="auto"/>
        <w:left w:val="none" w:sz="0" w:space="0" w:color="auto"/>
        <w:bottom w:val="none" w:sz="0" w:space="0" w:color="auto"/>
        <w:right w:val="none" w:sz="0" w:space="0" w:color="auto"/>
      </w:divBdr>
    </w:div>
    <w:div w:id="1508444785">
      <w:bodyDiv w:val="1"/>
      <w:marLeft w:val="0"/>
      <w:marRight w:val="0"/>
      <w:marTop w:val="0"/>
      <w:marBottom w:val="0"/>
      <w:divBdr>
        <w:top w:val="none" w:sz="0" w:space="0" w:color="auto"/>
        <w:left w:val="none" w:sz="0" w:space="0" w:color="auto"/>
        <w:bottom w:val="none" w:sz="0" w:space="0" w:color="auto"/>
        <w:right w:val="none" w:sz="0" w:space="0" w:color="auto"/>
      </w:divBdr>
      <w:divsChild>
        <w:div w:id="964386612">
          <w:marLeft w:val="0"/>
          <w:marRight w:val="0"/>
          <w:marTop w:val="0"/>
          <w:marBottom w:val="0"/>
          <w:divBdr>
            <w:top w:val="single" w:sz="6" w:space="0" w:color="auto"/>
            <w:left w:val="single" w:sz="6" w:space="0" w:color="auto"/>
            <w:bottom w:val="single" w:sz="6" w:space="0" w:color="auto"/>
            <w:right w:val="single" w:sz="6" w:space="0" w:color="auto"/>
          </w:divBdr>
        </w:div>
      </w:divsChild>
    </w:div>
    <w:div w:id="1509715817">
      <w:bodyDiv w:val="1"/>
      <w:marLeft w:val="0"/>
      <w:marRight w:val="0"/>
      <w:marTop w:val="0"/>
      <w:marBottom w:val="0"/>
      <w:divBdr>
        <w:top w:val="none" w:sz="0" w:space="0" w:color="auto"/>
        <w:left w:val="none" w:sz="0" w:space="0" w:color="auto"/>
        <w:bottom w:val="none" w:sz="0" w:space="0" w:color="auto"/>
        <w:right w:val="none" w:sz="0" w:space="0" w:color="auto"/>
      </w:divBdr>
      <w:divsChild>
        <w:div w:id="1603487534">
          <w:marLeft w:val="0"/>
          <w:marRight w:val="0"/>
          <w:marTop w:val="0"/>
          <w:marBottom w:val="0"/>
          <w:divBdr>
            <w:top w:val="none" w:sz="0" w:space="0" w:color="auto"/>
            <w:left w:val="none" w:sz="0" w:space="0" w:color="auto"/>
            <w:bottom w:val="none" w:sz="0" w:space="0" w:color="auto"/>
            <w:right w:val="none" w:sz="0" w:space="0" w:color="auto"/>
          </w:divBdr>
        </w:div>
      </w:divsChild>
    </w:div>
    <w:div w:id="1536190308">
      <w:bodyDiv w:val="1"/>
      <w:marLeft w:val="0"/>
      <w:marRight w:val="0"/>
      <w:marTop w:val="0"/>
      <w:marBottom w:val="0"/>
      <w:divBdr>
        <w:top w:val="none" w:sz="0" w:space="0" w:color="auto"/>
        <w:left w:val="none" w:sz="0" w:space="0" w:color="auto"/>
        <w:bottom w:val="none" w:sz="0" w:space="0" w:color="auto"/>
        <w:right w:val="none" w:sz="0" w:space="0" w:color="auto"/>
      </w:divBdr>
      <w:divsChild>
        <w:div w:id="2024278954">
          <w:marLeft w:val="0"/>
          <w:marRight w:val="0"/>
          <w:marTop w:val="0"/>
          <w:marBottom w:val="0"/>
          <w:divBdr>
            <w:top w:val="single" w:sz="6" w:space="0" w:color="auto"/>
            <w:left w:val="single" w:sz="6" w:space="0" w:color="auto"/>
            <w:bottom w:val="single" w:sz="6" w:space="0" w:color="auto"/>
            <w:right w:val="single" w:sz="6" w:space="0" w:color="auto"/>
          </w:divBdr>
        </w:div>
      </w:divsChild>
    </w:div>
    <w:div w:id="1539930727">
      <w:bodyDiv w:val="1"/>
      <w:marLeft w:val="0"/>
      <w:marRight w:val="0"/>
      <w:marTop w:val="0"/>
      <w:marBottom w:val="0"/>
      <w:divBdr>
        <w:top w:val="none" w:sz="0" w:space="0" w:color="auto"/>
        <w:left w:val="none" w:sz="0" w:space="0" w:color="auto"/>
        <w:bottom w:val="none" w:sz="0" w:space="0" w:color="auto"/>
        <w:right w:val="none" w:sz="0" w:space="0" w:color="auto"/>
      </w:divBdr>
      <w:divsChild>
        <w:div w:id="42877277">
          <w:marLeft w:val="0"/>
          <w:marRight w:val="0"/>
          <w:marTop w:val="0"/>
          <w:marBottom w:val="0"/>
          <w:divBdr>
            <w:top w:val="single" w:sz="6" w:space="0" w:color="auto"/>
            <w:left w:val="single" w:sz="6" w:space="0" w:color="auto"/>
            <w:bottom w:val="single" w:sz="6" w:space="0" w:color="auto"/>
            <w:right w:val="single" w:sz="6" w:space="0" w:color="auto"/>
          </w:divBdr>
        </w:div>
      </w:divsChild>
    </w:div>
    <w:div w:id="1593664050">
      <w:bodyDiv w:val="1"/>
      <w:marLeft w:val="0"/>
      <w:marRight w:val="0"/>
      <w:marTop w:val="0"/>
      <w:marBottom w:val="0"/>
      <w:divBdr>
        <w:top w:val="none" w:sz="0" w:space="0" w:color="auto"/>
        <w:left w:val="none" w:sz="0" w:space="0" w:color="auto"/>
        <w:bottom w:val="none" w:sz="0" w:space="0" w:color="auto"/>
        <w:right w:val="none" w:sz="0" w:space="0" w:color="auto"/>
      </w:divBdr>
    </w:div>
    <w:div w:id="1597254326">
      <w:bodyDiv w:val="1"/>
      <w:marLeft w:val="0"/>
      <w:marRight w:val="0"/>
      <w:marTop w:val="0"/>
      <w:marBottom w:val="0"/>
      <w:divBdr>
        <w:top w:val="none" w:sz="0" w:space="0" w:color="auto"/>
        <w:left w:val="none" w:sz="0" w:space="0" w:color="auto"/>
        <w:bottom w:val="none" w:sz="0" w:space="0" w:color="auto"/>
        <w:right w:val="none" w:sz="0" w:space="0" w:color="auto"/>
      </w:divBdr>
      <w:divsChild>
        <w:div w:id="1167866150">
          <w:marLeft w:val="0"/>
          <w:marRight w:val="0"/>
          <w:marTop w:val="0"/>
          <w:marBottom w:val="0"/>
          <w:divBdr>
            <w:top w:val="single" w:sz="6" w:space="0" w:color="auto"/>
            <w:left w:val="single" w:sz="6" w:space="0" w:color="auto"/>
            <w:bottom w:val="single" w:sz="6" w:space="0" w:color="auto"/>
            <w:right w:val="single" w:sz="6" w:space="0" w:color="auto"/>
          </w:divBdr>
        </w:div>
      </w:divsChild>
    </w:div>
    <w:div w:id="1634284363">
      <w:bodyDiv w:val="1"/>
      <w:marLeft w:val="0"/>
      <w:marRight w:val="0"/>
      <w:marTop w:val="0"/>
      <w:marBottom w:val="0"/>
      <w:divBdr>
        <w:top w:val="none" w:sz="0" w:space="0" w:color="auto"/>
        <w:left w:val="none" w:sz="0" w:space="0" w:color="auto"/>
        <w:bottom w:val="none" w:sz="0" w:space="0" w:color="auto"/>
        <w:right w:val="none" w:sz="0" w:space="0" w:color="auto"/>
      </w:divBdr>
      <w:divsChild>
        <w:div w:id="1411392453">
          <w:marLeft w:val="0"/>
          <w:marRight w:val="0"/>
          <w:marTop w:val="0"/>
          <w:marBottom w:val="0"/>
          <w:divBdr>
            <w:top w:val="single" w:sz="6" w:space="0" w:color="auto"/>
            <w:left w:val="single" w:sz="6" w:space="0" w:color="auto"/>
            <w:bottom w:val="single" w:sz="6" w:space="0" w:color="auto"/>
            <w:right w:val="single" w:sz="6" w:space="0" w:color="auto"/>
          </w:divBdr>
        </w:div>
      </w:divsChild>
    </w:div>
    <w:div w:id="1638878730">
      <w:bodyDiv w:val="1"/>
      <w:marLeft w:val="0"/>
      <w:marRight w:val="0"/>
      <w:marTop w:val="0"/>
      <w:marBottom w:val="0"/>
      <w:divBdr>
        <w:top w:val="none" w:sz="0" w:space="0" w:color="auto"/>
        <w:left w:val="none" w:sz="0" w:space="0" w:color="auto"/>
        <w:bottom w:val="none" w:sz="0" w:space="0" w:color="auto"/>
        <w:right w:val="none" w:sz="0" w:space="0" w:color="auto"/>
      </w:divBdr>
      <w:divsChild>
        <w:div w:id="1912229742">
          <w:marLeft w:val="-720"/>
          <w:marRight w:val="0"/>
          <w:marTop w:val="0"/>
          <w:marBottom w:val="0"/>
          <w:divBdr>
            <w:top w:val="none" w:sz="0" w:space="0" w:color="auto"/>
            <w:left w:val="none" w:sz="0" w:space="0" w:color="auto"/>
            <w:bottom w:val="none" w:sz="0" w:space="0" w:color="auto"/>
            <w:right w:val="none" w:sz="0" w:space="0" w:color="auto"/>
          </w:divBdr>
        </w:div>
      </w:divsChild>
    </w:div>
    <w:div w:id="1690645484">
      <w:bodyDiv w:val="1"/>
      <w:marLeft w:val="0"/>
      <w:marRight w:val="0"/>
      <w:marTop w:val="0"/>
      <w:marBottom w:val="0"/>
      <w:divBdr>
        <w:top w:val="none" w:sz="0" w:space="0" w:color="auto"/>
        <w:left w:val="none" w:sz="0" w:space="0" w:color="auto"/>
        <w:bottom w:val="none" w:sz="0" w:space="0" w:color="auto"/>
        <w:right w:val="none" w:sz="0" w:space="0" w:color="auto"/>
      </w:divBdr>
    </w:div>
    <w:div w:id="1741095243">
      <w:bodyDiv w:val="1"/>
      <w:marLeft w:val="0"/>
      <w:marRight w:val="0"/>
      <w:marTop w:val="0"/>
      <w:marBottom w:val="0"/>
      <w:divBdr>
        <w:top w:val="none" w:sz="0" w:space="0" w:color="auto"/>
        <w:left w:val="none" w:sz="0" w:space="0" w:color="auto"/>
        <w:bottom w:val="none" w:sz="0" w:space="0" w:color="auto"/>
        <w:right w:val="none" w:sz="0" w:space="0" w:color="auto"/>
      </w:divBdr>
      <w:divsChild>
        <w:div w:id="1562407351">
          <w:marLeft w:val="0"/>
          <w:marRight w:val="0"/>
          <w:marTop w:val="0"/>
          <w:marBottom w:val="0"/>
          <w:divBdr>
            <w:top w:val="single" w:sz="6" w:space="0" w:color="auto"/>
            <w:left w:val="single" w:sz="6" w:space="0" w:color="auto"/>
            <w:bottom w:val="single" w:sz="6" w:space="0" w:color="auto"/>
            <w:right w:val="single" w:sz="6" w:space="0" w:color="auto"/>
          </w:divBdr>
        </w:div>
      </w:divsChild>
    </w:div>
    <w:div w:id="1748838748">
      <w:bodyDiv w:val="1"/>
      <w:marLeft w:val="0"/>
      <w:marRight w:val="0"/>
      <w:marTop w:val="0"/>
      <w:marBottom w:val="0"/>
      <w:divBdr>
        <w:top w:val="none" w:sz="0" w:space="0" w:color="auto"/>
        <w:left w:val="none" w:sz="0" w:space="0" w:color="auto"/>
        <w:bottom w:val="none" w:sz="0" w:space="0" w:color="auto"/>
        <w:right w:val="none" w:sz="0" w:space="0" w:color="auto"/>
      </w:divBdr>
    </w:div>
    <w:div w:id="1807819677">
      <w:bodyDiv w:val="1"/>
      <w:marLeft w:val="0"/>
      <w:marRight w:val="0"/>
      <w:marTop w:val="0"/>
      <w:marBottom w:val="0"/>
      <w:divBdr>
        <w:top w:val="none" w:sz="0" w:space="0" w:color="auto"/>
        <w:left w:val="none" w:sz="0" w:space="0" w:color="auto"/>
        <w:bottom w:val="none" w:sz="0" w:space="0" w:color="auto"/>
        <w:right w:val="none" w:sz="0" w:space="0" w:color="auto"/>
      </w:divBdr>
    </w:div>
    <w:div w:id="1880313600">
      <w:bodyDiv w:val="1"/>
      <w:marLeft w:val="0"/>
      <w:marRight w:val="0"/>
      <w:marTop w:val="0"/>
      <w:marBottom w:val="0"/>
      <w:divBdr>
        <w:top w:val="none" w:sz="0" w:space="0" w:color="auto"/>
        <w:left w:val="none" w:sz="0" w:space="0" w:color="auto"/>
        <w:bottom w:val="none" w:sz="0" w:space="0" w:color="auto"/>
        <w:right w:val="none" w:sz="0" w:space="0" w:color="auto"/>
      </w:divBdr>
    </w:div>
    <w:div w:id="1883177192">
      <w:bodyDiv w:val="1"/>
      <w:marLeft w:val="0"/>
      <w:marRight w:val="0"/>
      <w:marTop w:val="0"/>
      <w:marBottom w:val="0"/>
      <w:divBdr>
        <w:top w:val="none" w:sz="0" w:space="0" w:color="auto"/>
        <w:left w:val="none" w:sz="0" w:space="0" w:color="auto"/>
        <w:bottom w:val="none" w:sz="0" w:space="0" w:color="auto"/>
        <w:right w:val="none" w:sz="0" w:space="0" w:color="auto"/>
      </w:divBdr>
      <w:divsChild>
        <w:div w:id="1894392547">
          <w:marLeft w:val="0"/>
          <w:marRight w:val="0"/>
          <w:marTop w:val="0"/>
          <w:marBottom w:val="0"/>
          <w:divBdr>
            <w:top w:val="single" w:sz="6" w:space="0" w:color="auto"/>
            <w:left w:val="single" w:sz="6" w:space="0" w:color="auto"/>
            <w:bottom w:val="single" w:sz="6" w:space="0" w:color="auto"/>
            <w:right w:val="single" w:sz="6" w:space="0" w:color="auto"/>
          </w:divBdr>
        </w:div>
      </w:divsChild>
    </w:div>
    <w:div w:id="1917862872">
      <w:bodyDiv w:val="1"/>
      <w:marLeft w:val="0"/>
      <w:marRight w:val="0"/>
      <w:marTop w:val="0"/>
      <w:marBottom w:val="0"/>
      <w:divBdr>
        <w:top w:val="none" w:sz="0" w:space="0" w:color="auto"/>
        <w:left w:val="none" w:sz="0" w:space="0" w:color="auto"/>
        <w:bottom w:val="none" w:sz="0" w:space="0" w:color="auto"/>
        <w:right w:val="none" w:sz="0" w:space="0" w:color="auto"/>
      </w:divBdr>
    </w:div>
    <w:div w:id="1930038562">
      <w:bodyDiv w:val="1"/>
      <w:marLeft w:val="0"/>
      <w:marRight w:val="0"/>
      <w:marTop w:val="0"/>
      <w:marBottom w:val="0"/>
      <w:divBdr>
        <w:top w:val="none" w:sz="0" w:space="0" w:color="auto"/>
        <w:left w:val="none" w:sz="0" w:space="0" w:color="auto"/>
        <w:bottom w:val="none" w:sz="0" w:space="0" w:color="auto"/>
        <w:right w:val="none" w:sz="0" w:space="0" w:color="auto"/>
      </w:divBdr>
    </w:div>
    <w:div w:id="1938520663">
      <w:bodyDiv w:val="1"/>
      <w:marLeft w:val="0"/>
      <w:marRight w:val="0"/>
      <w:marTop w:val="0"/>
      <w:marBottom w:val="0"/>
      <w:divBdr>
        <w:top w:val="none" w:sz="0" w:space="0" w:color="auto"/>
        <w:left w:val="none" w:sz="0" w:space="0" w:color="auto"/>
        <w:bottom w:val="none" w:sz="0" w:space="0" w:color="auto"/>
        <w:right w:val="none" w:sz="0" w:space="0" w:color="auto"/>
      </w:divBdr>
      <w:divsChild>
        <w:div w:id="1721199456">
          <w:marLeft w:val="0"/>
          <w:marRight w:val="0"/>
          <w:marTop w:val="0"/>
          <w:marBottom w:val="0"/>
          <w:divBdr>
            <w:top w:val="none" w:sz="0" w:space="0" w:color="auto"/>
            <w:left w:val="none" w:sz="0" w:space="0" w:color="auto"/>
            <w:bottom w:val="none" w:sz="0" w:space="0" w:color="auto"/>
            <w:right w:val="none" w:sz="0" w:space="0" w:color="auto"/>
          </w:divBdr>
        </w:div>
      </w:divsChild>
    </w:div>
    <w:div w:id="1947274733">
      <w:bodyDiv w:val="1"/>
      <w:marLeft w:val="0"/>
      <w:marRight w:val="0"/>
      <w:marTop w:val="0"/>
      <w:marBottom w:val="0"/>
      <w:divBdr>
        <w:top w:val="none" w:sz="0" w:space="0" w:color="auto"/>
        <w:left w:val="none" w:sz="0" w:space="0" w:color="auto"/>
        <w:bottom w:val="none" w:sz="0" w:space="0" w:color="auto"/>
        <w:right w:val="none" w:sz="0" w:space="0" w:color="auto"/>
      </w:divBdr>
      <w:divsChild>
        <w:div w:id="265231397">
          <w:marLeft w:val="0"/>
          <w:marRight w:val="0"/>
          <w:marTop w:val="0"/>
          <w:marBottom w:val="0"/>
          <w:divBdr>
            <w:top w:val="single" w:sz="6" w:space="0" w:color="auto"/>
            <w:left w:val="single" w:sz="6" w:space="0" w:color="auto"/>
            <w:bottom w:val="single" w:sz="6" w:space="0" w:color="auto"/>
            <w:right w:val="single" w:sz="6" w:space="0" w:color="auto"/>
          </w:divBdr>
        </w:div>
      </w:divsChild>
    </w:div>
    <w:div w:id="1971396179">
      <w:bodyDiv w:val="1"/>
      <w:marLeft w:val="0"/>
      <w:marRight w:val="0"/>
      <w:marTop w:val="0"/>
      <w:marBottom w:val="0"/>
      <w:divBdr>
        <w:top w:val="none" w:sz="0" w:space="0" w:color="auto"/>
        <w:left w:val="none" w:sz="0" w:space="0" w:color="auto"/>
        <w:bottom w:val="none" w:sz="0" w:space="0" w:color="auto"/>
        <w:right w:val="none" w:sz="0" w:space="0" w:color="auto"/>
      </w:divBdr>
      <w:divsChild>
        <w:div w:id="1161583205">
          <w:marLeft w:val="-720"/>
          <w:marRight w:val="0"/>
          <w:marTop w:val="0"/>
          <w:marBottom w:val="0"/>
          <w:divBdr>
            <w:top w:val="none" w:sz="0" w:space="0" w:color="auto"/>
            <w:left w:val="none" w:sz="0" w:space="0" w:color="auto"/>
            <w:bottom w:val="none" w:sz="0" w:space="0" w:color="auto"/>
            <w:right w:val="none" w:sz="0" w:space="0" w:color="auto"/>
          </w:divBdr>
        </w:div>
      </w:divsChild>
    </w:div>
    <w:div w:id="1996488949">
      <w:bodyDiv w:val="1"/>
      <w:marLeft w:val="0"/>
      <w:marRight w:val="0"/>
      <w:marTop w:val="0"/>
      <w:marBottom w:val="0"/>
      <w:divBdr>
        <w:top w:val="none" w:sz="0" w:space="0" w:color="auto"/>
        <w:left w:val="none" w:sz="0" w:space="0" w:color="auto"/>
        <w:bottom w:val="none" w:sz="0" w:space="0" w:color="auto"/>
        <w:right w:val="none" w:sz="0" w:space="0" w:color="auto"/>
      </w:divBdr>
    </w:div>
    <w:div w:id="2015260335">
      <w:bodyDiv w:val="1"/>
      <w:marLeft w:val="0"/>
      <w:marRight w:val="0"/>
      <w:marTop w:val="0"/>
      <w:marBottom w:val="0"/>
      <w:divBdr>
        <w:top w:val="none" w:sz="0" w:space="0" w:color="auto"/>
        <w:left w:val="none" w:sz="0" w:space="0" w:color="auto"/>
        <w:bottom w:val="none" w:sz="0" w:space="0" w:color="auto"/>
        <w:right w:val="none" w:sz="0" w:space="0" w:color="auto"/>
      </w:divBdr>
    </w:div>
    <w:div w:id="2018386623">
      <w:bodyDiv w:val="1"/>
      <w:marLeft w:val="0"/>
      <w:marRight w:val="0"/>
      <w:marTop w:val="0"/>
      <w:marBottom w:val="0"/>
      <w:divBdr>
        <w:top w:val="none" w:sz="0" w:space="0" w:color="auto"/>
        <w:left w:val="none" w:sz="0" w:space="0" w:color="auto"/>
        <w:bottom w:val="none" w:sz="0" w:space="0" w:color="auto"/>
        <w:right w:val="none" w:sz="0" w:space="0" w:color="auto"/>
      </w:divBdr>
    </w:div>
    <w:div w:id="2031057147">
      <w:bodyDiv w:val="1"/>
      <w:marLeft w:val="0"/>
      <w:marRight w:val="0"/>
      <w:marTop w:val="0"/>
      <w:marBottom w:val="0"/>
      <w:divBdr>
        <w:top w:val="none" w:sz="0" w:space="0" w:color="auto"/>
        <w:left w:val="none" w:sz="0" w:space="0" w:color="auto"/>
        <w:bottom w:val="none" w:sz="0" w:space="0" w:color="auto"/>
        <w:right w:val="none" w:sz="0" w:space="0" w:color="auto"/>
      </w:divBdr>
      <w:divsChild>
        <w:div w:id="2087461177">
          <w:marLeft w:val="0"/>
          <w:marRight w:val="0"/>
          <w:marTop w:val="0"/>
          <w:marBottom w:val="0"/>
          <w:divBdr>
            <w:top w:val="none" w:sz="0" w:space="0" w:color="auto"/>
            <w:left w:val="none" w:sz="0" w:space="0" w:color="auto"/>
            <w:bottom w:val="none" w:sz="0" w:space="0" w:color="auto"/>
            <w:right w:val="none" w:sz="0" w:space="0" w:color="auto"/>
          </w:divBdr>
        </w:div>
        <w:div w:id="529340351">
          <w:marLeft w:val="0"/>
          <w:marRight w:val="0"/>
          <w:marTop w:val="0"/>
          <w:marBottom w:val="0"/>
          <w:divBdr>
            <w:top w:val="none" w:sz="0" w:space="0" w:color="auto"/>
            <w:left w:val="none" w:sz="0" w:space="0" w:color="auto"/>
            <w:bottom w:val="none" w:sz="0" w:space="0" w:color="auto"/>
            <w:right w:val="none" w:sz="0" w:space="0" w:color="auto"/>
          </w:divBdr>
        </w:div>
        <w:div w:id="394427436">
          <w:marLeft w:val="0"/>
          <w:marRight w:val="0"/>
          <w:marTop w:val="0"/>
          <w:marBottom w:val="0"/>
          <w:divBdr>
            <w:top w:val="none" w:sz="0" w:space="0" w:color="auto"/>
            <w:left w:val="none" w:sz="0" w:space="0" w:color="auto"/>
            <w:bottom w:val="none" w:sz="0" w:space="0" w:color="auto"/>
            <w:right w:val="none" w:sz="0" w:space="0" w:color="auto"/>
          </w:divBdr>
        </w:div>
        <w:div w:id="1440494502">
          <w:marLeft w:val="0"/>
          <w:marRight w:val="0"/>
          <w:marTop w:val="0"/>
          <w:marBottom w:val="0"/>
          <w:divBdr>
            <w:top w:val="none" w:sz="0" w:space="0" w:color="auto"/>
            <w:left w:val="none" w:sz="0" w:space="0" w:color="auto"/>
            <w:bottom w:val="none" w:sz="0" w:space="0" w:color="auto"/>
            <w:right w:val="none" w:sz="0" w:space="0" w:color="auto"/>
          </w:divBdr>
        </w:div>
      </w:divsChild>
    </w:div>
    <w:div w:id="2051496464">
      <w:bodyDiv w:val="1"/>
      <w:marLeft w:val="0"/>
      <w:marRight w:val="0"/>
      <w:marTop w:val="0"/>
      <w:marBottom w:val="0"/>
      <w:divBdr>
        <w:top w:val="none" w:sz="0" w:space="0" w:color="auto"/>
        <w:left w:val="none" w:sz="0" w:space="0" w:color="auto"/>
        <w:bottom w:val="none" w:sz="0" w:space="0" w:color="auto"/>
        <w:right w:val="none" w:sz="0" w:space="0" w:color="auto"/>
      </w:divBdr>
    </w:div>
    <w:div w:id="211085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deas.repec.org/a/fru/finjrn/190106p66-75.html" TargetMode="External"/><Relationship Id="rId21" Type="http://schemas.openxmlformats.org/officeDocument/2006/relationships/image" Target="media/image14.png"/><Relationship Id="rId34" Type="http://schemas.openxmlformats.org/officeDocument/2006/relationships/hyperlink" Target="https://doi.org/10.1016/j.jedc.2005.08.01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renene.2009.10.037" TargetMode="External"/><Relationship Id="rId37" Type="http://schemas.openxmlformats.org/officeDocument/2006/relationships/hyperlink" Target="https://www.ceeol.com/search/article-detail?id=746740" TargetMode="External"/><Relationship Id="rId40" Type="http://schemas.openxmlformats.org/officeDocument/2006/relationships/hyperlink" Target="https://link.springer.com/chapter/10.1007/978-3-030-97582-1_3" TargetMode="Externa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rgipark.org.tr/en/pub/bajece/issue/36581/41580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faidnbmnnnibpcajpcglclefindmkaj/https://www.fau.edu/graduate/documents/graduate/faculty-and-staff/graduate-council/docs/03212019/NCP-ACG5176.pdf"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2307/2347162" TargetMode="External"/><Relationship Id="rId38" Type="http://schemas.openxmlformats.org/officeDocument/2006/relationships/hyperlink" Target="https://www.fool.co.uk/2023/07/23/which-is-better-value-the-aviva-or-legal-general-share-price/" TargetMode="External"/><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3972CE69AE48899A2039B2DA9ABD4F"/>
        <w:category>
          <w:name w:val="General"/>
          <w:gallery w:val="placeholder"/>
        </w:category>
        <w:types>
          <w:type w:val="bbPlcHdr"/>
        </w:types>
        <w:behaviors>
          <w:behavior w:val="content"/>
        </w:behaviors>
        <w:guid w:val="{8681BCC3-A842-4EB5-A811-521DC2B0AE7D}"/>
      </w:docPartPr>
      <w:docPartBody>
        <w:p w:rsidR="00000000" w:rsidRDefault="00E53AFD">
          <w:pPr>
            <w:pStyle w:val="FC3972CE69AE48899A2039B2DA9ABD4F"/>
          </w:pPr>
          <w:r>
            <w:t>Click here to enter text.</w:t>
          </w:r>
        </w:p>
      </w:docPartBody>
    </w:docPart>
    <w:docPart>
      <w:docPartPr>
        <w:name w:val="9DD60978709C45C6BCF30BEB09E4D71E"/>
        <w:category>
          <w:name w:val="General"/>
          <w:gallery w:val="placeholder"/>
        </w:category>
        <w:types>
          <w:type w:val="bbPlcHdr"/>
        </w:types>
        <w:behaviors>
          <w:behavior w:val="content"/>
        </w:behaviors>
        <w:guid w:val="{2A4019EF-EDC6-4FBC-8FE4-B1DB04943850}"/>
      </w:docPartPr>
      <w:docPartBody>
        <w:p w:rsidR="00000000" w:rsidRDefault="00E53AFD">
          <w:pPr>
            <w:pStyle w:val="9DD60978709C45C6BCF30BEB09E4D71E"/>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3972CE69AE48899A2039B2DA9ABD4F">
    <w:name w:val="FC3972CE69AE48899A2039B2DA9ABD4F"/>
  </w:style>
  <w:style w:type="paragraph" w:customStyle="1" w:styleId="9DD60978709C45C6BCF30BEB09E4D71E">
    <w:name w:val="9DD60978709C45C6BCF30BEB09E4D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7E040-739E-41CB-92D3-47334EDE4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Links>
    <vt:vector size="264" baseType="variant">
      <vt:variant>
        <vt:i4>7274575</vt:i4>
      </vt:variant>
      <vt:variant>
        <vt:i4>288</vt:i4>
      </vt:variant>
      <vt:variant>
        <vt:i4>0</vt:i4>
      </vt:variant>
      <vt:variant>
        <vt:i4>5</vt:i4>
      </vt:variant>
      <vt:variant>
        <vt:lpwstr>https://link.springer.com/chapter/10.1007/978-3-030-97582-1_3</vt:lpwstr>
      </vt:variant>
      <vt:variant>
        <vt:lpwstr/>
      </vt:variant>
      <vt:variant>
        <vt:i4>2097252</vt:i4>
      </vt:variant>
      <vt:variant>
        <vt:i4>285</vt:i4>
      </vt:variant>
      <vt:variant>
        <vt:i4>0</vt:i4>
      </vt:variant>
      <vt:variant>
        <vt:i4>5</vt:i4>
      </vt:variant>
      <vt:variant>
        <vt:lpwstr>https://ideas.repec.org/a/fru/finjrn/190106p66-75.html</vt:lpwstr>
      </vt:variant>
      <vt:variant>
        <vt:lpwstr/>
      </vt:variant>
      <vt:variant>
        <vt:i4>3866666</vt:i4>
      </vt:variant>
      <vt:variant>
        <vt:i4>282</vt:i4>
      </vt:variant>
      <vt:variant>
        <vt:i4>0</vt:i4>
      </vt:variant>
      <vt:variant>
        <vt:i4>5</vt:i4>
      </vt:variant>
      <vt:variant>
        <vt:lpwstr>https://www.fool.co.uk/2023/07/23/which-is-better-value-the-aviva-or-legal-general-share-price/</vt:lpwstr>
      </vt:variant>
      <vt:variant>
        <vt:lpwstr/>
      </vt:variant>
      <vt:variant>
        <vt:i4>5701663</vt:i4>
      </vt:variant>
      <vt:variant>
        <vt:i4>279</vt:i4>
      </vt:variant>
      <vt:variant>
        <vt:i4>0</vt:i4>
      </vt:variant>
      <vt:variant>
        <vt:i4>5</vt:i4>
      </vt:variant>
      <vt:variant>
        <vt:lpwstr>https://www.ceeol.com/search/article-detail?id=746740</vt:lpwstr>
      </vt:variant>
      <vt:variant>
        <vt:lpwstr/>
      </vt:variant>
      <vt:variant>
        <vt:i4>1638495</vt:i4>
      </vt:variant>
      <vt:variant>
        <vt:i4>276</vt:i4>
      </vt:variant>
      <vt:variant>
        <vt:i4>0</vt:i4>
      </vt:variant>
      <vt:variant>
        <vt:i4>5</vt:i4>
      </vt:variant>
      <vt:variant>
        <vt:lpwstr>https://dergipark.org.tr/en/pub/bajece/issue/36581/415804</vt:lpwstr>
      </vt:variant>
      <vt:variant>
        <vt:lpwstr/>
      </vt:variant>
      <vt:variant>
        <vt:i4>1048596</vt:i4>
      </vt:variant>
      <vt:variant>
        <vt:i4>273</vt:i4>
      </vt:variant>
      <vt:variant>
        <vt:i4>0</vt:i4>
      </vt:variant>
      <vt:variant>
        <vt:i4>5</vt:i4>
      </vt:variant>
      <vt:variant>
        <vt:lpwstr>https://efaidnbmnnnibpcajpcglclefindmkaj/https://www.fau.edu/graduate/documents/graduate/faculty-and-staff/graduate-council/docs/03212019/NCP-ACG5176.pdf</vt:lpwstr>
      </vt:variant>
      <vt:variant>
        <vt:lpwstr/>
      </vt:variant>
      <vt:variant>
        <vt:i4>2752572</vt:i4>
      </vt:variant>
      <vt:variant>
        <vt:i4>270</vt:i4>
      </vt:variant>
      <vt:variant>
        <vt:i4>0</vt:i4>
      </vt:variant>
      <vt:variant>
        <vt:i4>5</vt:i4>
      </vt:variant>
      <vt:variant>
        <vt:lpwstr>https://doi.org/10.1016/j.jedc.2005.08.014</vt:lpwstr>
      </vt:variant>
      <vt:variant>
        <vt:lpwstr/>
      </vt:variant>
      <vt:variant>
        <vt:i4>2228329</vt:i4>
      </vt:variant>
      <vt:variant>
        <vt:i4>267</vt:i4>
      </vt:variant>
      <vt:variant>
        <vt:i4>0</vt:i4>
      </vt:variant>
      <vt:variant>
        <vt:i4>5</vt:i4>
      </vt:variant>
      <vt:variant>
        <vt:lpwstr>https://doi.org/10.2307/2347162</vt:lpwstr>
      </vt:variant>
      <vt:variant>
        <vt:lpwstr/>
      </vt:variant>
      <vt:variant>
        <vt:i4>4325455</vt:i4>
      </vt:variant>
      <vt:variant>
        <vt:i4>264</vt:i4>
      </vt:variant>
      <vt:variant>
        <vt:i4>0</vt:i4>
      </vt:variant>
      <vt:variant>
        <vt:i4>5</vt:i4>
      </vt:variant>
      <vt:variant>
        <vt:lpwstr>https://doi.org/10.1016/j.renene.2009.10.037</vt:lpwstr>
      </vt:variant>
      <vt:variant>
        <vt:lpwstr/>
      </vt:variant>
      <vt:variant>
        <vt:i4>1114161</vt:i4>
      </vt:variant>
      <vt:variant>
        <vt:i4>209</vt:i4>
      </vt:variant>
      <vt:variant>
        <vt:i4>0</vt:i4>
      </vt:variant>
      <vt:variant>
        <vt:i4>5</vt:i4>
      </vt:variant>
      <vt:variant>
        <vt:lpwstr/>
      </vt:variant>
      <vt:variant>
        <vt:lpwstr>_Toc161314076</vt:lpwstr>
      </vt:variant>
      <vt:variant>
        <vt:i4>1114161</vt:i4>
      </vt:variant>
      <vt:variant>
        <vt:i4>203</vt:i4>
      </vt:variant>
      <vt:variant>
        <vt:i4>0</vt:i4>
      </vt:variant>
      <vt:variant>
        <vt:i4>5</vt:i4>
      </vt:variant>
      <vt:variant>
        <vt:lpwstr/>
      </vt:variant>
      <vt:variant>
        <vt:lpwstr>_Toc161314075</vt:lpwstr>
      </vt:variant>
      <vt:variant>
        <vt:i4>1114161</vt:i4>
      </vt:variant>
      <vt:variant>
        <vt:i4>197</vt:i4>
      </vt:variant>
      <vt:variant>
        <vt:i4>0</vt:i4>
      </vt:variant>
      <vt:variant>
        <vt:i4>5</vt:i4>
      </vt:variant>
      <vt:variant>
        <vt:lpwstr/>
      </vt:variant>
      <vt:variant>
        <vt:lpwstr>_Toc161314074</vt:lpwstr>
      </vt:variant>
      <vt:variant>
        <vt:i4>1114161</vt:i4>
      </vt:variant>
      <vt:variant>
        <vt:i4>191</vt:i4>
      </vt:variant>
      <vt:variant>
        <vt:i4>0</vt:i4>
      </vt:variant>
      <vt:variant>
        <vt:i4>5</vt:i4>
      </vt:variant>
      <vt:variant>
        <vt:lpwstr/>
      </vt:variant>
      <vt:variant>
        <vt:lpwstr>_Toc161314073</vt:lpwstr>
      </vt:variant>
      <vt:variant>
        <vt:i4>1114161</vt:i4>
      </vt:variant>
      <vt:variant>
        <vt:i4>185</vt:i4>
      </vt:variant>
      <vt:variant>
        <vt:i4>0</vt:i4>
      </vt:variant>
      <vt:variant>
        <vt:i4>5</vt:i4>
      </vt:variant>
      <vt:variant>
        <vt:lpwstr/>
      </vt:variant>
      <vt:variant>
        <vt:lpwstr>_Toc161314072</vt:lpwstr>
      </vt:variant>
      <vt:variant>
        <vt:i4>1114161</vt:i4>
      </vt:variant>
      <vt:variant>
        <vt:i4>179</vt:i4>
      </vt:variant>
      <vt:variant>
        <vt:i4>0</vt:i4>
      </vt:variant>
      <vt:variant>
        <vt:i4>5</vt:i4>
      </vt:variant>
      <vt:variant>
        <vt:lpwstr/>
      </vt:variant>
      <vt:variant>
        <vt:lpwstr>_Toc161314071</vt:lpwstr>
      </vt:variant>
      <vt:variant>
        <vt:i4>1114161</vt:i4>
      </vt:variant>
      <vt:variant>
        <vt:i4>173</vt:i4>
      </vt:variant>
      <vt:variant>
        <vt:i4>0</vt:i4>
      </vt:variant>
      <vt:variant>
        <vt:i4>5</vt:i4>
      </vt:variant>
      <vt:variant>
        <vt:lpwstr/>
      </vt:variant>
      <vt:variant>
        <vt:lpwstr>_Toc161314070</vt:lpwstr>
      </vt:variant>
      <vt:variant>
        <vt:i4>1048625</vt:i4>
      </vt:variant>
      <vt:variant>
        <vt:i4>167</vt:i4>
      </vt:variant>
      <vt:variant>
        <vt:i4>0</vt:i4>
      </vt:variant>
      <vt:variant>
        <vt:i4>5</vt:i4>
      </vt:variant>
      <vt:variant>
        <vt:lpwstr/>
      </vt:variant>
      <vt:variant>
        <vt:lpwstr>_Toc161314069</vt:lpwstr>
      </vt:variant>
      <vt:variant>
        <vt:i4>1048625</vt:i4>
      </vt:variant>
      <vt:variant>
        <vt:i4>161</vt:i4>
      </vt:variant>
      <vt:variant>
        <vt:i4>0</vt:i4>
      </vt:variant>
      <vt:variant>
        <vt:i4>5</vt:i4>
      </vt:variant>
      <vt:variant>
        <vt:lpwstr/>
      </vt:variant>
      <vt:variant>
        <vt:lpwstr>_Toc161314068</vt:lpwstr>
      </vt:variant>
      <vt:variant>
        <vt:i4>1048625</vt:i4>
      </vt:variant>
      <vt:variant>
        <vt:i4>155</vt:i4>
      </vt:variant>
      <vt:variant>
        <vt:i4>0</vt:i4>
      </vt:variant>
      <vt:variant>
        <vt:i4>5</vt:i4>
      </vt:variant>
      <vt:variant>
        <vt:lpwstr/>
      </vt:variant>
      <vt:variant>
        <vt:lpwstr>_Toc161314067</vt:lpwstr>
      </vt:variant>
      <vt:variant>
        <vt:i4>1048625</vt:i4>
      </vt:variant>
      <vt:variant>
        <vt:i4>149</vt:i4>
      </vt:variant>
      <vt:variant>
        <vt:i4>0</vt:i4>
      </vt:variant>
      <vt:variant>
        <vt:i4>5</vt:i4>
      </vt:variant>
      <vt:variant>
        <vt:lpwstr/>
      </vt:variant>
      <vt:variant>
        <vt:lpwstr>_Toc161314066</vt:lpwstr>
      </vt:variant>
      <vt:variant>
        <vt:i4>1048625</vt:i4>
      </vt:variant>
      <vt:variant>
        <vt:i4>143</vt:i4>
      </vt:variant>
      <vt:variant>
        <vt:i4>0</vt:i4>
      </vt:variant>
      <vt:variant>
        <vt:i4>5</vt:i4>
      </vt:variant>
      <vt:variant>
        <vt:lpwstr/>
      </vt:variant>
      <vt:variant>
        <vt:lpwstr>_Toc161314065</vt:lpwstr>
      </vt:variant>
      <vt:variant>
        <vt:i4>1048625</vt:i4>
      </vt:variant>
      <vt:variant>
        <vt:i4>137</vt:i4>
      </vt:variant>
      <vt:variant>
        <vt:i4>0</vt:i4>
      </vt:variant>
      <vt:variant>
        <vt:i4>5</vt:i4>
      </vt:variant>
      <vt:variant>
        <vt:lpwstr/>
      </vt:variant>
      <vt:variant>
        <vt:lpwstr>_Toc161314064</vt:lpwstr>
      </vt:variant>
      <vt:variant>
        <vt:i4>1048625</vt:i4>
      </vt:variant>
      <vt:variant>
        <vt:i4>131</vt:i4>
      </vt:variant>
      <vt:variant>
        <vt:i4>0</vt:i4>
      </vt:variant>
      <vt:variant>
        <vt:i4>5</vt:i4>
      </vt:variant>
      <vt:variant>
        <vt:lpwstr/>
      </vt:variant>
      <vt:variant>
        <vt:lpwstr>_Toc161314063</vt:lpwstr>
      </vt:variant>
      <vt:variant>
        <vt:i4>1048625</vt:i4>
      </vt:variant>
      <vt:variant>
        <vt:i4>125</vt:i4>
      </vt:variant>
      <vt:variant>
        <vt:i4>0</vt:i4>
      </vt:variant>
      <vt:variant>
        <vt:i4>5</vt:i4>
      </vt:variant>
      <vt:variant>
        <vt:lpwstr/>
      </vt:variant>
      <vt:variant>
        <vt:lpwstr>_Toc161314062</vt:lpwstr>
      </vt:variant>
      <vt:variant>
        <vt:i4>1048625</vt:i4>
      </vt:variant>
      <vt:variant>
        <vt:i4>119</vt:i4>
      </vt:variant>
      <vt:variant>
        <vt:i4>0</vt:i4>
      </vt:variant>
      <vt:variant>
        <vt:i4>5</vt:i4>
      </vt:variant>
      <vt:variant>
        <vt:lpwstr/>
      </vt:variant>
      <vt:variant>
        <vt:lpwstr>_Toc161314061</vt:lpwstr>
      </vt:variant>
      <vt:variant>
        <vt:i4>1048627</vt:i4>
      </vt:variant>
      <vt:variant>
        <vt:i4>110</vt:i4>
      </vt:variant>
      <vt:variant>
        <vt:i4>0</vt:i4>
      </vt:variant>
      <vt:variant>
        <vt:i4>5</vt:i4>
      </vt:variant>
      <vt:variant>
        <vt:lpwstr/>
      </vt:variant>
      <vt:variant>
        <vt:lpwstr>_Toc161312206</vt:lpwstr>
      </vt:variant>
      <vt:variant>
        <vt:i4>1048627</vt:i4>
      </vt:variant>
      <vt:variant>
        <vt:i4>104</vt:i4>
      </vt:variant>
      <vt:variant>
        <vt:i4>0</vt:i4>
      </vt:variant>
      <vt:variant>
        <vt:i4>5</vt:i4>
      </vt:variant>
      <vt:variant>
        <vt:lpwstr/>
      </vt:variant>
      <vt:variant>
        <vt:lpwstr>_Toc161312205</vt:lpwstr>
      </vt:variant>
      <vt:variant>
        <vt:i4>1048627</vt:i4>
      </vt:variant>
      <vt:variant>
        <vt:i4>98</vt:i4>
      </vt:variant>
      <vt:variant>
        <vt:i4>0</vt:i4>
      </vt:variant>
      <vt:variant>
        <vt:i4>5</vt:i4>
      </vt:variant>
      <vt:variant>
        <vt:lpwstr/>
      </vt:variant>
      <vt:variant>
        <vt:lpwstr>_Toc161312204</vt:lpwstr>
      </vt:variant>
      <vt:variant>
        <vt:i4>1048627</vt:i4>
      </vt:variant>
      <vt:variant>
        <vt:i4>92</vt:i4>
      </vt:variant>
      <vt:variant>
        <vt:i4>0</vt:i4>
      </vt:variant>
      <vt:variant>
        <vt:i4>5</vt:i4>
      </vt:variant>
      <vt:variant>
        <vt:lpwstr/>
      </vt:variant>
      <vt:variant>
        <vt:lpwstr>_Toc161312203</vt:lpwstr>
      </vt:variant>
      <vt:variant>
        <vt:i4>1048627</vt:i4>
      </vt:variant>
      <vt:variant>
        <vt:i4>86</vt:i4>
      </vt:variant>
      <vt:variant>
        <vt:i4>0</vt:i4>
      </vt:variant>
      <vt:variant>
        <vt:i4>5</vt:i4>
      </vt:variant>
      <vt:variant>
        <vt:lpwstr/>
      </vt:variant>
      <vt:variant>
        <vt:lpwstr>_Toc161312202</vt:lpwstr>
      </vt:variant>
      <vt:variant>
        <vt:i4>1048627</vt:i4>
      </vt:variant>
      <vt:variant>
        <vt:i4>80</vt:i4>
      </vt:variant>
      <vt:variant>
        <vt:i4>0</vt:i4>
      </vt:variant>
      <vt:variant>
        <vt:i4>5</vt:i4>
      </vt:variant>
      <vt:variant>
        <vt:lpwstr/>
      </vt:variant>
      <vt:variant>
        <vt:lpwstr>_Toc161312201</vt:lpwstr>
      </vt:variant>
      <vt:variant>
        <vt:i4>1048627</vt:i4>
      </vt:variant>
      <vt:variant>
        <vt:i4>74</vt:i4>
      </vt:variant>
      <vt:variant>
        <vt:i4>0</vt:i4>
      </vt:variant>
      <vt:variant>
        <vt:i4>5</vt:i4>
      </vt:variant>
      <vt:variant>
        <vt:lpwstr/>
      </vt:variant>
      <vt:variant>
        <vt:lpwstr>_Toc161312200</vt:lpwstr>
      </vt:variant>
      <vt:variant>
        <vt:i4>1638448</vt:i4>
      </vt:variant>
      <vt:variant>
        <vt:i4>68</vt:i4>
      </vt:variant>
      <vt:variant>
        <vt:i4>0</vt:i4>
      </vt:variant>
      <vt:variant>
        <vt:i4>5</vt:i4>
      </vt:variant>
      <vt:variant>
        <vt:lpwstr/>
      </vt:variant>
      <vt:variant>
        <vt:lpwstr>_Toc161312199</vt:lpwstr>
      </vt:variant>
      <vt:variant>
        <vt:i4>1638448</vt:i4>
      </vt:variant>
      <vt:variant>
        <vt:i4>62</vt:i4>
      </vt:variant>
      <vt:variant>
        <vt:i4>0</vt:i4>
      </vt:variant>
      <vt:variant>
        <vt:i4>5</vt:i4>
      </vt:variant>
      <vt:variant>
        <vt:lpwstr/>
      </vt:variant>
      <vt:variant>
        <vt:lpwstr>_Toc161312198</vt:lpwstr>
      </vt:variant>
      <vt:variant>
        <vt:i4>1638448</vt:i4>
      </vt:variant>
      <vt:variant>
        <vt:i4>56</vt:i4>
      </vt:variant>
      <vt:variant>
        <vt:i4>0</vt:i4>
      </vt:variant>
      <vt:variant>
        <vt:i4>5</vt:i4>
      </vt:variant>
      <vt:variant>
        <vt:lpwstr/>
      </vt:variant>
      <vt:variant>
        <vt:lpwstr>_Toc161312197</vt:lpwstr>
      </vt:variant>
      <vt:variant>
        <vt:i4>1638448</vt:i4>
      </vt:variant>
      <vt:variant>
        <vt:i4>50</vt:i4>
      </vt:variant>
      <vt:variant>
        <vt:i4>0</vt:i4>
      </vt:variant>
      <vt:variant>
        <vt:i4>5</vt:i4>
      </vt:variant>
      <vt:variant>
        <vt:lpwstr/>
      </vt:variant>
      <vt:variant>
        <vt:lpwstr>_Toc161312196</vt:lpwstr>
      </vt:variant>
      <vt:variant>
        <vt:i4>1638448</vt:i4>
      </vt:variant>
      <vt:variant>
        <vt:i4>44</vt:i4>
      </vt:variant>
      <vt:variant>
        <vt:i4>0</vt:i4>
      </vt:variant>
      <vt:variant>
        <vt:i4>5</vt:i4>
      </vt:variant>
      <vt:variant>
        <vt:lpwstr/>
      </vt:variant>
      <vt:variant>
        <vt:lpwstr>_Toc161312195</vt:lpwstr>
      </vt:variant>
      <vt:variant>
        <vt:i4>1638448</vt:i4>
      </vt:variant>
      <vt:variant>
        <vt:i4>38</vt:i4>
      </vt:variant>
      <vt:variant>
        <vt:i4>0</vt:i4>
      </vt:variant>
      <vt:variant>
        <vt:i4>5</vt:i4>
      </vt:variant>
      <vt:variant>
        <vt:lpwstr/>
      </vt:variant>
      <vt:variant>
        <vt:lpwstr>_Toc161312194</vt:lpwstr>
      </vt:variant>
      <vt:variant>
        <vt:i4>1638448</vt:i4>
      </vt:variant>
      <vt:variant>
        <vt:i4>32</vt:i4>
      </vt:variant>
      <vt:variant>
        <vt:i4>0</vt:i4>
      </vt:variant>
      <vt:variant>
        <vt:i4>5</vt:i4>
      </vt:variant>
      <vt:variant>
        <vt:lpwstr/>
      </vt:variant>
      <vt:variant>
        <vt:lpwstr>_Toc161312193</vt:lpwstr>
      </vt:variant>
      <vt:variant>
        <vt:i4>1638448</vt:i4>
      </vt:variant>
      <vt:variant>
        <vt:i4>26</vt:i4>
      </vt:variant>
      <vt:variant>
        <vt:i4>0</vt:i4>
      </vt:variant>
      <vt:variant>
        <vt:i4>5</vt:i4>
      </vt:variant>
      <vt:variant>
        <vt:lpwstr/>
      </vt:variant>
      <vt:variant>
        <vt:lpwstr>_Toc161312192</vt:lpwstr>
      </vt:variant>
      <vt:variant>
        <vt:i4>1638448</vt:i4>
      </vt:variant>
      <vt:variant>
        <vt:i4>20</vt:i4>
      </vt:variant>
      <vt:variant>
        <vt:i4>0</vt:i4>
      </vt:variant>
      <vt:variant>
        <vt:i4>5</vt:i4>
      </vt:variant>
      <vt:variant>
        <vt:lpwstr/>
      </vt:variant>
      <vt:variant>
        <vt:lpwstr>_Toc161312191</vt:lpwstr>
      </vt:variant>
      <vt:variant>
        <vt:i4>1638448</vt:i4>
      </vt:variant>
      <vt:variant>
        <vt:i4>14</vt:i4>
      </vt:variant>
      <vt:variant>
        <vt:i4>0</vt:i4>
      </vt:variant>
      <vt:variant>
        <vt:i4>5</vt:i4>
      </vt:variant>
      <vt:variant>
        <vt:lpwstr/>
      </vt:variant>
      <vt:variant>
        <vt:lpwstr>_Toc161312190</vt:lpwstr>
      </vt:variant>
      <vt:variant>
        <vt:i4>1572912</vt:i4>
      </vt:variant>
      <vt:variant>
        <vt:i4>8</vt:i4>
      </vt:variant>
      <vt:variant>
        <vt:i4>0</vt:i4>
      </vt:variant>
      <vt:variant>
        <vt:i4>5</vt:i4>
      </vt:variant>
      <vt:variant>
        <vt:lpwstr/>
      </vt:variant>
      <vt:variant>
        <vt:lpwstr>_Toc161312189</vt:lpwstr>
      </vt:variant>
      <vt:variant>
        <vt:i4>1572912</vt:i4>
      </vt:variant>
      <vt:variant>
        <vt:i4>2</vt:i4>
      </vt:variant>
      <vt:variant>
        <vt:i4>0</vt:i4>
      </vt:variant>
      <vt:variant>
        <vt:i4>5</vt:i4>
      </vt:variant>
      <vt:variant>
        <vt:lpwstr/>
      </vt:variant>
      <vt:variant>
        <vt:lpwstr>_Toc161312188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Nidhi dineshkumar Mehta (U2291532)</cp:lastModifiedBy>
  <cp:revision>2</cp:revision>
  <dcterms:created xsi:type="dcterms:W3CDTF">2024-03-18T12:02:00Z</dcterms:created>
  <dcterms:modified xsi:type="dcterms:W3CDTF">2024-03-18T12:02:00Z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Submission File 19th March.docx</vt:lpwstr>
  </property>
  <property fmtid="{D5CDD505-2E9C-101B-9397-08002B2CF9AE}" pid="3" name="TII_WORD_DOCUMENT_ID">
    <vt:lpwstr>ad6b896e-f07b-49fc-b6bf-90214e196d35</vt:lpwstr>
  </property>
  <property fmtid="{D5CDD505-2E9C-101B-9397-08002B2CF9AE}" pid="4" name="TII_WORD_DOCUMENT_HASH">
    <vt:lpwstr>34a86f4a2a083812bb532f17f9f0f5dcd7679c9800875b3055391ed9191c0b30</vt:lpwstr>
  </property>
</Properties>
</file>