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Findings Summary</w:t>
      </w:r>
    </w:p>
    <w:p>
      <w:pPr>
        <w:pStyle w:val="Heading1"/>
      </w:pPr>
      <w:r>
        <w:t>1. Executive Audit Overview</w:t>
      </w:r>
    </w:p>
    <w:p>
      <w:r>
        <w:t>Confidential internal compliance assessment conducted by external QA auditors for executive leadership.</w:t>
      </w:r>
    </w:p>
    <w:p>
      <w:r>
        <w:t>This report is restricted to management personnel only.</w:t>
      </w:r>
    </w:p>
    <w:p>
      <w:pPr>
        <w:pStyle w:val="Heading1"/>
      </w:pPr>
      <w:r>
        <w:t>2. Recurring Quality Findings</w:t>
      </w:r>
    </w:p>
    <w:p>
      <w:r>
        <w:t>The audit identified a recurring deviation: temperature excursions in cold-chain storage during Q2 and Q3.</w:t>
      </w:r>
    </w:p>
    <w:p>
      <w:r>
        <w:t>Priya Rao, QA Lead, owns deviation management and was requested by Dr. Meera Iyer to initiate remediation.</w:t>
      </w:r>
    </w:p>
    <w:p>
      <w:r>
        <w:t>Management must review preventive CAPA implementation timelines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