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Integrity Policy</w:t>
      </w:r>
    </w:p>
    <w:p>
      <w:pPr>
        <w:pStyle w:val="Heading1"/>
      </w:pPr>
      <w:r>
        <w:t>1. ALCOA+ Principles</w:t>
      </w:r>
    </w:p>
    <w:p>
      <w:r>
        <w:t>All data generated across Novacure Labs must be Attributable, Legible, Contemporaneous, Original, and Accurate.</w:t>
      </w:r>
    </w:p>
    <w:p>
      <w:r>
        <w:t>Audit trails must remain enabled at all times on validated computerized systems.</w:t>
      </w:r>
    </w:p>
    <w:p>
      <w:pPr>
        <w:pStyle w:val="Heading1"/>
      </w:pPr>
      <w:r>
        <w:t>2. Governance and Oversight</w:t>
      </w:r>
    </w:p>
    <w:p>
      <w:r>
        <w:t>Kavya Nair and Priya Rao oversee data integrity compliance checks across departments.</w:t>
      </w:r>
    </w:p>
    <w:p>
      <w:r>
        <w:t>Any intentional or accidental falsification constitutes a critical deviation.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