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Integrity Policy</w:t>
      </w:r>
    </w:p>
    <w:p>
      <w:r>
        <w:t>Document ID: DI-001 | Version: v1.2 | Date: 2025-02-14 | Author: Dr. Meera Iyer | Owner: Dr. Meera Iyer</w:t>
      </w:r>
    </w:p>
    <w:p>
      <w:pPr>
        <w:pStyle w:val="Heading2"/>
      </w:pPr>
      <w:r>
        <w:t>1. Policy Statement</w:t>
      </w:r>
    </w:p>
    <w:p>
      <w:r>
        <w:t>Novacure Labs strictly enforces data integrity principles across all computerized systems, laboratory instrumentation, paper records, and data archives. Truthful, contemporaneous, and uncompromised data is the core of our license to operate.</w:t>
      </w:r>
    </w:p>
    <w:p>
      <w:pPr>
        <w:pStyle w:val="Heading2"/>
      </w:pPr>
      <w:r>
        <w:t>2. ALCOA+ Principles</w:t>
      </w:r>
    </w:p>
    <w:p>
      <w:r>
        <w:t>All GxP data generated must be Attributable, Legible, Contemporaneous, Original, and Accurate. In addition, data must remain Complete, Consistent, Enduring, and Available throughout the record retention period.</w:t>
      </w:r>
    </w:p>
    <w:p>
      <w:pPr>
        <w:pStyle w:val="Heading2"/>
      </w:pPr>
      <w:r>
        <w:t>3. Electronic System Controls</w:t>
      </w:r>
    </w:p>
    <w:p>
      <w:r>
        <w:t>Computerized systems must feature role-based permissions, unique user credentials, and active automated audit trails. Shared generic passwords are categorically prohibited. Audit trail reviews must be executed prior to batch release.</w:t>
      </w:r>
    </w:p>
    <w:p>
      <w:pPr>
        <w:pStyle w:val="Heading2"/>
      </w:pPr>
      <w:r>
        <w:t>4. Enforcement and Governance</w:t>
      </w:r>
    </w:p>
    <w:p>
      <w:r>
        <w:t>Authored and authorized by Dr. Meera Iyer, QA Head. Any deliberate manipulation, backdating, deletion, or omission of GxP data constitutes gross misconduct and grounds for immediate dismissal and regulatory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