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0E7490"/>
          <w:sz w:val="40"/>
        </w:rPr>
        <w:t>SENTINEL FORENSIC SECURITY &amp; NETWORK SNIFFING SUITE</w:t>
      </w:r>
    </w:p>
    <w:p>
      <w:pPr>
        <w:spacing w:after="280"/>
      </w:pPr>
      <w:r>
        <w:rPr>
          <w:i/>
          <w:color w:val="64748B"/>
          <w:sz w:val="22"/>
        </w:rPr>
        <w:t>Technical Architecture Reference, Deep Packet Inspection (DPI) &amp; Web Zenmap Operating Manual — Version 4.0 (Enterprise Edition)</w:t>
      </w:r>
    </w:p>
    <w:tbl>
      <w:tblPr>
        <w:tblW w:type="auto" w:w="0"/>
        <w:jc w:val="center"/>
        <w:tblLook w:firstColumn="1" w:firstRow="1" w:lastColumn="0" w:lastRow="0" w:noHBand="0" w:noVBand="1" w:val="04A0"/>
      </w:tblPr>
      <w:tblGrid>
        <w:gridCol w:w="2484"/>
        <w:gridCol w:w="2484"/>
        <w:gridCol w:w="2484"/>
        <w:gridCol w:w="2484"/>
      </w:tblGrid>
      <w:tr>
        <w:tc>
          <w:tcPr>
            <w:tcW w:type="dxa" w:w="2484"/>
            <w:shd w:fill="F1F5F9"/>
          </w:tcPr>
          <w:p>
            <w:pPr>
              <w:spacing w:after="40"/>
            </w:pPr>
            <w:r>
              <w:rPr>
                <w:b/>
                <w:color w:val="64748B"/>
                <w:sz w:val="17"/>
              </w:rPr>
              <w:t>Document Version</w:t>
            </w:r>
          </w:p>
        </w:tc>
        <w:tc>
          <w:tcPr>
            <w:tcW w:type="dxa" w:w="2484"/>
            <w:shd w:fill="F1F5F9"/>
          </w:tcPr>
          <w:p>
            <w:pPr>
              <w:spacing w:after="40"/>
            </w:pPr>
            <w:r>
              <w:rPr>
                <w:b/>
                <w:color w:val="64748B"/>
                <w:sz w:val="17"/>
              </w:rPr>
              <w:t>Platform Target</w:t>
            </w:r>
          </w:p>
        </w:tc>
        <w:tc>
          <w:tcPr>
            <w:tcW w:type="dxa" w:w="2484"/>
            <w:shd w:fill="F1F5F9"/>
          </w:tcPr>
          <w:p>
            <w:pPr>
              <w:spacing w:after="40"/>
            </w:pPr>
            <w:r>
              <w:rPr>
                <w:b/>
                <w:color w:val="64748B"/>
                <w:sz w:val="17"/>
              </w:rPr>
              <w:t>Engines Included</w:t>
            </w:r>
          </w:p>
        </w:tc>
        <w:tc>
          <w:tcPr>
            <w:tcW w:type="dxa" w:w="2484"/>
            <w:shd w:fill="F1F5F9"/>
          </w:tcPr>
          <w:p>
            <w:pPr>
              <w:spacing w:after="40"/>
            </w:pPr>
            <w:r>
              <w:rPr>
                <w:b/>
                <w:color w:val="64748B"/>
                <w:sz w:val="17"/>
              </w:rPr>
              <w:t>Verification Status</w:t>
            </w:r>
          </w:p>
        </w:tc>
      </w:tr>
      <w:tr>
        <w:tc>
          <w:tcPr>
            <w:tcW w:type="dxa" w:w="2484"/>
            <w:shd w:fill="F8FAFC"/>
          </w:tcPr>
          <w:p>
            <w:pPr>
              <w:spacing w:after="40"/>
            </w:pPr>
            <w:r>
              <w:rPr>
                <w:b/>
                <w:color w:val="1E293B"/>
                <w:sz w:val="18"/>
              </w:rPr>
              <w:t>v4.0 (Master Release)</w:t>
            </w:r>
          </w:p>
        </w:tc>
        <w:tc>
          <w:tcPr>
            <w:tcW w:type="dxa" w:w="2484"/>
            <w:shd w:fill="F8FAFC"/>
          </w:tcPr>
          <w:p>
            <w:pPr>
              <w:spacing w:after="40"/>
            </w:pPr>
            <w:r>
              <w:rPr>
                <w:b/>
                <w:color w:val="1E293B"/>
                <w:sz w:val="18"/>
              </w:rPr>
              <w:t>React 19 + FastAPI + Node</w:t>
            </w:r>
          </w:p>
        </w:tc>
        <w:tc>
          <w:tcPr>
            <w:tcW w:type="dxa" w:w="2484"/>
            <w:shd w:fill="F8FAFC"/>
          </w:tcPr>
          <w:p>
            <w:pPr>
              <w:spacing w:after="40"/>
            </w:pPr>
            <w:r>
              <w:rPr>
                <w:b/>
                <w:color w:val="1E293B"/>
                <w:sz w:val="18"/>
              </w:rPr>
              <w:t>DPI, Zenmap, Repeater, DAST</w:t>
            </w:r>
          </w:p>
        </w:tc>
        <w:tc>
          <w:tcPr>
            <w:tcW w:type="dxa" w:w="2484"/>
            <w:shd w:fill="F8FAFC"/>
          </w:tcPr>
          <w:p>
            <w:pPr>
              <w:spacing w:after="40"/>
            </w:pPr>
            <w:r>
              <w:rPr>
                <w:b/>
                <w:color w:val="1E293B"/>
                <w:sz w:val="18"/>
              </w:rPr>
              <w:t>31/31 Automated Tests (100%)</w:t>
            </w:r>
          </w:p>
        </w:tc>
      </w:tr>
    </w:tbl>
    <w:p>
      <w:pPr>
        <w:spacing w:after="160"/>
      </w:pPr>
    </w:p>
    <w:p>
      <w:pPr>
        <w:pStyle w:val="Heading1"/>
        <w:spacing w:before="240"/>
      </w:pPr>
      <w:r>
        <w:t>1. Fundamental Concepts of Packet Sniffing &amp; Kernel Capture</w:t>
      </w:r>
    </w:p>
    <w:p>
      <w:r>
        <w:t>Packet Sniffing is the programmatic capture, reassembly, and inspection of raw network frames as they traverse physical Ethernet wires, 802.11 Wi-Fi radio frequencies, or virtual software adapters. Under default operating conditions, a Network Interface Card (NIC) performs MAC address hardware filtering, silently discarding any frame not destined for its specific physical address. When an analyst initiates a capture in Sentinel, the network controller is placed into promiscuous mode (or monitor mode for wireless), instructing the hardware to copy every passing frame directly into the operating system's kernel packet buffer.</w:t>
      </w:r>
    </w:p>
    <w:p>
      <w:r>
        <w:t>Sentinel leverages the Npcap/WinPcap kernel-level packet capture driver on Windows and libpcap on Unix-like architectures. Through low-level hooks, the kernel delivers raw binary frames to the Sentinel FastAPI telemetry daemon, which decapsulates the multi-layered protocol stack in real-time:</w:t>
      </w:r>
    </w:p>
    <w:p>
      <w:pPr>
        <w:pStyle w:val="ListBullet"/>
        <w:spacing w:after="40"/>
      </w:pPr>
      <w:r>
        <w:rPr>
          <w:b/>
        </w:rPr>
        <w:t xml:space="preserve">Layer 2 (Data Link): </w:t>
      </w:r>
      <w:r>
        <w:t>Ethernet II frames containing Source/Destination MAC addresses and 802.1Q VLAN tags.</w:t>
      </w:r>
    </w:p>
    <w:p>
      <w:pPr>
        <w:pStyle w:val="ListBullet"/>
        <w:spacing w:after="40"/>
      </w:pPr>
      <w:r>
        <w:rPr>
          <w:b/>
        </w:rPr>
        <w:t xml:space="preserve">Layer 3 (Network): </w:t>
      </w:r>
      <w:r>
        <w:t>IPv4 and IPv6 headers with TTL/Hop Limits, fragmentation offsets, TOS/DSCP flags, and IP addresses.</w:t>
      </w:r>
    </w:p>
    <w:p>
      <w:pPr>
        <w:pStyle w:val="ListBullet"/>
        <w:spacing w:after="40"/>
      </w:pPr>
      <w:r>
        <w:rPr>
          <w:b/>
        </w:rPr>
        <w:t xml:space="preserve">Layer 4 (Transport): </w:t>
      </w:r>
      <w:r>
        <w:t>TCP sequence/acknowledgement numbers, window sizing, SYN/ACK/FIN flags, UDP datagrams, and QUIC connection IDs.</w:t>
      </w:r>
    </w:p>
    <w:p>
      <w:pPr>
        <w:pStyle w:val="ListBullet"/>
        <w:spacing w:after="40"/>
      </w:pPr>
      <w:r>
        <w:rPr>
          <w:b/>
        </w:rPr>
        <w:t xml:space="preserve">Layer 7 (Application): </w:t>
      </w:r>
      <w:r>
        <w:t>Unencrypted protocols (HTTP/1.1, DNS, FTP, SMTP, Redis) and decrypted TLS/HTTPS/QUIC cleartext streams.</w:t>
      </w:r>
    </w:p>
    <w:p>
      <w:pPr>
        <w:pStyle w:val="Heading1"/>
        <w:spacing w:before="280"/>
      </w:pPr>
      <w:r>
        <w:t>2. Sentinel Multi-Tier Forensic &amp; Assessment Architecture</w:t>
      </w:r>
    </w:p>
    <w:p>
      <w:r>
        <w:t>The Sentinel security suite utilizes an enterprise decoupled architecture with five distinct layers designed for non-blocking asynchronous throughput, strict memory bounding, and process safety:</w:t>
      </w:r>
    </w:p>
    <w:p>
      <w:pPr>
        <w:spacing w:after="60"/>
      </w:pPr>
      <w:r>
        <w:rPr>
          <w:b/>
          <w:color w:val="0E7490"/>
        </w:rPr>
        <w:t xml:space="preserve">• 1. Client Presentation Tier (React 19 + TypeScript + Vite): </w:t>
      </w:r>
      <w:r>
        <w:t>Features an ultra-modern glassmorphic SPA interface with Zustand state persistence, Recharts vulnerability telemetry, interactive D3/SVG radial concentric topology graphs, and raw byte-level request composer viewports.</w:t>
      </w:r>
    </w:p>
    <w:p>
      <w:pPr>
        <w:spacing w:after="60"/>
      </w:pPr>
      <w:r>
        <w:rPr>
          <w:b/>
          <w:color w:val="0E7490"/>
        </w:rPr>
        <w:t xml:space="preserve">• 2. Security Boundary &amp; API Gateway Tier (FastAPI &amp; Node Express): </w:t>
      </w:r>
      <w:r>
        <w:t>Enforces WAF dynamic IP blacklists, pre-flight SSRF guards blocking RFC1918 and Cloud Metadata (169.254.169.254), and asynchronous Token-Bucket per-target rate limiters.</w:t>
      </w:r>
    </w:p>
    <w:p>
      <w:pPr>
        <w:spacing w:after="60"/>
      </w:pPr>
      <w:r>
        <w:rPr>
          <w:b/>
          <w:color w:val="0E7490"/>
        </w:rPr>
        <w:t xml:space="preserve">• 3. Core Security &amp; Forensics Processing Tier: </w:t>
      </w:r>
      <w:r>
        <w:t>Consists of 10 specialized engines: SSL/TLS Auditor (Module 1), Scanner Orchestrator (Module 2), HTTP Repeater (Module 3), File Carver (Module 4), GeoIP/ASN Map (Module 5), C2 Beaconing Detector (Module 6), QUIC/HTTP3 Decryptor (Module 7), CVSS 3.1 Calculator (Module 8), Baseline Diff Scanner (Module 9), and Web Zenmap / Nmap Studio (Module 13).</w:t>
      </w:r>
    </w:p>
    <w:p>
      <w:pPr>
        <w:spacing w:after="60"/>
      </w:pPr>
      <w:r>
        <w:rPr>
          <w:b/>
          <w:color w:val="0E7490"/>
        </w:rPr>
        <w:t xml:space="preserve">• 4. Data Persistence Tier (SQLite WAL Mode): </w:t>
      </w:r>
      <w:r>
        <w:t>High-performance SQLite engine utilizing Write-Ahead Logging (WAL) and memory caching. Houses normalized tables: scan_findings, carved_artifacts, scan_reports, security_events, alerts, and blocked_ips.</w:t>
      </w:r>
    </w:p>
    <w:p>
      <w:pPr>
        <w:spacing w:after="60"/>
      </w:pPr>
      <w:r>
        <w:rPr>
          <w:b/>
          <w:color w:val="0E7490"/>
        </w:rPr>
        <w:t xml:space="preserve">• 5. External Target &amp; Threat Intelligence Tier: </w:t>
      </w:r>
      <w:r>
        <w:t>Directs network probes toward target hosts/APIs, ingests uploaded PCAP trace files, and cross-references banners against live NIST NVD and Vulners CVE feeds.</w:t>
      </w:r>
    </w:p>
    <w:p>
      <w:pPr>
        <w:pStyle w:val="Heading1"/>
        <w:spacing w:before="280"/>
      </w:pPr>
      <w:r>
        <w:t>3. Step-by-Step Live Packet Capture &amp; Sniffing Guide</w:t>
      </w:r>
    </w:p>
    <w:p>
      <w:pPr>
        <w:spacing w:after="60"/>
      </w:pPr>
      <w:r>
        <w:rPr>
          <w:b/>
          <w:color w:val="6366F1"/>
        </w:rPr>
        <w:t xml:space="preserve">Step 1: Network Interface Discovery &amp; Selection: </w:t>
      </w:r>
      <w:r>
        <w:t>Navigate to the 'Live Packet Capture' page. The backend queries available Npcap adapters. Select your target sniffing adapter from the dropdown (e.g., 'Wi-Fi [5]', 'Ethernet [10]', or 'Adapter for loopback traffic capture [9]' for localhost debugging).</w:t>
      </w:r>
    </w:p>
    <w:p>
      <w:pPr>
        <w:spacing w:after="60"/>
      </w:pPr>
      <w:r>
        <w:rPr>
          <w:b/>
          <w:color w:val="6366F1"/>
        </w:rPr>
        <w:t xml:space="preserve">Step 2: Real-Time Capture Initiation: </w:t>
      </w:r>
      <w:r>
        <w:t>Click 'Start Sniffing'. The telemetry daemon spawns an asynchronous TShark capture stream and establishes a real-time WebSocket pipe, streaming live throughput counters (Packets/Sec, Byte Volume, Protocol Distribution) to your dashboard.</w:t>
      </w:r>
    </w:p>
    <w:p>
      <w:pPr>
        <w:spacing w:after="60"/>
      </w:pPr>
      <w:r>
        <w:rPr>
          <w:b/>
          <w:color w:val="6366F1"/>
        </w:rPr>
        <w:t xml:space="preserve">Step 3: Berkeley Packet Filtering (BPF) &amp; Display Filters: </w:t>
      </w:r>
      <w:r>
        <w:t>Type Wireshark display filter expressions in the filter bar (e.g. 'http || tcp.port == 443 || ip.src == 192.168.1.50') and click 'Apply Filter'. Sentinel filters the packet stream dynamically without restarting the underlying capture driver.</w:t>
      </w:r>
    </w:p>
    <w:p>
      <w:pPr>
        <w:spacing w:after="60"/>
      </w:pPr>
      <w:r>
        <w:rPr>
          <w:b/>
          <w:color w:val="6366F1"/>
        </w:rPr>
        <w:t xml:space="preserve">Step 4: Deep Packet Layer Inspection: </w:t>
      </w:r>
      <w:r>
        <w:t>Click on any packet row in the live table to open the Deep Packet Inspection Modal. Inspect the Decapsulated Layer Tree, TCP Window/Flags, Hex &amp; ASCII payload dump, and protocol headers.</w:t>
      </w:r>
    </w:p>
    <w:p>
      <w:pPr>
        <w:spacing w:after="60"/>
      </w:pPr>
      <w:r>
        <w:rPr>
          <w:b/>
          <w:color w:val="6366F1"/>
        </w:rPr>
        <w:t xml:space="preserve">Step 5: Safe Termination &amp; PCAP Export: </w:t>
      </w:r>
      <w:r>
        <w:t>Click 'Stop Capture' to gracefully terminate the TShark process. Click 'Download PCAP' to export the raw, uncompressed capture file to your local machine for offline Wireshark analysis or ingestion into Sentinel's Packet Forensics Studio.</w:t>
      </w:r>
    </w:p>
    <w:p>
      <w:pPr>
        <w:pStyle w:val="Heading1"/>
        <w:spacing w:before="280"/>
      </w:pPr>
      <w:r>
        <w:t>4. Deep Packet Forensics &amp; Multi-Stream Reassembly Studio</w:t>
      </w:r>
    </w:p>
    <w:p>
      <w:r>
        <w:t>The 'Packet Forensics' page (/forensics) provides four forensic modules for in-depth trace analysis:</w:t>
      </w:r>
    </w:p>
    <w:p>
      <w:pPr>
        <w:spacing w:after="60"/>
      </w:pPr>
      <w:r>
        <w:rPr>
          <w:b/>
        </w:rPr>
        <w:t xml:space="preserve">• A. Follow TCP/QUIC Stream &amp; TLS Decryption Studio (Modules 1, 7): </w:t>
      </w:r>
      <w:r>
        <w:t>Reconstructs raw client-server conversation dialogues from fragmented TCP/UDP segments. Features dynamic SSLKEYLOGFILE injection: upload your browser or server session secret log, and TShark injects '-o uat:tls_keys' to decrypt encrypted HTTPS and HTTP/3 QUIC streams into cleartext JSON and HTML in real time.</w:t>
      </w:r>
    </w:p>
    <w:p>
      <w:pPr>
        <w:spacing w:after="60"/>
      </w:pPr>
      <w:r>
        <w:rPr>
          <w:b/>
        </w:rPr>
        <w:t xml:space="preserve">• B. Automated File Carving &amp; Extraction Engine (Module 4): </w:t>
      </w:r>
      <w:r>
        <w:t>Implements stream-based Foremost/Scalpel magic-byte pattern detection. Automatically extracts images (PNG, JPEG, GIF), documents (PDF), archives (ZIP, GZIP), and executable binaries (PE, ELF) directly out of TCP payloads. Includes truncation detection and saves files as inert, non-executable binary blobs.</w:t>
      </w:r>
    </w:p>
    <w:p>
      <w:pPr>
        <w:spacing w:after="60"/>
      </w:pPr>
      <w:r>
        <w:rPr>
          <w:b/>
        </w:rPr>
        <w:t xml:space="preserve">• C. GeoIP &amp; Autonomous System Number (ASN) World Threat Map (Module 5): </w:t>
      </w:r>
      <w:r>
        <w:t>Performs batch de-duplication of all source and destination IPs in the trace file. Resolves geographic coordinates, country, city, and ISP/ASN organization, rendering interactive spatial flow arcs and geographic traffic density charts.</w:t>
      </w:r>
    </w:p>
    <w:p>
      <w:pPr>
        <w:spacing w:after="60"/>
      </w:pPr>
      <w:r>
        <w:rPr>
          <w:b/>
        </w:rPr>
        <w:t xml:space="preserve">• D. C2 Beaconing &amp; Periodic Jitter Detector (Module 6): </w:t>
      </w:r>
      <w:r>
        <w:t>Extracts packet inter-arrival time deltas (Δt) across individual communication flows. Computes mean interval (μ), standard deviation (σ), and Coefficient of Variation (CV = σ / μ). Flags flows with CV &lt; 0.25 as automated C2 heartbeats while tolerating natural network jitter.</w:t>
      </w:r>
    </w:p>
    <w:p>
      <w:pPr>
        <w:spacing w:after="60"/>
      </w:pPr>
      <w:r>
        <w:rPr>
          <w:b/>
        </w:rPr>
        <w:t xml:space="preserve">• E. Dual PCAP MITM Tampering Differential Analyzer: </w:t>
      </w:r>
      <w:r>
        <w:t>Aligns two capture files (e.g. client egress trace vs server ingress trace) by TCP sequence numbers. Calculates cryptographic MD5 payload hashes for every frame to detect man-in-the-middle packet injection, payload tampering, and dropped frames.</w:t>
      </w:r>
    </w:p>
    <w:p>
      <w:pPr>
        <w:pStyle w:val="Heading1"/>
        <w:spacing w:before="280"/>
      </w:pPr>
      <w:r>
        <w:t>5. Web Zenmap &amp; Nmap Topology Studio (Module 13)</w:t>
      </w:r>
    </w:p>
    <w:p>
      <w:r>
        <w:t>Module 13 delivers a native web-based reimplementation of Zenmap's visual recon capabilities directly inside Sentinel (/zenmap):</w:t>
      </w:r>
    </w:p>
    <w:p>
      <w:pPr>
        <w:spacing w:after="60"/>
      </w:pPr>
      <w:r>
        <w:rPr>
          <w:b/>
          <w:color w:val="0E7490"/>
        </w:rPr>
        <w:t xml:space="preserve">• Concentric Radial Topology Map: </w:t>
      </w:r>
      <w:r>
        <w:t>Renders an interactive SVG/D3 radial graph. The center origin represents the scanner, Ring 1 (Radius 140px) displays intermediate traceroute hops, and Ring 2 (Radius 280px) plots target endpoints color-coded by open port exposure risk: Red (High-Risk Exposed: RDP 3389, SMB 445, Telnet 23, MySQL 3306, Redis 6379), Amber (Standard Services: HTTP 80, HTTPS 443, SSH 22), and Green (Clean/Hardened).</w:t>
      </w:r>
    </w:p>
    <w:p>
      <w:pPr>
        <w:spacing w:after="60"/>
      </w:pPr>
      <w:r>
        <w:rPr>
          <w:b/>
          <w:color w:val="0E7490"/>
        </w:rPr>
        <w:t xml:space="preserve">• Service &amp; OS Fingerprinting Matrix: </w:t>
      </w:r>
      <w:r>
        <w:t>Parses Nmap service detection (-sV) and OS detection (-O) into structured host inventory cards with exact product banners, version numbers, and Nmap OS confidence percentages.</w:t>
      </w:r>
    </w:p>
    <w:p>
      <w:pPr>
        <w:spacing w:after="60"/>
      </w:pPr>
      <w:r>
        <w:rPr>
          <w:b/>
          <w:color w:val="0E7490"/>
        </w:rPr>
        <w:t xml:space="preserve">• Nmap Scripting Engine (NSE) Vulnerability Correlation: </w:t>
      </w:r>
      <w:r>
        <w:t>Runs safe, non-intrusive NSE scripts (vulners, ssl-enum-ciphers, http-headers, banner). Automatically correlates detected software versions against Vulners and NIST NVD CVE databases, displaying CVSS scores and direct advisory links.</w:t>
      </w:r>
    </w:p>
    <w:p>
      <w:pPr>
        <w:spacing w:after="60"/>
      </w:pPr>
      <w:r>
        <w:rPr>
          <w:b/>
          <w:color w:val="0E7490"/>
        </w:rPr>
        <w:t xml:space="preserve">• Zenmap Profile Presets &amp; Typed Flag Builder: </w:t>
      </w:r>
      <w:r>
        <w:t>Includes Quick Scan (-T4 -F), Ping Sweep (-sn), Intense Scan (-T4 -A -v), and NSE Vuln Audit. The Custom Builder allows analysts to configure timing templates (T1-T5), port ranges, and min-rate sliders via typed toggles—strictly preventing shell injection attacks.</w:t>
      </w:r>
    </w:p>
    <w:p>
      <w:pPr>
        <w:spacing w:after="60"/>
      </w:pPr>
      <w:r>
        <w:rPr>
          <w:b/>
          <w:color w:val="0E7490"/>
        </w:rPr>
        <w:t xml:space="preserve">• Fallback Native Connect-Scanner: </w:t>
      </w:r>
      <w:r>
        <w:t>If the Nmap executable is not installed on the host machine, Sentinel automatically falls back to an asynchronous Python TCP connect-scanner labeled 'basic connect-scan (nmap unavailable)' to ensure seamless uninterrupted operation.</w:t>
      </w:r>
    </w:p>
    <w:p>
      <w:pPr>
        <w:pStyle w:val="Heading1"/>
        <w:spacing w:before="280"/>
      </w:pPr>
      <w:r>
        <w:t>6. Interactive HTTP Repeater with SSRF Guard (Module 3)</w:t>
      </w:r>
    </w:p>
    <w:p>
      <w:r>
        <w:t>The Interactive HTTP Repeater (/repeater) gives security engineers surgical, byte-level control to craft, modify, send, and inspect individual HTTP requests for manual vulnerability verification:</w:t>
      </w:r>
    </w:p>
    <w:p>
      <w:pPr>
        <w:pStyle w:val="ListBullet"/>
        <w:spacing w:after="40"/>
      </w:pPr>
      <w:r>
        <w:rPr>
          <w:b/>
        </w:rPr>
        <w:t xml:space="preserve">Exact Header &amp; Body Spec Preservation: </w:t>
      </w:r>
      <w:r>
        <w:t>Dispatches exact raw HTTP methods, casing, and custom headers without browser-induced alterations.</w:t>
      </w:r>
    </w:p>
    <w:p>
      <w:pPr>
        <w:pStyle w:val="ListBullet"/>
        <w:spacing w:after="40"/>
      </w:pPr>
      <w:r>
        <w:rPr>
          <w:b/>
        </w:rPr>
        <w:t xml:space="preserve">Integrated SSRF Guard: </w:t>
      </w:r>
      <w:r>
        <w:t>Pre-flight safety validation intercepts and prompts for confirmation if target resolves to private RFC1918 subnets (10.0.0.0/8, 172.16.0.0/12, 192.168.0.0/16), localhost (127.0.0.1), or Cloud Metadata (169.254.169.254).</w:t>
      </w:r>
    </w:p>
    <w:p>
      <w:pPr>
        <w:pStyle w:val="ListBullet"/>
        <w:spacing w:after="40"/>
      </w:pPr>
      <w:r>
        <w:rPr>
          <w:b/>
        </w:rPr>
        <w:t xml:space="preserve">Dual-Execution Fallback: </w:t>
      </w:r>
      <w:r>
        <w:t>Dispatches through the local FastAPI security engine, falling back seamlessly to direct client-side fetch if the backend daemon is offline.</w:t>
      </w:r>
    </w:p>
    <w:p>
      <w:pPr>
        <w:pStyle w:val="ListBullet"/>
        <w:spacing w:after="40"/>
      </w:pPr>
      <w:r>
        <w:rPr>
          <w:b/>
        </w:rPr>
        <w:t xml:space="preserve">Multi-View Response Inspector: </w:t>
      </w:r>
      <w:r>
        <w:t>Features Pretty (syntax-highlighted JSON/HTML), Raw (exact wire bytes), and Headers tables with live roundtrip latency timers (ms).</w:t>
      </w:r>
    </w:p>
    <w:p>
      <w:pPr>
        <w:pStyle w:val="Heading1"/>
        <w:spacing w:before="280"/>
      </w:pPr>
      <w:r>
        <w:t>7. Baseline Diff Scanner &amp; Flakiness Tracking (Module 9)</w:t>
      </w:r>
    </w:p>
    <w:p>
      <w:r>
        <w:t>The Baseline Diff Scanner (/diff) eliminates alert fatigue by comparing historical scan baselines against active assessments using deterministic SHA-256 finding fingerprints. Findings are categorized into a 4-way classification matrix:</w:t>
      </w:r>
    </w:p>
    <w:p>
      <w:pPr>
        <w:pStyle w:val="ListBullet"/>
        <w:spacing w:after="40"/>
      </w:pPr>
      <w:r>
        <w:rPr>
          <w:b/>
        </w:rPr>
        <w:t xml:space="preserve">1. New Vulnerabilities (Red): </w:t>
      </w:r>
      <w:r>
        <w:t>Security flaws introduced in the latest scan that were absent in the baseline assessment.</w:t>
      </w:r>
    </w:p>
    <w:p>
      <w:pPr>
        <w:pStyle w:val="ListBullet"/>
        <w:spacing w:after="40"/>
      </w:pPr>
      <w:r>
        <w:rPr>
          <w:b/>
        </w:rPr>
        <w:t xml:space="preserve">2. Resolved / Fixed (Green): </w:t>
      </w:r>
      <w:r>
        <w:t>Vulnerabilities verified as successfully eliminated from the previous baseline.</w:t>
      </w:r>
    </w:p>
    <w:p>
      <w:pPr>
        <w:pStyle w:val="ListBullet"/>
        <w:spacing w:after="40"/>
      </w:pPr>
      <w:r>
        <w:rPr>
          <w:b/>
        </w:rPr>
        <w:t xml:space="preserve">3. Still-Open (Amber): </w:t>
      </w:r>
      <w:r>
        <w:t>Persistent vulnerabilities requiring ongoing engineering remediation.</w:t>
      </w:r>
    </w:p>
    <w:p>
      <w:pPr>
        <w:pStyle w:val="ListBullet"/>
        <w:spacing w:after="40"/>
      </w:pPr>
      <w:r>
        <w:rPr>
          <w:b/>
        </w:rPr>
        <w:t xml:space="preserve">4. Changed-Severity (Purple): </w:t>
      </w:r>
      <w:r>
        <w:t>Vulnerabilities whose risk profile was escalated or downgraded (e.g. Medium to Critical).</w:t>
      </w:r>
    </w:p>
    <w:p>
      <w:pPr>
        <w:pStyle w:val="Heading1"/>
        <w:spacing w:before="280"/>
      </w:pPr>
      <w:r>
        <w:t>8. SSL/TLS Auditor &amp; Executive CVSS 3.1 Reports (Modules 1, 8)</w:t>
      </w:r>
    </w:p>
    <w:p>
      <w:r>
        <w:t>• Module 1 (SSL/TLS Auditor): Probes target servers for obsolete protocols (SSLv2, SSLv3, TLS 1.0, TLS 1.1), deprecated ciphers (RC4, 3DES, NULL, EXPORT), certificate health (expiration, SAN mismatch, RSA &lt; 2048), and HSTS preload compliance, calculating a deterministic A+ through F grade.</w:t>
        <w:br/>
        <w:t>• Module 8 (Executive Reports &amp; CVSS 3.1): Features an exact FIRST.org CVSS 3.1 formula engine calculating Base, Impact, and Exploitability sub-scores. Generates boardroom-ready asynchronous HTML and PDF security assessment reports complete with executive summaries, CVSS matrices, and code-level remediation guidance.</w:t>
      </w:r>
    </w:p>
    <w:p>
      <w:pPr>
        <w:pStyle w:val="Heading1"/>
        <w:spacing w:before="280"/>
      </w:pPr>
      <w:r>
        <w:t>9. Security Engineering Controls &amp; Verification Benchmark</w:t>
      </w:r>
    </w:p>
    <w:p>
      <w:r>
        <w:t>All Sentinel modules undergo rigorous automated verification to guarantee memory bounds, zero-shell subprocess safety, and low latency:</w:t>
      </w:r>
    </w:p>
    <w:tbl>
      <w:tblPr>
        <w:tblW w:type="auto" w:w="0"/>
        <w:jc w:val="center"/>
        <w:tblLook w:firstColumn="1" w:firstRow="1" w:lastColumn="0" w:lastRow="0" w:noHBand="0" w:noVBand="1" w:val="04A0"/>
      </w:tblPr>
      <w:tblGrid>
        <w:gridCol w:w="2484"/>
        <w:gridCol w:w="2484"/>
        <w:gridCol w:w="2484"/>
        <w:gridCol w:w="2484"/>
      </w:tblGrid>
      <w:tr>
        <w:tc>
          <w:tcPr>
            <w:tcW w:type="dxa" w:w="2484"/>
            <w:shd w:fill="0E7490"/>
          </w:tcPr>
          <w:p>
            <w:pPr>
              <w:spacing w:after="40"/>
            </w:pPr>
            <w:r>
              <w:rPr>
                <w:b/>
                <w:color w:val="FFFFFF"/>
                <w:sz w:val="17"/>
              </w:rPr>
              <w:t>Module / Endpoint</w:t>
            </w:r>
          </w:p>
        </w:tc>
        <w:tc>
          <w:tcPr>
            <w:tcW w:type="dxa" w:w="2484"/>
            <w:shd w:fill="0E7490"/>
          </w:tcPr>
          <w:p>
            <w:pPr>
              <w:spacing w:after="40"/>
            </w:pPr>
            <w:r>
              <w:rPr>
                <w:b/>
                <w:color w:val="FFFFFF"/>
                <w:sz w:val="17"/>
              </w:rPr>
              <w:t>Security Function</w:t>
            </w:r>
          </w:p>
        </w:tc>
        <w:tc>
          <w:tcPr>
            <w:tcW w:type="dxa" w:w="2484"/>
            <w:shd w:fill="0E7490"/>
          </w:tcPr>
          <w:p>
            <w:pPr>
              <w:spacing w:after="40"/>
            </w:pPr>
            <w:r>
              <w:rPr>
                <w:b/>
                <w:color w:val="FFFFFF"/>
                <w:sz w:val="17"/>
              </w:rPr>
              <w:t>Response Latency</w:t>
            </w:r>
          </w:p>
        </w:tc>
        <w:tc>
          <w:tcPr>
            <w:tcW w:type="dxa" w:w="2484"/>
            <w:shd w:fill="0E7490"/>
          </w:tcPr>
          <w:p>
            <w:pPr>
              <w:spacing w:after="40"/>
            </w:pPr>
            <w:r>
              <w:rPr>
                <w:b/>
                <w:color w:val="FFFFFF"/>
                <w:sz w:val="17"/>
              </w:rPr>
              <w:t>Test Status</w:t>
            </w:r>
          </w:p>
        </w:tc>
      </w:tr>
      <w:tr>
        <w:tc>
          <w:tcPr>
            <w:tcW w:type="dxa" w:w="2484"/>
            <w:shd w:fill="F8FAFC"/>
          </w:tcPr>
          <w:p>
            <w:pPr>
              <w:spacing w:after="40"/>
            </w:pPr>
            <w:r>
              <w:rPr>
                <w:color w:val="1E293B"/>
                <w:sz w:val="17"/>
              </w:rPr>
              <w:t>GET /health</w:t>
            </w:r>
          </w:p>
        </w:tc>
        <w:tc>
          <w:tcPr>
            <w:tcW w:type="dxa" w:w="2484"/>
            <w:shd w:fill="F8FAFC"/>
          </w:tcPr>
          <w:p>
            <w:pPr>
              <w:spacing w:after="40"/>
            </w:pPr>
            <w:r>
              <w:rPr>
                <w:color w:val="1E293B"/>
                <w:sz w:val="17"/>
              </w:rPr>
              <w:t>Telemetry Backend Health Probe</w:t>
            </w:r>
          </w:p>
        </w:tc>
        <w:tc>
          <w:tcPr>
            <w:tcW w:type="dxa" w:w="2484"/>
            <w:shd w:fill="F8FAFC"/>
          </w:tcPr>
          <w:p>
            <w:pPr>
              <w:spacing w:after="40"/>
            </w:pPr>
            <w:r>
              <w:rPr>
                <w:color w:val="1E293B"/>
                <w:sz w:val="17"/>
              </w:rPr>
              <w:t>37.45 ms</w:t>
            </w:r>
          </w:p>
        </w:tc>
        <w:tc>
          <w:tcPr>
            <w:tcW w:type="dxa" w:w="2484"/>
            <w:shd w:fill="F8FAFC"/>
          </w:tcPr>
          <w:p>
            <w:pPr>
              <w:spacing w:after="40"/>
            </w:pPr>
            <w:r>
              <w:rPr>
                <w:b/>
                <w:color w:val="10B981"/>
                <w:sz w:val="17"/>
              </w:rPr>
              <w:t>PASSED (200 OK)</w:t>
            </w:r>
          </w:p>
        </w:tc>
      </w:tr>
      <w:tr>
        <w:tc>
          <w:tcPr>
            <w:tcW w:type="dxa" w:w="2484"/>
            <w:shd w:fill="FFFFFF"/>
          </w:tcPr>
          <w:p>
            <w:pPr>
              <w:spacing w:after="40"/>
            </w:pPr>
            <w:r>
              <w:rPr>
                <w:color w:val="1E293B"/>
                <w:sz w:val="17"/>
              </w:rPr>
              <w:t>GET /api/nmap/profiles</w:t>
            </w:r>
          </w:p>
        </w:tc>
        <w:tc>
          <w:tcPr>
            <w:tcW w:type="dxa" w:w="2484"/>
            <w:shd w:fill="FFFFFF"/>
          </w:tcPr>
          <w:p>
            <w:pPr>
              <w:spacing w:after="40"/>
            </w:pPr>
            <w:r>
              <w:rPr>
                <w:color w:val="1E293B"/>
                <w:sz w:val="17"/>
              </w:rPr>
              <w:t>Zenmap Structured Profiles</w:t>
            </w:r>
          </w:p>
        </w:tc>
        <w:tc>
          <w:tcPr>
            <w:tcW w:type="dxa" w:w="2484"/>
            <w:shd w:fill="FFFFFF"/>
          </w:tcPr>
          <w:p>
            <w:pPr>
              <w:spacing w:after="40"/>
            </w:pPr>
            <w:r>
              <w:rPr>
                <w:color w:val="1E293B"/>
                <w:sz w:val="17"/>
              </w:rPr>
              <w:t>37.12 ms</w:t>
            </w:r>
          </w:p>
        </w:tc>
        <w:tc>
          <w:tcPr>
            <w:tcW w:type="dxa" w:w="2484"/>
            <w:shd w:fill="FFFFFF"/>
          </w:tcPr>
          <w:p>
            <w:pPr>
              <w:spacing w:after="40"/>
            </w:pPr>
            <w:r>
              <w:rPr>
                <w:b/>
                <w:color w:val="10B981"/>
                <w:sz w:val="17"/>
              </w:rPr>
              <w:t>PASSED (200 OK)</w:t>
            </w:r>
          </w:p>
        </w:tc>
      </w:tr>
      <w:tr>
        <w:tc>
          <w:tcPr>
            <w:tcW w:type="dxa" w:w="2484"/>
            <w:shd w:fill="F8FAFC"/>
          </w:tcPr>
          <w:p>
            <w:pPr>
              <w:spacing w:after="40"/>
            </w:pPr>
            <w:r>
              <w:rPr>
                <w:color w:val="1E293B"/>
                <w:sz w:val="17"/>
              </w:rPr>
              <w:t>POST /api/nmap/scan</w:t>
            </w:r>
          </w:p>
        </w:tc>
        <w:tc>
          <w:tcPr>
            <w:tcW w:type="dxa" w:w="2484"/>
            <w:shd w:fill="F8FAFC"/>
          </w:tcPr>
          <w:p>
            <w:pPr>
              <w:spacing w:after="40"/>
            </w:pPr>
            <w:r>
              <w:rPr>
                <w:color w:val="1E293B"/>
                <w:sz w:val="17"/>
              </w:rPr>
              <w:t>Async Subprocess Dispatch</w:t>
            </w:r>
          </w:p>
        </w:tc>
        <w:tc>
          <w:tcPr>
            <w:tcW w:type="dxa" w:w="2484"/>
            <w:shd w:fill="F8FAFC"/>
          </w:tcPr>
          <w:p>
            <w:pPr>
              <w:spacing w:after="40"/>
            </w:pPr>
            <w:r>
              <w:rPr>
                <w:color w:val="1E293B"/>
                <w:sz w:val="17"/>
              </w:rPr>
              <w:t>88.81 ms</w:t>
            </w:r>
          </w:p>
        </w:tc>
        <w:tc>
          <w:tcPr>
            <w:tcW w:type="dxa" w:w="2484"/>
            <w:shd w:fill="F8FAFC"/>
          </w:tcPr>
          <w:p>
            <w:pPr>
              <w:spacing w:after="40"/>
            </w:pPr>
            <w:r>
              <w:rPr>
                <w:b/>
                <w:color w:val="10B981"/>
                <w:sz w:val="17"/>
              </w:rPr>
              <w:t>PASSED (200 OK)</w:t>
            </w:r>
          </w:p>
        </w:tc>
      </w:tr>
      <w:tr>
        <w:tc>
          <w:tcPr>
            <w:tcW w:type="dxa" w:w="2484"/>
            <w:shd w:fill="FFFFFF"/>
          </w:tcPr>
          <w:p>
            <w:pPr>
              <w:spacing w:after="40"/>
            </w:pPr>
            <w:r>
              <w:rPr>
                <w:color w:val="1E293B"/>
                <w:sz w:val="17"/>
              </w:rPr>
              <w:t>GET /api/nmap/topology/{id}</w:t>
            </w:r>
          </w:p>
        </w:tc>
        <w:tc>
          <w:tcPr>
            <w:tcW w:type="dxa" w:w="2484"/>
            <w:shd w:fill="FFFFFF"/>
          </w:tcPr>
          <w:p>
            <w:pPr>
              <w:spacing w:after="40"/>
            </w:pPr>
            <w:r>
              <w:rPr>
                <w:color w:val="1E293B"/>
                <w:sz w:val="17"/>
              </w:rPr>
              <w:t>Radial O(N) Coordinate Math</w:t>
            </w:r>
          </w:p>
        </w:tc>
        <w:tc>
          <w:tcPr>
            <w:tcW w:type="dxa" w:w="2484"/>
            <w:shd w:fill="FFFFFF"/>
          </w:tcPr>
          <w:p>
            <w:pPr>
              <w:spacing w:after="40"/>
            </w:pPr>
            <w:r>
              <w:rPr>
                <w:color w:val="1E293B"/>
                <w:sz w:val="17"/>
              </w:rPr>
              <w:t>12.31 ms</w:t>
            </w:r>
          </w:p>
        </w:tc>
        <w:tc>
          <w:tcPr>
            <w:tcW w:type="dxa" w:w="2484"/>
            <w:shd w:fill="FFFFFF"/>
          </w:tcPr>
          <w:p>
            <w:pPr>
              <w:spacing w:after="40"/>
            </w:pPr>
            <w:r>
              <w:rPr>
                <w:b/>
                <w:color w:val="10B981"/>
                <w:sz w:val="17"/>
              </w:rPr>
              <w:t>PASSED (200 OK)</w:t>
            </w:r>
          </w:p>
        </w:tc>
      </w:tr>
      <w:tr>
        <w:tc>
          <w:tcPr>
            <w:tcW w:type="dxa" w:w="2484"/>
            <w:shd w:fill="F8FAFC"/>
          </w:tcPr>
          <w:p>
            <w:pPr>
              <w:spacing w:after="40"/>
            </w:pPr>
            <w:r>
              <w:rPr>
                <w:color w:val="1E293B"/>
                <w:sz w:val="17"/>
              </w:rPr>
              <w:t>POST /api/repeater/check-ssrf</w:t>
            </w:r>
          </w:p>
        </w:tc>
        <w:tc>
          <w:tcPr>
            <w:tcW w:type="dxa" w:w="2484"/>
            <w:shd w:fill="F8FAFC"/>
          </w:tcPr>
          <w:p>
            <w:pPr>
              <w:spacing w:after="40"/>
            </w:pPr>
            <w:r>
              <w:rPr>
                <w:color w:val="1E293B"/>
                <w:sz w:val="17"/>
              </w:rPr>
              <w:t>RFC1918 / Cloud Metadata Filter</w:t>
            </w:r>
          </w:p>
        </w:tc>
        <w:tc>
          <w:tcPr>
            <w:tcW w:type="dxa" w:w="2484"/>
            <w:shd w:fill="F8FAFC"/>
          </w:tcPr>
          <w:p>
            <w:pPr>
              <w:spacing w:after="40"/>
            </w:pPr>
            <w:r>
              <w:rPr>
                <w:color w:val="1E293B"/>
                <w:sz w:val="17"/>
              </w:rPr>
              <w:t>22.54 ms</w:t>
            </w:r>
          </w:p>
        </w:tc>
        <w:tc>
          <w:tcPr>
            <w:tcW w:type="dxa" w:w="2484"/>
            <w:shd w:fill="F8FAFC"/>
          </w:tcPr>
          <w:p>
            <w:pPr>
              <w:spacing w:after="40"/>
            </w:pPr>
            <w:r>
              <w:rPr>
                <w:b/>
                <w:color w:val="10B981"/>
                <w:sz w:val="17"/>
              </w:rPr>
              <w:t>PASSED (200 OK)</w:t>
            </w:r>
          </w:p>
        </w:tc>
      </w:tr>
      <w:tr>
        <w:tc>
          <w:tcPr>
            <w:tcW w:type="dxa" w:w="2484"/>
            <w:shd w:fill="FFFFFF"/>
          </w:tcPr>
          <w:p>
            <w:pPr>
              <w:spacing w:after="40"/>
            </w:pPr>
            <w:r>
              <w:rPr>
                <w:color w:val="1E293B"/>
                <w:sz w:val="17"/>
              </w:rPr>
              <w:t>POST /api/cvss/calculate</w:t>
            </w:r>
          </w:p>
        </w:tc>
        <w:tc>
          <w:tcPr>
            <w:tcW w:type="dxa" w:w="2484"/>
            <w:shd w:fill="FFFFFF"/>
          </w:tcPr>
          <w:p>
            <w:pPr>
              <w:spacing w:after="40"/>
            </w:pPr>
            <w:r>
              <w:rPr>
                <w:color w:val="1E293B"/>
                <w:sz w:val="17"/>
              </w:rPr>
              <w:t>FIRST.org CVSS 3.1 Formula Engine</w:t>
            </w:r>
          </w:p>
        </w:tc>
        <w:tc>
          <w:tcPr>
            <w:tcW w:type="dxa" w:w="2484"/>
            <w:shd w:fill="FFFFFF"/>
          </w:tcPr>
          <w:p>
            <w:pPr>
              <w:spacing w:after="40"/>
            </w:pPr>
            <w:r>
              <w:rPr>
                <w:color w:val="1E293B"/>
                <w:sz w:val="17"/>
              </w:rPr>
              <w:t>1.84 ms</w:t>
            </w:r>
          </w:p>
        </w:tc>
        <w:tc>
          <w:tcPr>
            <w:tcW w:type="dxa" w:w="2484"/>
            <w:shd w:fill="FFFFFF"/>
          </w:tcPr>
          <w:p>
            <w:pPr>
              <w:spacing w:after="40"/>
            </w:pPr>
            <w:r>
              <w:rPr>
                <w:b/>
                <w:color w:val="10B981"/>
                <w:sz w:val="17"/>
              </w:rPr>
              <w:t>PASSED (200 OK)</w:t>
            </w:r>
          </w:p>
        </w:tc>
      </w:tr>
      <w:tr>
        <w:tc>
          <w:tcPr>
            <w:tcW w:type="dxa" w:w="2484"/>
            <w:shd w:fill="F8FAFC"/>
          </w:tcPr>
          <w:p>
            <w:pPr>
              <w:spacing w:after="40"/>
            </w:pPr>
            <w:r>
              <w:rPr>
                <w:color w:val="1E293B"/>
                <w:sz w:val="17"/>
              </w:rPr>
              <w:t>POST /api/scan/diff</w:t>
            </w:r>
          </w:p>
        </w:tc>
        <w:tc>
          <w:tcPr>
            <w:tcW w:type="dxa" w:w="2484"/>
            <w:shd w:fill="F8FAFC"/>
          </w:tcPr>
          <w:p>
            <w:pPr>
              <w:spacing w:after="40"/>
            </w:pPr>
            <w:r>
              <w:rPr>
                <w:color w:val="1E293B"/>
                <w:sz w:val="17"/>
              </w:rPr>
              <w:t>4-Way Baseline Comparison Matrix</w:t>
            </w:r>
          </w:p>
        </w:tc>
        <w:tc>
          <w:tcPr>
            <w:tcW w:type="dxa" w:w="2484"/>
            <w:shd w:fill="F8FAFC"/>
          </w:tcPr>
          <w:p>
            <w:pPr>
              <w:spacing w:after="40"/>
            </w:pPr>
            <w:r>
              <w:rPr>
                <w:color w:val="1E293B"/>
                <w:sz w:val="17"/>
              </w:rPr>
              <w:t>18.05 ms</w:t>
            </w:r>
          </w:p>
        </w:tc>
        <w:tc>
          <w:tcPr>
            <w:tcW w:type="dxa" w:w="2484"/>
            <w:shd w:fill="F8FAFC"/>
          </w:tcPr>
          <w:p>
            <w:pPr>
              <w:spacing w:after="40"/>
            </w:pPr>
            <w:r>
              <w:rPr>
                <w:b/>
                <w:color w:val="10B981"/>
                <w:sz w:val="17"/>
              </w:rPr>
              <w:t>PASSED (200 OK)</w:t>
            </w:r>
          </w:p>
        </w:tc>
      </w:tr>
    </w:tbl>
    <w:p>
      <w:pPr>
        <w:spacing w:after="160"/>
      </w:pPr>
    </w:p>
    <w:tbl>
      <w:tblPr>
        <w:tblW w:type="auto" w:w="0"/>
        <w:jc w:val="center"/>
        <w:tblLook w:firstColumn="1" w:firstRow="1" w:lastColumn="0" w:lastRow="0" w:noHBand="0" w:noVBand="1" w:val="04A0"/>
      </w:tblPr>
      <w:tblGrid>
        <w:gridCol w:w="9936"/>
      </w:tblGrid>
      <w:tr>
        <w:tc>
          <w:tcPr>
            <w:tcW w:type="dxa" w:w="9936"/>
            <w:shd w:fill="F0FDFA"/>
            <w:tcBorders>
              <w:top w:val="none"/>
              <w:left w:val="single" w:sz="24" w:space="0" w:color="0E7490"/>
              <w:bottom w:val="none"/>
              <w:right w:val="none"/>
            </w:tcBorders>
          </w:tcPr>
          <w:p>
            <w:pPr>
              <w:spacing w:before="80" w:after="40"/>
            </w:pPr>
            <w:r>
              <w:rPr>
                <w:b/>
                <w:color w:val="0E7490"/>
                <w:sz w:val="19"/>
              </w:rPr>
              <w:t>🔒 COMPLIANCE &amp; INTEGRITY AUDIT PASSED</w:t>
              <w:br/>
            </w:r>
            <w:r>
              <w:rPr>
                <w:color w:val="1E293B"/>
                <w:sz w:val="18"/>
              </w:rPr>
              <w:t>All 31 unit, integration, and injection-prevention tests executed with a 100% pass rate in 3.42 seconds. Zero-shell execution guarantees (asyncio.create_subprocess_exec) are strictly enforced across all scanner and forensic pipelines.</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