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E7490"/>
          <w:sz w:val="40"/>
        </w:rPr>
        <w:t>VULNSCAN &amp; SENTINEL FORENSIC SECURITY PLATFORM</w:t>
      </w:r>
    </w:p>
    <w:p>
      <w:pPr>
        <w:spacing w:after="280"/>
      </w:pPr>
      <w:r>
        <w:rPr>
          <w:i/>
          <w:color w:val="64748B"/>
          <w:sz w:val="22"/>
        </w:rPr>
        <w:t>Master Engineering Project Report &amp; Security Verification Dossier — Version 4.0 (Enterprise Edition)</w:t>
      </w:r>
    </w:p>
    <w:tbl>
      <w:tblPr>
        <w:tblW w:type="auto" w:w="0"/>
        <w:jc w:val="center"/>
        <w:tblLook w:firstColumn="1" w:firstRow="1" w:lastColumn="0" w:lastRow="0" w:noHBand="0" w:noVBand="1" w:val="04A0"/>
      </w:tblPr>
      <w:tblGrid>
        <w:gridCol w:w="2484"/>
        <w:gridCol w:w="2484"/>
        <w:gridCol w:w="2484"/>
        <w:gridCol w:w="2484"/>
      </w:tblGrid>
      <w:tr>
        <w:tc>
          <w:tcPr>
            <w:tcW w:type="dxa" w:w="2484"/>
            <w:shd w:fill="F1F5F9"/>
          </w:tcPr>
          <w:p>
            <w:pPr>
              <w:spacing w:after="40"/>
            </w:pPr>
            <w:r>
              <w:rPr>
                <w:b/>
                <w:color w:val="64748B"/>
                <w:sz w:val="17"/>
              </w:rPr>
              <w:t>Project Title</w:t>
            </w:r>
          </w:p>
        </w:tc>
        <w:tc>
          <w:tcPr>
            <w:tcW w:type="dxa" w:w="2484"/>
            <w:shd w:fill="F1F5F9"/>
          </w:tcPr>
          <w:p>
            <w:pPr>
              <w:spacing w:after="40"/>
            </w:pPr>
            <w:r>
              <w:rPr>
                <w:b/>
                <w:color w:val="64748B"/>
                <w:sz w:val="17"/>
              </w:rPr>
              <w:t>Architecture</w:t>
            </w:r>
          </w:p>
        </w:tc>
        <w:tc>
          <w:tcPr>
            <w:tcW w:type="dxa" w:w="2484"/>
            <w:shd w:fill="F1F5F9"/>
          </w:tcPr>
          <w:p>
            <w:pPr>
              <w:spacing w:after="40"/>
            </w:pPr>
            <w:r>
              <w:rPr>
                <w:b/>
                <w:color w:val="64748B"/>
                <w:sz w:val="17"/>
              </w:rPr>
              <w:t>Engines &amp; Modules</w:t>
            </w:r>
          </w:p>
        </w:tc>
        <w:tc>
          <w:tcPr>
            <w:tcW w:type="dxa" w:w="2484"/>
            <w:shd w:fill="F1F5F9"/>
          </w:tcPr>
          <w:p>
            <w:pPr>
              <w:spacing w:after="40"/>
            </w:pPr>
            <w:r>
              <w:rPr>
                <w:b/>
                <w:color w:val="64748B"/>
                <w:sz w:val="17"/>
              </w:rPr>
              <w:t>Test Verification</w:t>
            </w:r>
          </w:p>
        </w:tc>
      </w:tr>
      <w:tr>
        <w:tc>
          <w:tcPr>
            <w:tcW w:type="dxa" w:w="2484"/>
            <w:shd w:fill="F8FAFC"/>
          </w:tcPr>
          <w:p>
            <w:pPr>
              <w:spacing w:after="40"/>
            </w:pPr>
            <w:r>
              <w:rPr>
                <w:b/>
                <w:color w:val="1E293B"/>
                <w:sz w:val="18"/>
              </w:rPr>
              <w:t>VulnScan Platform v4.0</w:t>
            </w:r>
          </w:p>
        </w:tc>
        <w:tc>
          <w:tcPr>
            <w:tcW w:type="dxa" w:w="2484"/>
            <w:shd w:fill="F8FAFC"/>
          </w:tcPr>
          <w:p>
            <w:pPr>
              <w:spacing w:after="40"/>
            </w:pPr>
            <w:r>
              <w:rPr>
                <w:b/>
                <w:color w:val="1E293B"/>
                <w:sz w:val="18"/>
              </w:rPr>
              <w:t>Decoupled SPA + Microservices</w:t>
            </w:r>
          </w:p>
        </w:tc>
        <w:tc>
          <w:tcPr>
            <w:tcW w:type="dxa" w:w="2484"/>
            <w:shd w:fill="F8FAFC"/>
          </w:tcPr>
          <w:p>
            <w:pPr>
              <w:spacing w:after="40"/>
            </w:pPr>
            <w:r>
              <w:rPr>
                <w:b/>
                <w:color w:val="1E293B"/>
                <w:sz w:val="18"/>
              </w:rPr>
              <w:t>Modules 1-9 &amp; 13 (Zenmap)</w:t>
            </w:r>
          </w:p>
        </w:tc>
        <w:tc>
          <w:tcPr>
            <w:tcW w:type="dxa" w:w="2484"/>
            <w:shd w:fill="F8FAFC"/>
          </w:tcPr>
          <w:p>
            <w:pPr>
              <w:spacing w:after="40"/>
            </w:pPr>
            <w:r>
              <w:rPr>
                <w:b/>
                <w:color w:val="1E293B"/>
                <w:sz w:val="18"/>
              </w:rPr>
              <w:t>31/31 Automated Tests (100%)</w:t>
            </w:r>
          </w:p>
        </w:tc>
      </w:tr>
    </w:tbl>
    <w:p>
      <w:pPr>
        <w:spacing w:after="160"/>
      </w:pPr>
    </w:p>
    <w:p>
      <w:pPr>
        <w:pStyle w:val="Heading1"/>
        <w:spacing w:before="240"/>
      </w:pPr>
      <w:r>
        <w:t>1. Executive Summary &amp; Project Objectives</w:t>
      </w:r>
    </w:p>
    <w:p>
      <w:r>
        <w:t>This engineering project report details the comprehensive architecture, design patterns, algorithmic implementations, and verification results of the VulnScan &amp; Sentinel Forensic Security Platform. The platform addresses critical challenges in modern cybersecurity operations: bridging the gap between isolated command-line assessment tools, continuous automated attack surface monitoring, deep packet inspection (DPI), and boardroom-ready executive reporting.</w:t>
      </w:r>
    </w:p>
    <w:p>
      <w:r>
        <w:t>Originally established as an automated web monitoring and reconnaissance utility, the platform has evolved into an enterprise-grade full-stack security ecosystem. It integrates real-time packet sniffing, automated file carving, C2 malware beaconing detection, interactive Burp-style HTTP repeating with SSRF defense, baseline vulnerability diffing, and a complete web-based reimplementation of Zenmap's radial network topology mapping.</w:t>
      </w:r>
    </w:p>
    <w:p>
      <w:pPr>
        <w:pStyle w:val="Heading1"/>
        <w:spacing w:before="280"/>
      </w:pPr>
      <w:r>
        <w:t>2. Frameworks, Libraries &amp; Technology Stack</w:t>
      </w:r>
    </w:p>
    <w:tbl>
      <w:tblPr>
        <w:tblW w:type="auto" w:w="0"/>
        <w:jc w:val="center"/>
        <w:tblLook w:firstColumn="1" w:firstRow="1" w:lastColumn="0" w:lastRow="0" w:noHBand="0" w:noVBand="1" w:val="04A0"/>
      </w:tblPr>
      <w:tblGrid>
        <w:gridCol w:w="3312"/>
        <w:gridCol w:w="3312"/>
        <w:gridCol w:w="3312"/>
      </w:tblGrid>
      <w:tr>
        <w:tc>
          <w:tcPr>
            <w:tcW w:type="dxa" w:w="3312"/>
            <w:shd w:fill="0E7490"/>
          </w:tcPr>
          <w:p>
            <w:pPr>
              <w:spacing w:after="40"/>
            </w:pPr>
            <w:r>
              <w:rPr>
                <w:b/>
                <w:color w:val="FFFFFF"/>
                <w:sz w:val="17"/>
              </w:rPr>
              <w:t>Layer</w:t>
            </w:r>
          </w:p>
        </w:tc>
        <w:tc>
          <w:tcPr>
            <w:tcW w:type="dxa" w:w="3312"/>
            <w:shd w:fill="0E7490"/>
          </w:tcPr>
          <w:p>
            <w:pPr>
              <w:spacing w:after="40"/>
            </w:pPr>
            <w:r>
              <w:rPr>
                <w:b/>
                <w:color w:val="FFFFFF"/>
                <w:sz w:val="17"/>
              </w:rPr>
              <w:t>Technologies &amp; Libraries</w:t>
            </w:r>
          </w:p>
        </w:tc>
        <w:tc>
          <w:tcPr>
            <w:tcW w:type="dxa" w:w="3312"/>
            <w:shd w:fill="0E7490"/>
          </w:tcPr>
          <w:p>
            <w:pPr>
              <w:spacing w:after="40"/>
            </w:pPr>
            <w:r>
              <w:rPr>
                <w:b/>
                <w:color w:val="FFFFFF"/>
                <w:sz w:val="17"/>
              </w:rPr>
              <w:t>Core Responsibilities</w:t>
            </w:r>
          </w:p>
        </w:tc>
      </w:tr>
      <w:tr>
        <w:tc>
          <w:tcPr>
            <w:tcW w:type="dxa" w:w="3312"/>
            <w:shd w:fill="F8FAFC"/>
          </w:tcPr>
          <w:p>
            <w:pPr>
              <w:spacing w:after="40"/>
            </w:pPr>
            <w:r>
              <w:rPr>
                <w:b/>
                <w:color w:val="1E293B"/>
                <w:sz w:val="17"/>
              </w:rPr>
              <w:t>🎨 Frontend Client</w:t>
            </w:r>
          </w:p>
        </w:tc>
        <w:tc>
          <w:tcPr>
            <w:tcW w:type="dxa" w:w="3312"/>
            <w:shd w:fill="F8FAFC"/>
          </w:tcPr>
          <w:p>
            <w:pPr>
              <w:spacing w:after="40"/>
            </w:pPr>
            <w:r>
              <w:rPr>
                <w:color w:val="1E293B"/>
                <w:sz w:val="17"/>
              </w:rPr>
              <w:t>React 19, TypeScript, Vite, Tailwind CSS, Zustand, Recharts, Framer Motion, D3/SVG</w:t>
            </w:r>
          </w:p>
        </w:tc>
        <w:tc>
          <w:tcPr>
            <w:tcW w:type="dxa" w:w="3312"/>
            <w:shd w:fill="F8FAFC"/>
          </w:tcPr>
          <w:p>
            <w:pPr>
              <w:spacing w:after="40"/>
            </w:pPr>
            <w:r>
              <w:rPr>
                <w:color w:val="1E293B"/>
                <w:sz w:val="17"/>
              </w:rPr>
              <w:t>Interactive Single Page Application (SPA), real-time charts, radial topology visualization, and byte-level HTTP inspector.</w:t>
            </w:r>
          </w:p>
        </w:tc>
      </w:tr>
      <w:tr>
        <w:tc>
          <w:tcPr>
            <w:tcW w:type="dxa" w:w="3312"/>
            <w:shd w:fill="FFFFFF"/>
          </w:tcPr>
          <w:p>
            <w:pPr>
              <w:spacing w:after="40"/>
            </w:pPr>
            <w:r>
              <w:rPr>
                <w:b/>
                <w:color w:val="1E293B"/>
                <w:sz w:val="17"/>
              </w:rPr>
              <w:t>⚙️ API Gateway &amp; WAF</w:t>
            </w:r>
          </w:p>
        </w:tc>
        <w:tc>
          <w:tcPr>
            <w:tcW w:type="dxa" w:w="3312"/>
            <w:shd w:fill="FFFFFF"/>
          </w:tcPr>
          <w:p>
            <w:pPr>
              <w:spacing w:after="40"/>
            </w:pPr>
            <w:r>
              <w:rPr>
                <w:color w:val="1E293B"/>
                <w:sz w:val="17"/>
              </w:rPr>
              <w:t>FastAPI (Python 3.12+), Node Express, Uvicorn, asyncio, WAF Middleware</w:t>
            </w:r>
          </w:p>
        </w:tc>
        <w:tc>
          <w:tcPr>
            <w:tcW w:type="dxa" w:w="3312"/>
            <w:shd w:fill="FFFFFF"/>
          </w:tcPr>
          <w:p>
            <w:pPr>
              <w:spacing w:after="40"/>
            </w:pPr>
            <w:r>
              <w:rPr>
                <w:color w:val="1E293B"/>
                <w:sz w:val="17"/>
              </w:rPr>
              <w:t>High-throughput asynchronous REST/WebSocket routing, token-bucket rate limiting, and SSRF pre-flight validation.</w:t>
            </w:r>
          </w:p>
        </w:tc>
      </w:tr>
      <w:tr>
        <w:tc>
          <w:tcPr>
            <w:tcW w:type="dxa" w:w="3312"/>
            <w:shd w:fill="F8FAFC"/>
          </w:tcPr>
          <w:p>
            <w:pPr>
              <w:spacing w:after="40"/>
            </w:pPr>
            <w:r>
              <w:rPr>
                <w:b/>
                <w:color w:val="1E293B"/>
                <w:sz w:val="17"/>
              </w:rPr>
              <w:t>🔍 Packet Forensics</w:t>
            </w:r>
          </w:p>
        </w:tc>
        <w:tc>
          <w:tcPr>
            <w:tcW w:type="dxa" w:w="3312"/>
            <w:shd w:fill="F8FAFC"/>
          </w:tcPr>
          <w:p>
            <w:pPr>
              <w:spacing w:after="40"/>
            </w:pPr>
            <w:r>
              <w:rPr>
                <w:color w:val="1E293B"/>
                <w:sz w:val="17"/>
              </w:rPr>
              <w:t>PyShark, TShark, Npcap / WinPcap, Foremost/Scalpel Magic-Byte Engine</w:t>
            </w:r>
          </w:p>
        </w:tc>
        <w:tc>
          <w:tcPr>
            <w:tcW w:type="dxa" w:w="3312"/>
            <w:shd w:fill="F8FAFC"/>
          </w:tcPr>
          <w:p>
            <w:pPr>
              <w:spacing w:after="40"/>
            </w:pPr>
            <w:r>
              <w:rPr>
                <w:color w:val="1E293B"/>
                <w:sz w:val="17"/>
              </w:rPr>
              <w:t>Promiscuous packet capture, protocol dissection (Layers 2-7), stream reassembly, and TLS/QUIC session decryption.</w:t>
            </w:r>
          </w:p>
        </w:tc>
      </w:tr>
      <w:tr>
        <w:tc>
          <w:tcPr>
            <w:tcW w:type="dxa" w:w="3312"/>
            <w:shd w:fill="FFFFFF"/>
          </w:tcPr>
          <w:p>
            <w:pPr>
              <w:spacing w:after="40"/>
            </w:pPr>
            <w:r>
              <w:rPr>
                <w:b/>
                <w:color w:val="1E293B"/>
                <w:sz w:val="17"/>
              </w:rPr>
              <w:t>🛡️ DAST &amp; Network Recon</w:t>
            </w:r>
          </w:p>
        </w:tc>
        <w:tc>
          <w:tcPr>
            <w:tcW w:type="dxa" w:w="3312"/>
            <w:shd w:fill="FFFFFF"/>
          </w:tcPr>
          <w:p>
            <w:pPr>
              <w:spacing w:after="40"/>
            </w:pPr>
            <w:r>
              <w:rPr>
                <w:color w:val="1E293B"/>
                <w:sz w:val="17"/>
              </w:rPr>
              <w:t>Nmap Subprocess Exec, Cryptography, PyOpenSSL, Requests, Cheerio</w:t>
            </w:r>
          </w:p>
        </w:tc>
        <w:tc>
          <w:tcPr>
            <w:tcW w:type="dxa" w:w="3312"/>
            <w:shd w:fill="FFFFFF"/>
          </w:tcPr>
          <w:p>
            <w:pPr>
              <w:spacing w:after="40"/>
            </w:pPr>
            <w:r>
              <w:rPr>
                <w:color w:val="1E293B"/>
                <w:sz w:val="17"/>
              </w:rPr>
              <w:t>Port scanning, service/OS fingerprinting, SSL/TLS cipher evaluation, and web change scraping.</w:t>
            </w:r>
          </w:p>
        </w:tc>
      </w:tr>
      <w:tr>
        <w:tc>
          <w:tcPr>
            <w:tcW w:type="dxa" w:w="3312"/>
            <w:shd w:fill="F8FAFC"/>
          </w:tcPr>
          <w:p>
            <w:pPr>
              <w:spacing w:after="40"/>
            </w:pPr>
            <w:r>
              <w:rPr>
                <w:b/>
                <w:color w:val="1E293B"/>
                <w:sz w:val="17"/>
              </w:rPr>
              <w:t>💾 Persistence &amp; Reporting</w:t>
            </w:r>
          </w:p>
        </w:tc>
        <w:tc>
          <w:tcPr>
            <w:tcW w:type="dxa" w:w="3312"/>
            <w:shd w:fill="F8FAFC"/>
          </w:tcPr>
          <w:p>
            <w:pPr>
              <w:spacing w:after="40"/>
            </w:pPr>
            <w:r>
              <w:rPr>
                <w:color w:val="1E293B"/>
                <w:sz w:val="17"/>
              </w:rPr>
              <w:t>SQLite WAL Mode, jsPDF, Jinja2, SMTP Nodemailer</w:t>
            </w:r>
          </w:p>
        </w:tc>
        <w:tc>
          <w:tcPr>
            <w:tcW w:type="dxa" w:w="3312"/>
            <w:shd w:fill="F8FAFC"/>
          </w:tcPr>
          <w:p>
            <w:pPr>
              <w:spacing w:after="40"/>
            </w:pPr>
            <w:r>
              <w:rPr>
                <w:color w:val="1E293B"/>
                <w:sz w:val="17"/>
              </w:rPr>
              <w:t>Thread-safe data persistence, 4-way baseline diffing, and executive PDF/HTML assessment generation.</w:t>
            </w:r>
          </w:p>
        </w:tc>
      </w:tr>
    </w:tbl>
    <w:p>
      <w:pPr>
        <w:spacing w:after="160"/>
      </w:pPr>
    </w:p>
    <w:p>
      <w:pPr>
        <w:pStyle w:val="Heading1"/>
        <w:spacing w:before="280"/>
      </w:pPr>
      <w:r>
        <w:t>3. Comprehensive Module Engineering &amp; Key Innovations</w:t>
      </w:r>
    </w:p>
    <w:p>
      <w:pPr>
        <w:spacing w:after="60"/>
      </w:pPr>
      <w:r>
        <w:rPr>
          <w:b/>
          <w:color w:val="0E7490"/>
        </w:rPr>
        <w:t xml:space="preserve">• Module 13: Web Zenmap &amp; Nmap Topology Studio (/zenmap): </w:t>
      </w:r>
      <w:r>
        <w:t>Reimplements Zenmap's radial network topology visualization as a web-native SVG/D3 concentric graph. Concentric rings map local scanner origin (Center), intermediate traceroute hops (Ring 1, Radius 140px), and target endpoints (Ring 2, Radius 280px). Target nodes are dynamically color-coded by open port exposure risk: Red for High-Risk (RDP 3389, SMB 445, Telnet 23, MySQL 3306, Redis 6379), Amber for standard services (HTTP 80, HTTPS 443, SSH 22), and Green for clean hardened hosts. Features structured OS/service fingerprinting cards, automated NSE Vulners CVE correlation, injection-safe typed command builders, and an asynchronous fallback TCP connect-scanner when the Nmap binary is absent.</w:t>
      </w:r>
    </w:p>
    <w:p>
      <w:pPr>
        <w:spacing w:after="60"/>
      </w:pPr>
      <w:r>
        <w:rPr>
          <w:b/>
          <w:color w:val="0E7490"/>
        </w:rPr>
        <w:t xml:space="preserve">• Module 1: SSL/TLS Security &amp; Cipher Suite Auditor (/ssl/audit): </w:t>
      </w:r>
      <w:r>
        <w:t>Performs comprehensive cryptographic handshakes across TLS 1.0, 1.1, 1.2, and 1.3. Probes for insecure cipher suites (RC4, 3DES, NULL, EXPORT), evaluates X.509 certificate trust chains (expiration, SAN matching, RSA key size &gt;= 2048-bit), inspects HSTS preload compliance, and computes a deterministic A+ through F grade based on SSL Labs specifications.</w:t>
      </w:r>
    </w:p>
    <w:p>
      <w:pPr>
        <w:spacing w:after="60"/>
      </w:pPr>
      <w:r>
        <w:rPr>
          <w:b/>
          <w:color w:val="0E7490"/>
        </w:rPr>
        <w:t xml:space="preserve">• Module 2: Declarative Scan Profiles &amp; Token-Bucket Rate Limiter: </w:t>
      </w:r>
      <w:r>
        <w:t>Offers three structured scanning presets: Stealth Recon, OWASP Fast Audit, and Deep Surface Coverage. Enforces an asynchronous, per-host Token-Bucket rate limiter preventing target denial-of-service by capping concurrent connections and requests per second.</w:t>
      </w:r>
    </w:p>
    <w:p>
      <w:pPr>
        <w:spacing w:after="60"/>
      </w:pPr>
      <w:r>
        <w:rPr>
          <w:b/>
          <w:color w:val="0E7490"/>
        </w:rPr>
        <w:t xml:space="preserve">• Module 3: Interactive HTTP Repeater with SSRF Guard (/repeater): </w:t>
      </w:r>
      <w:r>
        <w:t>Provides Burp-style raw HTTP request crafting with exact byte-level header casing preservation. Integrates a pre-flight SSRF Guard blocking access to private RFC1918 subnets (10.0.0.0/8, 172.16.0.0/12, 192.168.0.0/16), localhost (127.0.0.1), and Cloud Metadata (169.254.169.254). Features 512KB streaming buffer limits and dual execution fallback (FastAPI backend + direct browser fetch).</w:t>
      </w:r>
    </w:p>
    <w:p>
      <w:pPr>
        <w:spacing w:after="60"/>
      </w:pPr>
      <w:r>
        <w:rPr>
          <w:b/>
          <w:color w:val="0E7490"/>
        </w:rPr>
        <w:t xml:space="preserve">• Module 4: Automated File Carving &amp; Extraction Engine: </w:t>
      </w:r>
      <w:r>
        <w:t>Implements stream-based Foremost/Scalpel magic-byte pattern matching across reassembled TCP streams. Automatically extracts images (PNG, JPEG, GIF), documents (PDF), archives (ZIP, GZ), and binaries (PE, ELF) with truncation detection, storing carved files safely as inert non-executable blobs.</w:t>
      </w:r>
    </w:p>
    <w:p>
      <w:pPr>
        <w:spacing w:after="60"/>
      </w:pPr>
      <w:r>
        <w:rPr>
          <w:b/>
          <w:color w:val="0E7490"/>
        </w:rPr>
        <w:t xml:space="preserve">• Module 5: GeoIP &amp; Autonomous System Number (ASN) Threat Map: </w:t>
      </w:r>
      <w:r>
        <w:t>Performs batch de-duplication of packet capture IP addresses, resolving geographical coordinates, country, city, and ISP/ASN organization. Precomputes smooth 60fps spatial threat flow arcs and country breakdown distributions.</w:t>
      </w:r>
    </w:p>
    <w:p>
      <w:pPr>
        <w:spacing w:after="60"/>
      </w:pPr>
      <w:r>
        <w:rPr>
          <w:b/>
          <w:color w:val="0E7490"/>
        </w:rPr>
        <w:t xml:space="preserve">• Module 6: C2 Beaconing &amp; Periodic Jitter Detector: </w:t>
      </w:r>
      <w:r>
        <w:t>Extracts inter-arrival time deltas (Δt) across packet flows. Computes mean (μ), standard deviation (σ), and Coefficient of Variation (CV = σ / μ). Flags flows with CV &lt; 0.25 as automated malware/C2 heartbeats while filtering out benign NTP and DNS network jitter.</w:t>
      </w:r>
    </w:p>
    <w:p>
      <w:pPr>
        <w:spacing w:after="60"/>
      </w:pPr>
      <w:r>
        <w:rPr>
          <w:b/>
          <w:color w:val="0E7490"/>
        </w:rPr>
        <w:t xml:space="preserve">• Module 7: QUIC &amp; HTTP/3 Decryption Studio: </w:t>
      </w:r>
      <w:r>
        <w:t>Hooks into TShark's SSLKEYLOGFILE injection pipeline (-o uat:tls_keys) to decrypt UDP/443 QUIC and TLS 1.3 encrypted streams into cleartext JSON, HTML, and REST APIs.</w:t>
      </w:r>
    </w:p>
    <w:p>
      <w:pPr>
        <w:spacing w:after="60"/>
      </w:pPr>
      <w:r>
        <w:rPr>
          <w:b/>
          <w:color w:val="0E7490"/>
        </w:rPr>
        <w:t xml:space="preserve">• Module 8: Executive Reports &amp; FIRST.org CVSS 3.1 Calculator: </w:t>
      </w:r>
      <w:r>
        <w:t>Implements the exact FIRST.org CVSS 3.1 Base Score, Impact Sub-score, and Exploitability Sub-score mathematical formula engine. Asynchronously generates boardroom-ready HTML and PDF security reports complete with executive summaries, CVSS score matrices, and code-level remediation snippets.</w:t>
      </w:r>
    </w:p>
    <w:p>
      <w:pPr>
        <w:spacing w:after="60"/>
      </w:pPr>
      <w:r>
        <w:rPr>
          <w:b/>
          <w:color w:val="0E7490"/>
        </w:rPr>
        <w:t xml:space="preserve">• Module 9: Baseline Diff Scanner &amp; Flakiness Tracking (/diff): </w:t>
      </w:r>
      <w:r>
        <w:t>Generates deterministic finding fingerprints: hash(target, module, title, CWE). Compares historical scan baselines against active scans to categorize vulnerabilities into a 4-way matrix (New, Resolved, Still-Open, Changed-Severity) with anti-flakiness confirmation tracking.</w:t>
      </w:r>
    </w:p>
    <w:p>
      <w:pPr>
        <w:spacing w:after="60"/>
      </w:pPr>
      <w:r>
        <w:rPr>
          <w:b/>
          <w:color w:val="0E7490"/>
        </w:rPr>
        <w:t xml:space="preserve">• Automated Web Change Monitoring &amp; CAPTCHA Normalization: </w:t>
      </w:r>
      <w:r>
        <w:t>Executes headless Cheerio scraping on target portals (e.g. SASTRA examination portals). Strips transient anti-bot tokens and CAPTCHA noise, extracting link structures and comparing against historical snapshots. Sends real-time diff alerts via Gmail SMTP and Discord/Telegram webhooks.</w:t>
      </w:r>
    </w:p>
    <w:p>
      <w:pPr>
        <w:pStyle w:val="Heading1"/>
        <w:spacing w:before="280"/>
      </w:pPr>
      <w:r>
        <w:t>4. Automated Verification Matrix &amp; Performance Benchmarks</w:t>
      </w:r>
    </w:p>
    <w:p>
      <w:r>
        <w:t>The platform undergoes continuous automated verification across mathematical formulas, input sanitization, XML streaming, and process lifecycle management:</w:t>
      </w:r>
    </w:p>
    <w:tbl>
      <w:tblPr>
        <w:tblW w:type="auto" w:w="0"/>
        <w:jc w:val="center"/>
        <w:tblLook w:firstColumn="1" w:firstRow="1" w:lastColumn="0" w:lastRow="0" w:noHBand="0" w:noVBand="1" w:val="04A0"/>
      </w:tblPr>
      <w:tblGrid>
        <w:gridCol w:w="3312"/>
        <w:gridCol w:w="3312"/>
        <w:gridCol w:w="3312"/>
      </w:tblGrid>
      <w:tr>
        <w:tc>
          <w:tcPr>
            <w:tcW w:type="dxa" w:w="3312"/>
            <w:shd w:fill="0E7490"/>
          </w:tcPr>
          <w:p>
            <w:pPr>
              <w:spacing w:after="40"/>
            </w:pPr>
            <w:r>
              <w:rPr>
                <w:b/>
                <w:color w:val="FFFFFF"/>
                <w:sz w:val="17"/>
              </w:rPr>
              <w:t>Test Suite / Domain</w:t>
            </w:r>
          </w:p>
        </w:tc>
        <w:tc>
          <w:tcPr>
            <w:tcW w:type="dxa" w:w="3312"/>
            <w:shd w:fill="0E7490"/>
          </w:tcPr>
          <w:p>
            <w:pPr>
              <w:spacing w:after="40"/>
            </w:pPr>
            <w:r>
              <w:rPr>
                <w:b/>
                <w:color w:val="FFFFFF"/>
                <w:sz w:val="17"/>
              </w:rPr>
              <w:t>Key Validation Scenarios</w:t>
            </w:r>
          </w:p>
        </w:tc>
        <w:tc>
          <w:tcPr>
            <w:tcW w:type="dxa" w:w="3312"/>
            <w:shd w:fill="0E7490"/>
          </w:tcPr>
          <w:p>
            <w:pPr>
              <w:spacing w:after="40"/>
            </w:pPr>
            <w:r>
              <w:rPr>
                <w:b/>
                <w:color w:val="FFFFFF"/>
                <w:sz w:val="17"/>
              </w:rPr>
              <w:t>Pass Rate &amp; Status</w:t>
            </w:r>
          </w:p>
        </w:tc>
      </w:tr>
      <w:tr>
        <w:tc>
          <w:tcPr>
            <w:tcW w:type="dxa" w:w="3312"/>
            <w:shd w:fill="F8FAFC"/>
          </w:tcPr>
          <w:p>
            <w:pPr>
              <w:spacing w:after="40"/>
            </w:pPr>
            <w:r>
              <w:rPr>
                <w:b/>
                <w:color w:val="1E293B"/>
                <w:sz w:val="17"/>
              </w:rPr>
              <w:t>Nmap &amp; Zenmap Studio (8 Tests)</w:t>
            </w:r>
          </w:p>
        </w:tc>
        <w:tc>
          <w:tcPr>
            <w:tcW w:type="dxa" w:w="3312"/>
            <w:shd w:fill="F8FAFC"/>
          </w:tcPr>
          <w:p>
            <w:pPr>
              <w:spacing w:after="40"/>
            </w:pPr>
            <w:r>
              <w:rPr>
                <w:color w:val="1E293B"/>
                <w:sz w:val="17"/>
              </w:rPr>
              <w:t>Target validation, injection rejection (; | $ `), typed custom flags, XML chunk streaming, radial coordinates, fallback socket scanner</w:t>
            </w:r>
          </w:p>
        </w:tc>
        <w:tc>
          <w:tcPr>
            <w:tcW w:type="dxa" w:w="3312"/>
            <w:shd w:fill="F8FAFC"/>
          </w:tcPr>
          <w:p>
            <w:pPr>
              <w:spacing w:after="40"/>
            </w:pPr>
            <w:r>
              <w:rPr>
                <w:b/>
                <w:color w:val="10B981"/>
                <w:sz w:val="17"/>
              </w:rPr>
              <w:t>8/8 PASSED (100%)</w:t>
            </w:r>
          </w:p>
        </w:tc>
      </w:tr>
      <w:tr>
        <w:tc>
          <w:tcPr>
            <w:tcW w:type="dxa" w:w="3312"/>
            <w:shd w:fill="FFFFFF"/>
          </w:tcPr>
          <w:p>
            <w:pPr>
              <w:spacing w:after="40"/>
            </w:pPr>
            <w:r>
              <w:rPr>
                <w:b/>
                <w:color w:val="1E293B"/>
                <w:sz w:val="17"/>
              </w:rPr>
              <w:t>Cryptographic &amp; SSL Grading (4 Tests)</w:t>
            </w:r>
          </w:p>
        </w:tc>
        <w:tc>
          <w:tcPr>
            <w:tcW w:type="dxa" w:w="3312"/>
            <w:shd w:fill="FFFFFF"/>
          </w:tcPr>
          <w:p>
            <w:pPr>
              <w:spacing w:after="40"/>
            </w:pPr>
            <w:r>
              <w:rPr>
                <w:color w:val="1E293B"/>
                <w:sz w:val="17"/>
              </w:rPr>
              <w:t>A+ Grade validation, expired cert detection, weak cipher degradation (RC4/3DES), obsolete protocol blocking</w:t>
            </w:r>
          </w:p>
        </w:tc>
        <w:tc>
          <w:tcPr>
            <w:tcW w:type="dxa" w:w="3312"/>
            <w:shd w:fill="FFFFFF"/>
          </w:tcPr>
          <w:p>
            <w:pPr>
              <w:spacing w:after="40"/>
            </w:pPr>
            <w:r>
              <w:rPr>
                <w:b/>
                <w:color w:val="10B981"/>
                <w:sz w:val="17"/>
              </w:rPr>
              <w:t>4/4 PASSED (100%)</w:t>
            </w:r>
          </w:p>
        </w:tc>
      </w:tr>
      <w:tr>
        <w:tc>
          <w:tcPr>
            <w:tcW w:type="dxa" w:w="3312"/>
            <w:shd w:fill="F8FAFC"/>
          </w:tcPr>
          <w:p>
            <w:pPr>
              <w:spacing w:after="40"/>
            </w:pPr>
            <w:r>
              <w:rPr>
                <w:b/>
                <w:color w:val="1E293B"/>
                <w:sz w:val="17"/>
              </w:rPr>
              <w:t>Forensics, Carving &amp; Geo (7 Tests)</w:t>
            </w:r>
          </w:p>
        </w:tc>
        <w:tc>
          <w:tcPr>
            <w:tcW w:type="dxa" w:w="3312"/>
            <w:shd w:fill="F8FAFC"/>
          </w:tcPr>
          <w:p>
            <w:pPr>
              <w:spacing w:after="40"/>
            </w:pPr>
            <w:r>
              <w:rPr>
                <w:color w:val="1E293B"/>
                <w:sz w:val="17"/>
              </w:rPr>
              <w:t>PNG/PDF magic-byte extraction, stream truncation, RFC1918 geo resolution, batch IP aggregation, C2 beacon CV math</w:t>
            </w:r>
          </w:p>
        </w:tc>
        <w:tc>
          <w:tcPr>
            <w:tcW w:type="dxa" w:w="3312"/>
            <w:shd w:fill="F8FAFC"/>
          </w:tcPr>
          <w:p>
            <w:pPr>
              <w:spacing w:after="40"/>
            </w:pPr>
            <w:r>
              <w:rPr>
                <w:b/>
                <w:color w:val="10B981"/>
                <w:sz w:val="17"/>
              </w:rPr>
              <w:t>7/7 PASSED (100%)</w:t>
            </w:r>
          </w:p>
        </w:tc>
      </w:tr>
      <w:tr>
        <w:tc>
          <w:tcPr>
            <w:tcW w:type="dxa" w:w="3312"/>
            <w:shd w:fill="FFFFFF"/>
          </w:tcPr>
          <w:p>
            <w:pPr>
              <w:spacing w:after="40"/>
            </w:pPr>
            <w:r>
              <w:rPr>
                <w:b/>
                <w:color w:val="1E293B"/>
                <w:sz w:val="17"/>
              </w:rPr>
              <w:t>CVSS 3.1 &amp; Baseline Diffing (4 Tests)</w:t>
            </w:r>
          </w:p>
        </w:tc>
        <w:tc>
          <w:tcPr>
            <w:tcW w:type="dxa" w:w="3312"/>
            <w:shd w:fill="FFFFFF"/>
          </w:tcPr>
          <w:p>
            <w:pPr>
              <w:spacing w:after="40"/>
            </w:pPr>
            <w:r>
              <w:rPr>
                <w:color w:val="1E293B"/>
                <w:sz w:val="17"/>
              </w:rPr>
              <w:t>Official FIRST.org formula vectors (Scope Changed/Unchanged), 4-way finding classification matrix, report data assembly</w:t>
            </w:r>
          </w:p>
        </w:tc>
        <w:tc>
          <w:tcPr>
            <w:tcW w:type="dxa" w:w="3312"/>
            <w:shd w:fill="FFFFFF"/>
          </w:tcPr>
          <w:p>
            <w:pPr>
              <w:spacing w:after="40"/>
            </w:pPr>
            <w:r>
              <w:rPr>
                <w:b/>
                <w:color w:val="10B981"/>
                <w:sz w:val="17"/>
              </w:rPr>
              <w:t>4/4 PASSED (100%)</w:t>
            </w:r>
          </w:p>
        </w:tc>
      </w:tr>
      <w:tr>
        <w:tc>
          <w:tcPr>
            <w:tcW w:type="dxa" w:w="3312"/>
            <w:shd w:fill="F8FAFC"/>
          </w:tcPr>
          <w:p>
            <w:pPr>
              <w:spacing w:after="40"/>
            </w:pPr>
            <w:r>
              <w:rPr>
                <w:b/>
                <w:color w:val="1E293B"/>
                <w:sz w:val="17"/>
              </w:rPr>
              <w:t>Core SIEM &amp; Wireshark (8 Tests)</w:t>
            </w:r>
          </w:p>
        </w:tc>
        <w:tc>
          <w:tcPr>
            <w:tcW w:type="dxa" w:w="3312"/>
            <w:shd w:fill="F8FAFC"/>
          </w:tcPr>
          <w:p>
            <w:pPr>
              <w:spacing w:after="40"/>
            </w:pPr>
            <w:r>
              <w:rPr>
                <w:color w:val="1E293B"/>
                <w:sz w:val="17"/>
              </w:rPr>
              <w:t>JWT analyzer, log parsers, rule evaluation engine, Wireshark packet dissection, telemetry diagnostics</w:t>
            </w:r>
          </w:p>
        </w:tc>
        <w:tc>
          <w:tcPr>
            <w:tcW w:type="dxa" w:w="3312"/>
            <w:shd w:fill="F8FAFC"/>
          </w:tcPr>
          <w:p>
            <w:pPr>
              <w:spacing w:after="40"/>
            </w:pPr>
            <w:r>
              <w:rPr>
                <w:b/>
                <w:color w:val="10B981"/>
                <w:sz w:val="17"/>
              </w:rPr>
              <w:t>8/8 PASSED (100%)</w:t>
            </w:r>
          </w:p>
        </w:tc>
      </w:tr>
    </w:tbl>
    <w:p>
      <w:pPr>
        <w:spacing w:after="160"/>
      </w:pPr>
    </w:p>
    <w:tbl>
      <w:tblPr>
        <w:tblW w:type="auto" w:w="0"/>
        <w:jc w:val="center"/>
        <w:tblLook w:firstColumn="1" w:firstRow="1" w:lastColumn="0" w:lastRow="0" w:noHBand="0" w:noVBand="1" w:val="04A0"/>
      </w:tblPr>
      <w:tblGrid>
        <w:gridCol w:w="9936"/>
      </w:tblGrid>
      <w:tr>
        <w:tc>
          <w:tcPr>
            <w:tcW w:type="dxa" w:w="9936"/>
            <w:shd w:fill="F0FDFA"/>
            <w:tcBorders>
              <w:top w:val="none"/>
              <w:left w:val="single" w:sz="24" w:space="0" w:color="0E7490"/>
              <w:bottom w:val="none"/>
              <w:right w:val="none"/>
            </w:tcBorders>
          </w:tcPr>
          <w:p>
            <w:pPr>
              <w:spacing w:before="80" w:after="40"/>
            </w:pPr>
            <w:r>
              <w:rPr>
                <w:b/>
                <w:color w:val="0E7490"/>
                <w:sz w:val="19"/>
              </w:rPr>
              <w:t>🔒 PERFORMANCE &amp; RELIABILITY CERTIFICATION</w:t>
              <w:br/>
            </w:r>
            <w:r>
              <w:rPr>
                <w:color w:val="1E293B"/>
                <w:sz w:val="18"/>
              </w:rPr>
              <w:t>The automated test suite of 31 unit, integration, and security tests completed in 3.42 seconds with a 100% pass rate. All backend endpoints demonstrate sub-50ms baseline latency (Nmap status 2.15ms, CVSS calculation 1.84ms, Radial topology 12.31ms, Baseline diff 18.05ms).</w:t>
            </w:r>
          </w:p>
        </w:tc>
      </w:tr>
    </w:tbl>
    <w:p>
      <w:pPr>
        <w:spacing w:after="80"/>
      </w:pPr>
    </w:p>
    <w:p>
      <w:pPr>
        <w:pStyle w:val="Heading1"/>
        <w:spacing w:before="280"/>
      </w:pPr>
      <w:r>
        <w:t>5. Production Deployment &amp; Source Synchronization</w:t>
      </w:r>
    </w:p>
    <w:p>
      <w:r>
        <w:t>The VulnScan &amp; Sentinel Forensic Security Platform is fully built, tested, and deployed to production:</w:t>
        <w:br/>
        <w:t>• Production Netlify URL: https://vulnerability-scanner-forensics.netlify.app/</w:t>
        <w:br/>
        <w:t>• Frontend GitHub Repository: https://github.com/nidhishv31-cpu/VulnScan.git</w:t>
        <w:br/>
        <w:t>• Backend GitHub Repository: https://github.com/nidhishv31-cpu/sentinel-jwt.git</w:t>
        <w:br/>
        <w:br/>
        <w:t>The platform delivers a production-ready cyber reconnaissance, DPI forensic inspection, DAST assessment, and Web Zenmap studio operating with zero-shell subprocess safety and sub-50ms latency.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