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722D" w14:textId="54B60729" w:rsidR="00EB0159" w:rsidRDefault="00000000"/>
    <w:tbl>
      <w:tblPr>
        <w:tblStyle w:val="TableGrid"/>
        <w:tblW w:w="0" w:type="auto"/>
        <w:tblCellMar>
          <w:top w:w="86" w:type="dxa"/>
          <w:bottom w:w="86" w:type="dxa"/>
        </w:tblCellMar>
        <w:tblLook w:val="0620" w:firstRow="1" w:lastRow="0" w:firstColumn="0" w:lastColumn="0" w:noHBand="1" w:noVBand="1"/>
      </w:tblPr>
      <w:tblGrid>
        <w:gridCol w:w="2880"/>
        <w:gridCol w:w="2790"/>
        <w:gridCol w:w="3690"/>
      </w:tblGrid>
      <w:tr w:rsidR="00CC337C" w:rsidRPr="00E00DC9" w14:paraId="79CBEB54" w14:textId="77777777" w:rsidTr="007017B0">
        <w:trPr>
          <w:cnfStyle w:val="100000000000" w:firstRow="1" w:lastRow="0" w:firstColumn="0" w:lastColumn="0" w:oddVBand="0" w:evenVBand="0" w:oddHBand="0" w:evenHBand="0" w:firstRowFirstColumn="0" w:firstRowLastColumn="0" w:lastRowFirstColumn="0" w:lastRowLastColumn="0"/>
          <w:trHeight w:val="20"/>
        </w:trPr>
        <w:tc>
          <w:tcPr>
            <w:tcW w:w="2880" w:type="dxa"/>
            <w:tcMar>
              <w:top w:w="0" w:type="nil"/>
              <w:bottom w:w="0" w:type="nil"/>
              <w:right w:w="0" w:type="nil"/>
            </w:tcMar>
            <w:vAlign w:val="bottom"/>
          </w:tcPr>
          <w:p w14:paraId="4FB2017B" w14:textId="77777777" w:rsidR="00CC337C" w:rsidRPr="00E00DC9" w:rsidRDefault="00CC337C" w:rsidP="007017B0">
            <w:pPr>
              <w:pStyle w:val="TableColHeading"/>
              <w:jc w:val="left"/>
            </w:pPr>
            <w:r w:rsidRPr="00E00DC9">
              <w:t>Waste Management</w:t>
            </w:r>
          </w:p>
        </w:tc>
        <w:tc>
          <w:tcPr>
            <w:tcW w:w="2790" w:type="dxa"/>
            <w:tcMar>
              <w:top w:w="0" w:type="nil"/>
              <w:bottom w:w="0" w:type="nil"/>
              <w:right w:w="0" w:type="nil"/>
            </w:tcMar>
            <w:vAlign w:val="bottom"/>
          </w:tcPr>
          <w:p w14:paraId="7AEFA824" w14:textId="77777777" w:rsidR="00CC337C" w:rsidRPr="00E00DC9" w:rsidRDefault="00CC337C" w:rsidP="007017B0">
            <w:pPr>
              <w:pStyle w:val="TableColHeading"/>
            </w:pPr>
            <w:r w:rsidRPr="00E00DC9">
              <w:t>Annualized Technical Costs</w:t>
            </w:r>
          </w:p>
        </w:tc>
        <w:tc>
          <w:tcPr>
            <w:tcW w:w="3690" w:type="dxa"/>
          </w:tcPr>
          <w:p w14:paraId="571272D3" w14:textId="77777777" w:rsidR="00CC337C" w:rsidRPr="00E00DC9" w:rsidRDefault="00CC337C" w:rsidP="007017B0">
            <w:pPr>
              <w:pStyle w:val="TableColHeading"/>
            </w:pPr>
            <w:r w:rsidRPr="00E00DC9">
              <w:t>Data Source</w:t>
            </w:r>
          </w:p>
        </w:tc>
      </w:tr>
      <w:tr w:rsidR="00CC337C" w:rsidRPr="00E00DC9" w14:paraId="48C858AB" w14:textId="77777777" w:rsidTr="007017B0">
        <w:tc>
          <w:tcPr>
            <w:tcW w:w="2880" w:type="dxa"/>
            <w:tcMar>
              <w:top w:w="0" w:type="nil"/>
              <w:bottom w:w="0" w:type="nil"/>
              <w:right w:w="0" w:type="nil"/>
            </w:tcMar>
          </w:tcPr>
          <w:p w14:paraId="1F0FFE30" w14:textId="77777777" w:rsidR="00CC337C" w:rsidRPr="00E00DC9" w:rsidRDefault="00CC337C" w:rsidP="007017B0">
            <w:pPr>
              <w:pStyle w:val="TableBody"/>
            </w:pPr>
            <w:r>
              <w:t>Collection</w:t>
            </w:r>
          </w:p>
        </w:tc>
        <w:tc>
          <w:tcPr>
            <w:tcW w:w="2790" w:type="dxa"/>
            <w:tcMar>
              <w:top w:w="0" w:type="nil"/>
              <w:bottom w:w="0" w:type="nil"/>
              <w:right w:w="0" w:type="nil"/>
            </w:tcMar>
          </w:tcPr>
          <w:p w14:paraId="439736E7" w14:textId="77777777" w:rsidR="00CC337C" w:rsidRDefault="00CC337C" w:rsidP="007017B0">
            <w:pPr>
              <w:pStyle w:val="TableBody"/>
            </w:pPr>
            <w:r>
              <w:t>$86/ton of waste</w:t>
            </w:r>
          </w:p>
        </w:tc>
        <w:tc>
          <w:tcPr>
            <w:tcW w:w="3690" w:type="dxa"/>
            <w:vMerge w:val="restart"/>
          </w:tcPr>
          <w:p w14:paraId="1B220FFD" w14:textId="77777777" w:rsidR="00CC337C" w:rsidRDefault="00CC337C" w:rsidP="007017B0">
            <w:pPr>
              <w:pStyle w:val="TableBody"/>
              <w:tabs>
                <w:tab w:val="left" w:pos="2012"/>
              </w:tabs>
            </w:pPr>
            <w:r>
              <w:t xml:space="preserve">World Bank (2012) provides costs for the collection and management of waste for countries of different income groups. For management without energy recovery, we use average costs across the lower-middle and upper- middle income tiers. </w:t>
            </w:r>
            <w:r w:rsidRPr="00D46AEF">
              <w:t>The</w:t>
            </w:r>
            <w:r>
              <w:t xml:space="preserve"> cost of recycling includes the cost of separation and materials recovery. The cost of processing and manufacturing are included in the value of recyclables (discussed in benefits) and is estimated from the EPA’s documentation of paper recycling costs (EPA, 2019).</w:t>
            </w:r>
          </w:p>
          <w:p w14:paraId="04CC2F1C" w14:textId="77777777" w:rsidR="00CC337C" w:rsidRDefault="00CC337C" w:rsidP="007017B0">
            <w:pPr>
              <w:pStyle w:val="TableBody"/>
              <w:tabs>
                <w:tab w:val="left" w:pos="2012"/>
              </w:tabs>
            </w:pPr>
          </w:p>
          <w:p w14:paraId="2838029D" w14:textId="77777777" w:rsidR="00CC337C" w:rsidRDefault="00CC337C" w:rsidP="007017B0">
            <w:pPr>
              <w:pStyle w:val="TableBody"/>
              <w:tabs>
                <w:tab w:val="left" w:pos="2012"/>
              </w:tabs>
            </w:pPr>
          </w:p>
          <w:p w14:paraId="07C918C8" w14:textId="77777777" w:rsidR="00CC337C" w:rsidRDefault="00CC337C" w:rsidP="007017B0">
            <w:pPr>
              <w:pStyle w:val="TableBody"/>
              <w:tabs>
                <w:tab w:val="left" w:pos="2012"/>
              </w:tabs>
            </w:pPr>
            <w:r>
              <w:t>We add a fixed cost for waste recovery as the costs provide in this literature are net of energy sales.</w:t>
            </w:r>
          </w:p>
        </w:tc>
      </w:tr>
      <w:tr w:rsidR="00CC337C" w:rsidRPr="00E00DC9" w14:paraId="4E92337B" w14:textId="77777777" w:rsidTr="007017B0">
        <w:tc>
          <w:tcPr>
            <w:tcW w:w="2880" w:type="dxa"/>
            <w:tcMar>
              <w:top w:w="0" w:type="nil"/>
              <w:bottom w:w="0" w:type="nil"/>
              <w:right w:w="0" w:type="nil"/>
            </w:tcMar>
          </w:tcPr>
          <w:p w14:paraId="48FE71CF" w14:textId="77777777" w:rsidR="00CC337C" w:rsidRPr="00E00DC9" w:rsidRDefault="00CC337C" w:rsidP="007017B0">
            <w:pPr>
              <w:pStyle w:val="TableBody"/>
            </w:pPr>
            <w:r>
              <w:t>Management</w:t>
            </w:r>
          </w:p>
        </w:tc>
        <w:tc>
          <w:tcPr>
            <w:tcW w:w="2790" w:type="dxa"/>
            <w:tcMar>
              <w:top w:w="0" w:type="nil"/>
              <w:bottom w:w="0" w:type="nil"/>
              <w:right w:w="0" w:type="nil"/>
            </w:tcMar>
          </w:tcPr>
          <w:p w14:paraId="6460FC4C" w14:textId="77777777" w:rsidR="00CC337C" w:rsidRDefault="00CC337C" w:rsidP="007017B0">
            <w:pPr>
              <w:pStyle w:val="TableBody"/>
            </w:pPr>
            <w:r>
              <w:t>$10/ton – open dumping</w:t>
            </w:r>
          </w:p>
          <w:p w14:paraId="77BBD13D" w14:textId="77777777" w:rsidR="00CC337C" w:rsidRDefault="00CC337C" w:rsidP="007017B0">
            <w:pPr>
              <w:pStyle w:val="TableBody"/>
            </w:pPr>
            <w:r>
              <w:t>$57/ton – managed landfill</w:t>
            </w:r>
          </w:p>
          <w:p w14:paraId="7B5704FF" w14:textId="77777777" w:rsidR="00CC337C" w:rsidRDefault="00CC337C" w:rsidP="007017B0">
            <w:pPr>
              <w:pStyle w:val="TableBody"/>
            </w:pPr>
            <w:r>
              <w:t>$61/ton – composting</w:t>
            </w:r>
          </w:p>
          <w:p w14:paraId="5467A3F2" w14:textId="77777777" w:rsidR="00CC337C" w:rsidRDefault="00CC337C" w:rsidP="007017B0">
            <w:pPr>
              <w:pStyle w:val="TableBody"/>
            </w:pPr>
            <w:r>
              <w:t>$86/ton – anaerobic biogas</w:t>
            </w:r>
          </w:p>
          <w:p w14:paraId="270957C1" w14:textId="77777777" w:rsidR="00CC337C" w:rsidRDefault="00CC337C" w:rsidP="007017B0">
            <w:pPr>
              <w:pStyle w:val="TableBody"/>
            </w:pPr>
            <w:r>
              <w:t>$72/ton – recycling</w:t>
            </w:r>
          </w:p>
          <w:p w14:paraId="2C783C9D" w14:textId="77777777" w:rsidR="00CC337C" w:rsidRDefault="00CC337C" w:rsidP="007017B0">
            <w:pPr>
              <w:pStyle w:val="TableBody"/>
            </w:pPr>
            <w:r>
              <w:t>$70/ton – incineration</w:t>
            </w:r>
          </w:p>
        </w:tc>
        <w:tc>
          <w:tcPr>
            <w:tcW w:w="3690" w:type="dxa"/>
            <w:vMerge/>
          </w:tcPr>
          <w:p w14:paraId="1BBA210A" w14:textId="77777777" w:rsidR="00CC337C" w:rsidRDefault="00CC337C" w:rsidP="007017B0">
            <w:pPr>
              <w:pStyle w:val="TableBody"/>
            </w:pPr>
          </w:p>
        </w:tc>
      </w:tr>
      <w:tr w:rsidR="00CC337C" w:rsidRPr="00E00DC9" w14:paraId="7F08D1B6" w14:textId="77777777" w:rsidTr="007017B0">
        <w:tc>
          <w:tcPr>
            <w:tcW w:w="2880" w:type="dxa"/>
            <w:tcMar>
              <w:top w:w="0" w:type="nil"/>
              <w:bottom w:w="0" w:type="nil"/>
              <w:right w:w="0" w:type="nil"/>
            </w:tcMar>
          </w:tcPr>
          <w:p w14:paraId="59CDCE06" w14:textId="77777777" w:rsidR="00CC337C" w:rsidRDefault="00CC337C" w:rsidP="007017B0">
            <w:pPr>
              <w:pStyle w:val="TableBody"/>
            </w:pPr>
            <w:r>
              <w:t>Energy Recovery</w:t>
            </w:r>
          </w:p>
        </w:tc>
        <w:tc>
          <w:tcPr>
            <w:tcW w:w="2790" w:type="dxa"/>
            <w:tcMar>
              <w:top w:w="0" w:type="nil"/>
              <w:bottom w:w="0" w:type="nil"/>
              <w:right w:w="0" w:type="nil"/>
            </w:tcMar>
          </w:tcPr>
          <w:p w14:paraId="47659BF0" w14:textId="77777777" w:rsidR="00CC337C" w:rsidRDefault="00CC337C" w:rsidP="007017B0">
            <w:pPr>
              <w:pStyle w:val="TableBody"/>
            </w:pPr>
            <w:r>
              <w:t>$70/ton – energy recovery from waste incineration, landfills, or biogas</w:t>
            </w:r>
          </w:p>
          <w:p w14:paraId="201C2546" w14:textId="77777777" w:rsidR="00CC337C" w:rsidRDefault="00CC337C" w:rsidP="007017B0">
            <w:pPr>
              <w:pStyle w:val="TableBody"/>
            </w:pPr>
          </w:p>
        </w:tc>
        <w:tc>
          <w:tcPr>
            <w:tcW w:w="3690" w:type="dxa"/>
            <w:vMerge/>
          </w:tcPr>
          <w:p w14:paraId="72CEB529" w14:textId="77777777" w:rsidR="00CC337C" w:rsidRDefault="00CC337C" w:rsidP="007017B0">
            <w:pPr>
              <w:pStyle w:val="TableBody"/>
            </w:pPr>
          </w:p>
        </w:tc>
      </w:tr>
      <w:tr w:rsidR="00CC337C" w:rsidRPr="00E00DC9" w14:paraId="797A1DD5" w14:textId="77777777" w:rsidTr="007017B0">
        <w:tc>
          <w:tcPr>
            <w:tcW w:w="2880" w:type="dxa"/>
            <w:tcMar>
              <w:top w:w="0" w:type="nil"/>
              <w:bottom w:w="0" w:type="nil"/>
              <w:right w:w="0" w:type="nil"/>
            </w:tcMar>
          </w:tcPr>
          <w:p w14:paraId="10624202" w14:textId="77777777" w:rsidR="00CC337C" w:rsidRPr="00E00DC9" w:rsidRDefault="00CC337C" w:rsidP="007017B0">
            <w:pPr>
              <w:pStyle w:val="TableBody"/>
            </w:pPr>
            <w:r w:rsidRPr="00E00DC9">
              <w:t xml:space="preserve">Open </w:t>
            </w:r>
            <w:r>
              <w:t>Dumping</w:t>
            </w:r>
          </w:p>
        </w:tc>
        <w:tc>
          <w:tcPr>
            <w:tcW w:w="2790" w:type="dxa"/>
            <w:tcMar>
              <w:top w:w="0" w:type="nil"/>
              <w:bottom w:w="0" w:type="nil"/>
              <w:right w:w="0" w:type="nil"/>
            </w:tcMar>
          </w:tcPr>
          <w:p w14:paraId="248B0931" w14:textId="77777777" w:rsidR="00CC337C" w:rsidRPr="00E00DC9" w:rsidRDefault="00CC337C" w:rsidP="007017B0">
            <w:pPr>
              <w:pStyle w:val="TableBody"/>
            </w:pPr>
            <w:r>
              <w:t>$10/ton of waste</w:t>
            </w:r>
          </w:p>
        </w:tc>
        <w:tc>
          <w:tcPr>
            <w:tcW w:w="3690" w:type="dxa"/>
          </w:tcPr>
          <w:p w14:paraId="04EC54B4" w14:textId="77777777" w:rsidR="00CC337C" w:rsidRPr="00E00DC9" w:rsidRDefault="00CC337C" w:rsidP="007017B0">
            <w:pPr>
              <w:pStyle w:val="TableBody"/>
            </w:pPr>
            <w:r>
              <w:t>World Bank (2012)</w:t>
            </w:r>
          </w:p>
        </w:tc>
      </w:tr>
      <w:tr w:rsidR="00CC337C" w:rsidRPr="00E00DC9" w14:paraId="2020CF8C" w14:textId="77777777" w:rsidTr="007017B0">
        <w:tc>
          <w:tcPr>
            <w:tcW w:w="2880" w:type="dxa"/>
            <w:tcMar>
              <w:top w:w="0" w:type="nil"/>
              <w:bottom w:w="0" w:type="nil"/>
              <w:right w:w="0" w:type="nil"/>
            </w:tcMar>
          </w:tcPr>
          <w:p w14:paraId="5CD7672B" w14:textId="77777777" w:rsidR="00CC337C" w:rsidRPr="00E00DC9" w:rsidRDefault="00CC337C" w:rsidP="007017B0">
            <w:pPr>
              <w:pStyle w:val="TableBody"/>
            </w:pPr>
            <w:r w:rsidRPr="00E00DC9">
              <w:t>Landfilling, with Methane Capture</w:t>
            </w:r>
            <w:r>
              <w:t xml:space="preserve">, </w:t>
            </w:r>
            <w:r w:rsidRPr="00E00DC9">
              <w:t>Flaring</w:t>
            </w:r>
            <w:r>
              <w:t>, and Energy Generation</w:t>
            </w:r>
          </w:p>
        </w:tc>
        <w:tc>
          <w:tcPr>
            <w:tcW w:w="2790" w:type="dxa"/>
            <w:tcMar>
              <w:top w:w="0" w:type="nil"/>
              <w:bottom w:w="0" w:type="nil"/>
              <w:right w:w="0" w:type="nil"/>
            </w:tcMar>
          </w:tcPr>
          <w:p w14:paraId="4E9DC0F3" w14:textId="77777777" w:rsidR="00CC337C" w:rsidRDefault="00CC337C" w:rsidP="007017B0">
            <w:pPr>
              <w:pStyle w:val="TableBody"/>
            </w:pPr>
            <w:r>
              <w:t>$57/ton of waste</w:t>
            </w:r>
          </w:p>
          <w:p w14:paraId="15000C70" w14:textId="77777777" w:rsidR="00CC337C" w:rsidRDefault="00CC337C" w:rsidP="007017B0">
            <w:pPr>
              <w:pStyle w:val="TableBody"/>
              <w:rPr>
                <w:vertAlign w:val="superscript"/>
              </w:rPr>
            </w:pPr>
            <w:r>
              <w:br/>
              <w:t xml:space="preserve">$205 per m3/hour of gas collection and </w:t>
            </w:r>
            <w:proofErr w:type="spellStart"/>
            <w:r>
              <w:t>flaring</w:t>
            </w:r>
            <w:r>
              <w:rPr>
                <w:vertAlign w:val="superscript"/>
              </w:rPr>
              <w:t>b</w:t>
            </w:r>
            <w:proofErr w:type="spellEnd"/>
          </w:p>
          <w:p w14:paraId="3DE9D637" w14:textId="77777777" w:rsidR="00CC337C" w:rsidRPr="00E00DC9" w:rsidRDefault="00CC337C" w:rsidP="007017B0">
            <w:pPr>
              <w:pStyle w:val="TableBody"/>
            </w:pPr>
            <w:r>
              <w:rPr>
                <w:vertAlign w:val="superscript"/>
              </w:rPr>
              <w:br/>
            </w:r>
            <w:commentRangeStart w:id="0"/>
            <w:r>
              <w:t xml:space="preserve">$[265, </w:t>
            </w:r>
            <w:r w:rsidRPr="002031A2">
              <w:rPr>
                <w:b/>
                <w:bCs/>
              </w:rPr>
              <w:t>430</w:t>
            </w:r>
            <w:r>
              <w:t xml:space="preserve">, 890]/kwh for energy generation, valued in the energy </w:t>
            </w:r>
            <w:proofErr w:type="spellStart"/>
            <w:r>
              <w:t>sector</w:t>
            </w:r>
            <w:r w:rsidRPr="00B83D34">
              <w:rPr>
                <w:vertAlign w:val="superscript"/>
              </w:rPr>
              <w:t>c</w:t>
            </w:r>
            <w:commentRangeEnd w:id="0"/>
            <w:proofErr w:type="spellEnd"/>
            <w:r>
              <w:rPr>
                <w:rStyle w:val="CommentReference"/>
                <w:rFonts w:ascii="Times New Roman" w:hAnsi="Times New Roman"/>
                <w:szCs w:val="24"/>
              </w:rPr>
              <w:commentReference w:id="0"/>
            </w:r>
          </w:p>
        </w:tc>
        <w:tc>
          <w:tcPr>
            <w:tcW w:w="3690" w:type="dxa"/>
          </w:tcPr>
          <w:p w14:paraId="4ECBD84B" w14:textId="77777777" w:rsidR="00CC337C" w:rsidRDefault="00CC337C" w:rsidP="007017B0">
            <w:pPr>
              <w:pStyle w:val="TableBody"/>
            </w:pPr>
            <w:r>
              <w:t>World Bank (2012)</w:t>
            </w:r>
            <w:r>
              <w:br/>
            </w:r>
          </w:p>
          <w:p w14:paraId="7D3586B1" w14:textId="77777777" w:rsidR="00CC337C" w:rsidRDefault="00CC337C" w:rsidP="007017B0">
            <w:pPr>
              <w:pStyle w:val="TableBody"/>
            </w:pPr>
          </w:p>
          <w:p w14:paraId="097D1F27" w14:textId="77777777" w:rsidR="00CC337C" w:rsidRPr="00E00DC9" w:rsidRDefault="00CC337C" w:rsidP="007017B0">
            <w:pPr>
              <w:pStyle w:val="TableBody"/>
            </w:pPr>
            <w:r>
              <w:t xml:space="preserve">World Bank (2016) </w:t>
            </w:r>
            <w:r>
              <w:br/>
              <w:t>EPA (2019)</w:t>
            </w:r>
          </w:p>
        </w:tc>
      </w:tr>
      <w:tr w:rsidR="00CC337C" w:rsidRPr="00E00DC9" w14:paraId="7CEB7ED4" w14:textId="77777777" w:rsidTr="007017B0">
        <w:tc>
          <w:tcPr>
            <w:tcW w:w="2880" w:type="dxa"/>
            <w:tcMar>
              <w:top w:w="0" w:type="nil"/>
              <w:bottom w:w="0" w:type="nil"/>
              <w:right w:w="0" w:type="nil"/>
            </w:tcMar>
          </w:tcPr>
          <w:p w14:paraId="25C6E010" w14:textId="77777777" w:rsidR="00CC337C" w:rsidRPr="00E00DC9" w:rsidRDefault="00CC337C" w:rsidP="007017B0">
            <w:pPr>
              <w:pStyle w:val="TableBody"/>
            </w:pPr>
            <w:r w:rsidRPr="00E00DC9">
              <w:t>Composting</w:t>
            </w:r>
          </w:p>
        </w:tc>
        <w:tc>
          <w:tcPr>
            <w:tcW w:w="2790" w:type="dxa"/>
            <w:tcMar>
              <w:top w:w="0" w:type="nil"/>
              <w:bottom w:w="0" w:type="nil"/>
              <w:right w:w="0" w:type="nil"/>
            </w:tcMar>
          </w:tcPr>
          <w:p w14:paraId="598E941D" w14:textId="77777777" w:rsidR="00CC337C" w:rsidRPr="00E00DC9" w:rsidRDefault="00CC337C" w:rsidP="007017B0">
            <w:pPr>
              <w:pStyle w:val="TableBody"/>
            </w:pPr>
            <w:r>
              <w:t>$61/ton of waste</w:t>
            </w:r>
          </w:p>
        </w:tc>
        <w:tc>
          <w:tcPr>
            <w:tcW w:w="3690" w:type="dxa"/>
          </w:tcPr>
          <w:p w14:paraId="4DD4EF41" w14:textId="77777777" w:rsidR="00CC337C" w:rsidRPr="00E00DC9" w:rsidRDefault="00CC337C" w:rsidP="007017B0">
            <w:pPr>
              <w:pStyle w:val="TableBody"/>
            </w:pPr>
            <w:r>
              <w:t>World Bank (2012)</w:t>
            </w:r>
          </w:p>
        </w:tc>
      </w:tr>
      <w:tr w:rsidR="00CC337C" w:rsidRPr="00E00DC9" w14:paraId="244F6B6C" w14:textId="77777777" w:rsidTr="007017B0">
        <w:tc>
          <w:tcPr>
            <w:tcW w:w="2880" w:type="dxa"/>
            <w:tcMar>
              <w:top w:w="0" w:type="nil"/>
              <w:bottom w:w="0" w:type="nil"/>
              <w:right w:w="0" w:type="nil"/>
            </w:tcMar>
          </w:tcPr>
          <w:p w14:paraId="716D92A2" w14:textId="77777777" w:rsidR="00CC337C" w:rsidRPr="00E00DC9" w:rsidRDefault="00CC337C" w:rsidP="007017B0">
            <w:pPr>
              <w:pStyle w:val="TableBody"/>
            </w:pPr>
            <w:r w:rsidRPr="00E00DC9">
              <w:t xml:space="preserve">Anaerobic </w:t>
            </w:r>
            <w:r>
              <w:t>Biogas</w:t>
            </w:r>
          </w:p>
        </w:tc>
        <w:tc>
          <w:tcPr>
            <w:tcW w:w="2790" w:type="dxa"/>
            <w:tcMar>
              <w:top w:w="0" w:type="nil"/>
              <w:bottom w:w="0" w:type="nil"/>
              <w:right w:w="0" w:type="nil"/>
            </w:tcMar>
          </w:tcPr>
          <w:p w14:paraId="139F485D" w14:textId="77777777" w:rsidR="00CC337C" w:rsidRPr="00E00DC9" w:rsidRDefault="00CC337C" w:rsidP="007017B0">
            <w:pPr>
              <w:pStyle w:val="TableBody"/>
            </w:pPr>
            <w:r>
              <w:t>$86/ton of waste</w:t>
            </w:r>
            <w:r w:rsidRPr="007A16DD">
              <w:rPr>
                <w:vertAlign w:val="superscript"/>
              </w:rPr>
              <w:t>d</w:t>
            </w:r>
          </w:p>
        </w:tc>
        <w:tc>
          <w:tcPr>
            <w:tcW w:w="3690" w:type="dxa"/>
          </w:tcPr>
          <w:p w14:paraId="60A7E6D5" w14:textId="77777777" w:rsidR="00CC337C" w:rsidRPr="00E00DC9" w:rsidRDefault="00CC337C" w:rsidP="007017B0">
            <w:pPr>
              <w:pStyle w:val="TableBody"/>
            </w:pPr>
          </w:p>
        </w:tc>
      </w:tr>
      <w:tr w:rsidR="00CC337C" w:rsidRPr="00E00DC9" w14:paraId="4F82839A" w14:textId="77777777" w:rsidTr="007017B0">
        <w:tc>
          <w:tcPr>
            <w:tcW w:w="2880" w:type="dxa"/>
            <w:tcMar>
              <w:top w:w="0" w:type="nil"/>
              <w:bottom w:w="0" w:type="nil"/>
              <w:right w:w="0" w:type="nil"/>
            </w:tcMar>
          </w:tcPr>
          <w:p w14:paraId="15D8D33F" w14:textId="77777777" w:rsidR="00CC337C" w:rsidRPr="00E00DC9" w:rsidRDefault="00CC337C" w:rsidP="007017B0">
            <w:pPr>
              <w:pStyle w:val="TableBody"/>
            </w:pPr>
            <w:r w:rsidRPr="00E00DC9">
              <w:t>Recycling</w:t>
            </w:r>
          </w:p>
        </w:tc>
        <w:tc>
          <w:tcPr>
            <w:tcW w:w="2790" w:type="dxa"/>
            <w:tcMar>
              <w:top w:w="0" w:type="nil"/>
              <w:bottom w:w="0" w:type="nil"/>
              <w:right w:w="0" w:type="nil"/>
            </w:tcMar>
          </w:tcPr>
          <w:p w14:paraId="3A2CD687" w14:textId="77777777" w:rsidR="00CC337C" w:rsidRPr="00E00DC9" w:rsidRDefault="00CC337C" w:rsidP="007017B0">
            <w:pPr>
              <w:pStyle w:val="TableBody"/>
            </w:pPr>
            <w:r>
              <w:t>$72/ton</w:t>
            </w:r>
            <w:r>
              <w:rPr>
                <w:vertAlign w:val="superscript"/>
              </w:rPr>
              <w:t xml:space="preserve"> </w:t>
            </w:r>
            <w:r w:rsidRPr="005365ED">
              <w:t xml:space="preserve">of </w:t>
            </w:r>
            <w:proofErr w:type="spellStart"/>
            <w:r>
              <w:t>waste</w:t>
            </w:r>
            <w:r>
              <w:rPr>
                <w:vertAlign w:val="superscript"/>
              </w:rPr>
              <w:t>e</w:t>
            </w:r>
            <w:proofErr w:type="spellEnd"/>
          </w:p>
        </w:tc>
        <w:tc>
          <w:tcPr>
            <w:tcW w:w="3690" w:type="dxa"/>
          </w:tcPr>
          <w:p w14:paraId="652ECD2F" w14:textId="77777777" w:rsidR="00CC337C" w:rsidRPr="00E00DC9" w:rsidRDefault="00CC337C" w:rsidP="007017B0">
            <w:pPr>
              <w:pStyle w:val="TableBody"/>
            </w:pPr>
            <w:r>
              <w:t>EPA (2019)</w:t>
            </w:r>
            <w:r w:rsidRPr="00D46AEF">
              <w:t xml:space="preserve"> The</w:t>
            </w:r>
            <w:r>
              <w:t xml:space="preserve"> cost of recycling includes the cost of separation and materials recovery. The cost of processing and manufacturing are included in the value of recyclables (discussed in benefits). The separation and materials recovery costs are estimated from the EPA’s documentation of paper recycling costs (EPA, 2019). </w:t>
            </w:r>
          </w:p>
        </w:tc>
      </w:tr>
      <w:tr w:rsidR="00CC337C" w:rsidRPr="00A61DF4" w14:paraId="52761A9A" w14:textId="77777777" w:rsidTr="007017B0">
        <w:trPr>
          <w:trHeight w:val="1109"/>
        </w:trPr>
        <w:tc>
          <w:tcPr>
            <w:tcW w:w="9360" w:type="dxa"/>
            <w:gridSpan w:val="3"/>
            <w:tcBorders>
              <w:top w:val="single" w:sz="8" w:space="0" w:color="auto"/>
            </w:tcBorders>
            <w:tcMar>
              <w:top w:w="0" w:type="nil"/>
              <w:bottom w:w="0" w:type="nil"/>
              <w:right w:w="0" w:type="nil"/>
            </w:tcMar>
          </w:tcPr>
          <w:p w14:paraId="5CFF8AA1" w14:textId="77777777" w:rsidR="00CC337C" w:rsidRPr="00A61DF4" w:rsidRDefault="00CC337C" w:rsidP="007017B0">
            <w:pPr>
              <w:pStyle w:val="TableNote"/>
              <w:jc w:val="both"/>
            </w:pPr>
          </w:p>
        </w:tc>
      </w:tr>
    </w:tbl>
    <w:p w14:paraId="663D8C6E" w14:textId="62413E50" w:rsidR="00CC337C" w:rsidRPr="00CC337C" w:rsidRDefault="00CC337C" w:rsidP="00CC337C"/>
    <w:p w14:paraId="7C00618B" w14:textId="35AB1393" w:rsidR="00CC337C" w:rsidRPr="00CC337C" w:rsidRDefault="00CC337C" w:rsidP="00CC337C"/>
    <w:p w14:paraId="7F1AAE76" w14:textId="3DA3F0AF" w:rsidR="00CC337C" w:rsidRPr="00CC337C" w:rsidRDefault="00CC337C" w:rsidP="00CC337C"/>
    <w:p w14:paraId="55554150" w14:textId="42B78ECD" w:rsidR="00CC337C" w:rsidRPr="00CC337C" w:rsidRDefault="00CC337C" w:rsidP="00CC337C"/>
    <w:p w14:paraId="16EE282A" w14:textId="498796FE" w:rsidR="00CC337C" w:rsidRPr="00CC337C" w:rsidRDefault="00CC337C" w:rsidP="00CC337C"/>
    <w:p w14:paraId="71B86FE7" w14:textId="4BA9E4C2" w:rsidR="00CC337C" w:rsidRPr="00CC337C" w:rsidRDefault="00CC337C" w:rsidP="00CC337C"/>
    <w:p w14:paraId="4FB9B96C" w14:textId="230B40FF" w:rsidR="00CC337C" w:rsidRDefault="00CC337C" w:rsidP="00CC337C"/>
    <w:p w14:paraId="5C2D81E1" w14:textId="77777777" w:rsidR="00CC337C" w:rsidRDefault="00CC337C" w:rsidP="00CC337C">
      <w:pPr>
        <w:pStyle w:val="TableNote"/>
        <w:jc w:val="both"/>
      </w:pPr>
      <w:r>
        <w:tab/>
      </w:r>
      <w:r w:rsidRPr="00E00DC9">
        <w:t>SOURCE:</w:t>
      </w:r>
      <w:r>
        <w:t xml:space="preserve"> World Bank (2012), </w:t>
      </w:r>
      <w:r w:rsidRPr="00B562DA">
        <w:t>What a Waste:</w:t>
      </w:r>
      <w:r>
        <w:t xml:space="preserve"> </w:t>
      </w:r>
      <w:r w:rsidRPr="00B562DA">
        <w:t xml:space="preserve">A Global Review of Solid Waste </w:t>
      </w:r>
      <w:proofErr w:type="gramStart"/>
      <w:r w:rsidRPr="00B562DA">
        <w:t>Management</w:t>
      </w:r>
      <w:r>
        <w:t>;</w:t>
      </w:r>
      <w:proofErr w:type="gramEnd"/>
      <w:r>
        <w:t xml:space="preserve"> </w:t>
      </w:r>
    </w:p>
    <w:p w14:paraId="58DC879A" w14:textId="77777777" w:rsidR="00CC337C" w:rsidRDefault="00CC337C" w:rsidP="00CC337C">
      <w:pPr>
        <w:pStyle w:val="TableNote"/>
        <w:jc w:val="both"/>
      </w:pPr>
    </w:p>
    <w:p w14:paraId="1F4B0A3F" w14:textId="77777777" w:rsidR="00CC337C" w:rsidRPr="00E00DC9" w:rsidRDefault="00CC337C" w:rsidP="00CC337C">
      <w:pPr>
        <w:pStyle w:val="TableNote"/>
        <w:jc w:val="both"/>
      </w:pPr>
      <w:r>
        <w:t>World Bank (2016), Financing Landfill Gas Projects in Developing Countries; and EPA (2019)</w:t>
      </w:r>
      <w:r w:rsidRPr="00D363E7">
        <w:rPr>
          <w:rFonts w:cs="Arial"/>
          <w:b/>
          <w:bCs/>
          <w:sz w:val="28"/>
          <w:szCs w:val="28"/>
        </w:rPr>
        <w:t xml:space="preserve"> </w:t>
      </w:r>
      <w:r w:rsidRPr="00D363E7">
        <w:t>Global Non-CO2 Greenhouse Gas Emission Projections &amp; Marginal Abatement Cost Analysis: Methodology Documentation</w:t>
      </w:r>
      <w:r>
        <w:t xml:space="preserve">, </w:t>
      </w:r>
      <w:r w:rsidRPr="00D363E7">
        <w:t>EPA-430-R-19-012</w:t>
      </w:r>
      <w:r>
        <w:t>, September.</w:t>
      </w:r>
    </w:p>
    <w:p w14:paraId="1CD4CA90" w14:textId="77777777" w:rsidR="00CC337C" w:rsidRPr="00E00DC9" w:rsidRDefault="00CC337C" w:rsidP="00CC337C">
      <w:pPr>
        <w:pStyle w:val="TableNote"/>
        <w:jc w:val="both"/>
      </w:pPr>
      <w:r w:rsidRPr="00E00DC9">
        <w:t>NOTE:</w:t>
      </w:r>
      <w:r>
        <w:t xml:space="preserve"> Where present, ranges represent [min, nominal, max] values found in the cited literature. In the case of costs derived from Annex E in World Bank (2012), the nominal values are the middle of the range of values provided for lower middle-income countries. Otherwise, nominal values reflect the median values found in the literature.</w:t>
      </w:r>
    </w:p>
    <w:p w14:paraId="2A6BA837" w14:textId="77777777" w:rsidR="00CC337C" w:rsidRDefault="00CC337C" w:rsidP="00CC337C">
      <w:pPr>
        <w:pStyle w:val="TableNote"/>
        <w:jc w:val="both"/>
      </w:pPr>
      <w:r w:rsidRPr="00E00DC9">
        <w:rPr>
          <w:rStyle w:val="cTableSuperscript"/>
        </w:rPr>
        <w:t>a</w:t>
      </w:r>
      <w:r w:rsidRPr="00E00DC9">
        <w:t xml:space="preserve"> </w:t>
      </w:r>
    </w:p>
    <w:p w14:paraId="7F211EC4" w14:textId="77777777" w:rsidR="00CC337C" w:rsidRDefault="00CC337C" w:rsidP="00CC337C">
      <w:pPr>
        <w:pStyle w:val="TableNote"/>
        <w:jc w:val="both"/>
      </w:pPr>
      <w:r w:rsidRPr="00532618">
        <w:rPr>
          <w:vertAlign w:val="superscript"/>
        </w:rPr>
        <w:t>b</w:t>
      </w:r>
      <w:r>
        <w:rPr>
          <w:vertAlign w:val="superscript"/>
        </w:rPr>
        <w:t xml:space="preserve"> </w:t>
      </w:r>
      <w:r w:rsidRPr="00D46AEF">
        <w:t>The</w:t>
      </w:r>
      <w:r>
        <w:t xml:space="preserve"> cost of energy captured and flared is calculated from the case study of </w:t>
      </w:r>
      <w:r w:rsidRPr="008B46B6">
        <w:t>Brazil’s Santa Rosa Landfill Flaring Project</w:t>
      </w:r>
      <w:r>
        <w:t xml:space="preserve"> described in Table 12 of World Bank (2016) using the levelized cost of (C/L + O)/U, where C is the capital costs of the project (roughly, $16.6 million), O is the annual operational and maintenance cost (roughly $288,000), U is the capacity of the project in m</w:t>
      </w:r>
      <w:r w:rsidRPr="00F411D3">
        <w:rPr>
          <w:vertAlign w:val="superscript"/>
        </w:rPr>
        <w:t>3</w:t>
      </w:r>
      <w:r>
        <w:t xml:space="preserve">/hour (7,500), and L is the operational lifetime, assumed to be 15 years. Costs are adjusted from 2014 to 2019 dollars. </w:t>
      </w:r>
    </w:p>
    <w:p w14:paraId="34A64EC6" w14:textId="77777777" w:rsidR="00CC337C" w:rsidRDefault="00CC337C" w:rsidP="00CC337C">
      <w:pPr>
        <w:pStyle w:val="TableNote"/>
        <w:jc w:val="both"/>
      </w:pPr>
      <w:r w:rsidRPr="00B83D34">
        <w:rPr>
          <w:vertAlign w:val="superscript"/>
        </w:rPr>
        <w:t>C</w:t>
      </w:r>
      <w:r>
        <w:t xml:space="preserve"> Energy generation is an additional cost, that varies depending upon the technologies used. These costs ranges are based on Table 5-67 of EPA (2019) as (C/L + O) where C is the capital costs per kWh, O is the annual operational and maintenance cost per kWh, and L is the operational lifetime. Given the significant uncertainties and variation in cost per country and over time, we intentionally omit complicating factors such as discount rates and capital depreciation. Resulting costs are adjusted from 2010 to 2020 dollars. Nominal costs are the median cost of options.</w:t>
      </w:r>
    </w:p>
    <w:p w14:paraId="6B28C849" w14:textId="77777777" w:rsidR="00CC337C" w:rsidRDefault="00CC337C" w:rsidP="00CC337C">
      <w:pPr>
        <w:pStyle w:val="TableNote"/>
        <w:jc w:val="both"/>
      </w:pPr>
      <w:r>
        <w:rPr>
          <w:vertAlign w:val="superscript"/>
        </w:rPr>
        <w:t>de</w:t>
      </w:r>
      <w:r w:rsidRPr="005041C7">
        <w:t xml:space="preserve"> The levelized cost of anaerobic digestion is derived from the capital and annual O&amp;M costs per ton noted in p. 5-217 of EPA (2019) and adjusted from 2008 to 2020 dollars.</w:t>
      </w:r>
      <w:r>
        <w:t xml:space="preserve"> </w:t>
      </w:r>
    </w:p>
    <w:p w14:paraId="01C94B89" w14:textId="169887DE" w:rsidR="00CC337C" w:rsidRPr="00CC337C" w:rsidRDefault="00CC337C" w:rsidP="00CC337C">
      <w:pPr>
        <w:tabs>
          <w:tab w:val="left" w:pos="2913"/>
        </w:tabs>
      </w:pPr>
    </w:p>
    <w:sectPr w:rsidR="00CC337C" w:rsidRPr="00CC337C" w:rsidSect="00F254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dhi Kalra" w:date="2022-05-09T12:34:00Z" w:initials="NK">
    <w:p w14:paraId="17E7772A" w14:textId="77777777" w:rsidR="00CC337C" w:rsidRDefault="00CC337C" w:rsidP="00CC337C">
      <w:pPr>
        <w:pStyle w:val="CommentText"/>
      </w:pPr>
      <w:r>
        <w:rPr>
          <w:rStyle w:val="CommentReference"/>
        </w:rPr>
        <w:annotationRef/>
      </w:r>
      <w:r>
        <w:t>This will be calculated in the enrgy sector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7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6CA0" w16cex:dateUtc="2022-05-09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72A" w16cid:durableId="26236C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dhi Kalra">
    <w15:presenceInfo w15:providerId="Windows Live" w15:userId="f3c8e66d58fa6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7C"/>
    <w:rsid w:val="001310B3"/>
    <w:rsid w:val="003A42B0"/>
    <w:rsid w:val="006A77CF"/>
    <w:rsid w:val="00A75566"/>
    <w:rsid w:val="00CC337C"/>
    <w:rsid w:val="00ED04D1"/>
    <w:rsid w:val="00F2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222BA"/>
  <w15:chartTrackingRefBased/>
  <w15:docId w15:val="{6DF9E3C3-A024-E24E-AAD5-0E35F063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Note">
    <w:name w:val="Table Note"/>
    <w:basedOn w:val="Normal"/>
    <w:uiPriority w:val="9"/>
    <w:qFormat/>
    <w:rsid w:val="00CC337C"/>
    <w:pPr>
      <w:contextualSpacing/>
    </w:pPr>
    <w:rPr>
      <w:rFonts w:ascii="Arial" w:eastAsia="Times New Roman" w:hAnsi="Arial" w:cs="Times New Roman"/>
      <w:sz w:val="18"/>
      <w:szCs w:val="20"/>
    </w:rPr>
  </w:style>
  <w:style w:type="character" w:customStyle="1" w:styleId="cTableSuperscript">
    <w:name w:val="(c) Table Superscript"/>
    <w:rsid w:val="00CC337C"/>
    <w:rPr>
      <w:rFonts w:ascii="Arial" w:hAnsi="Arial"/>
      <w:dstrike w:val="0"/>
      <w:color w:val="auto"/>
      <w:sz w:val="18"/>
      <w:vertAlign w:val="superscript"/>
    </w:rPr>
  </w:style>
  <w:style w:type="paragraph" w:customStyle="1" w:styleId="TableBody">
    <w:name w:val="Table Body"/>
    <w:basedOn w:val="Normal"/>
    <w:uiPriority w:val="9"/>
    <w:qFormat/>
    <w:rsid w:val="00CC337C"/>
    <w:rPr>
      <w:rFonts w:ascii="Arial" w:eastAsia="Times New Roman" w:hAnsi="Arial" w:cs="Times New Roman"/>
      <w:sz w:val="18"/>
      <w:szCs w:val="20"/>
    </w:rPr>
  </w:style>
  <w:style w:type="character" w:styleId="CommentReference">
    <w:name w:val="annotation reference"/>
    <w:semiHidden/>
    <w:rsid w:val="00CC337C"/>
    <w:rPr>
      <w:sz w:val="18"/>
    </w:rPr>
  </w:style>
  <w:style w:type="paragraph" w:customStyle="1" w:styleId="TableColHeading">
    <w:name w:val="Table Col Heading"/>
    <w:basedOn w:val="TableBody"/>
    <w:uiPriority w:val="9"/>
    <w:qFormat/>
    <w:rsid w:val="00CC337C"/>
    <w:pPr>
      <w:jc w:val="center"/>
    </w:pPr>
    <w:rPr>
      <w:b/>
    </w:rPr>
  </w:style>
  <w:style w:type="paragraph" w:styleId="CommentText">
    <w:name w:val="annotation text"/>
    <w:basedOn w:val="Normal"/>
    <w:link w:val="CommentTextChar"/>
    <w:semiHidden/>
    <w:rsid w:val="00CC337C"/>
    <w:pPr>
      <w:spacing w:line="288" w:lineRule="auto"/>
      <w:ind w:firstLine="360"/>
    </w:pPr>
    <w:rPr>
      <w:rFonts w:ascii="Times New Roman" w:eastAsia="Times New Roman" w:hAnsi="Times New Roman" w:cs="Times New Roman"/>
    </w:rPr>
  </w:style>
  <w:style w:type="character" w:customStyle="1" w:styleId="CommentTextChar">
    <w:name w:val="Comment Text Char"/>
    <w:basedOn w:val="DefaultParagraphFont"/>
    <w:link w:val="CommentText"/>
    <w:semiHidden/>
    <w:rsid w:val="00CC337C"/>
    <w:rPr>
      <w:rFonts w:ascii="Times New Roman" w:eastAsia="Times New Roman" w:hAnsi="Times New Roman" w:cs="Times New Roman"/>
    </w:rPr>
  </w:style>
  <w:style w:type="table" w:styleId="TableGrid">
    <w:name w:val="Table Grid"/>
    <w:basedOn w:val="TableNormal"/>
    <w:uiPriority w:val="39"/>
    <w:rsid w:val="00CC337C"/>
    <w:pPr>
      <w:spacing w:line="264" w:lineRule="auto"/>
    </w:pPr>
    <w:rPr>
      <w:rFonts w:ascii="Arial" w:eastAsia="Times New Roman" w:hAnsi="Arial" w:cs="Times New Roman"/>
    </w:rPr>
    <w:tblPr>
      <w:tblBorders>
        <w:top w:val="single" w:sz="8" w:space="0" w:color="auto"/>
      </w:tblBorders>
      <w:tblCellMar>
        <w:top w:w="115" w:type="dxa"/>
        <w:left w:w="0" w:type="dxa"/>
        <w:bottom w:w="115" w:type="dxa"/>
        <w:right w:w="0" w:type="dxa"/>
      </w:tblCellMar>
    </w:tblPr>
    <w:tcPr>
      <w:tcMar>
        <w:top w:w="58" w:type="dxa"/>
        <w:bottom w:w="58" w:type="dxa"/>
        <w:right w:w="115" w:type="dxa"/>
      </w:tcMar>
    </w:tcPr>
    <w:tblStylePr w:type="firstRow">
      <w:tblPr/>
      <w:tcPr>
        <w:tcBorders>
          <w:top w:val="single" w:sz="8" w:space="0" w:color="auto"/>
          <w:bottom w:val="single" w:sz="8" w:space="0" w:color="auto"/>
        </w:tcBorders>
      </w:tcPr>
    </w:tblStylePr>
    <w:tblStylePr w:type="lastRow">
      <w:tblPr/>
      <w:tcPr>
        <w:tcBorders>
          <w:top w:val="nil"/>
        </w:tcBorders>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Kalra</dc:creator>
  <cp:keywords/>
  <dc:description/>
  <cp:lastModifiedBy>Nidhi Kalra</cp:lastModifiedBy>
  <cp:revision>1</cp:revision>
  <dcterms:created xsi:type="dcterms:W3CDTF">2023-06-14T22:20:00Z</dcterms:created>
  <dcterms:modified xsi:type="dcterms:W3CDTF">2023-06-14T22:20:00Z</dcterms:modified>
</cp:coreProperties>
</file>