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53867" w14:textId="77777777" w:rsidR="00B217A6" w:rsidRPr="00B217A6" w:rsidRDefault="00B217A6" w:rsidP="00B217A6">
      <w:pPr>
        <w:rPr>
          <w:b/>
          <w:bCs/>
        </w:rPr>
      </w:pPr>
      <w:r w:rsidRPr="00B217A6">
        <w:rPr>
          <w:b/>
          <w:bCs/>
        </w:rPr>
        <w:t>Förordning (2023:422) om ordningsvakter</w:t>
      </w:r>
    </w:p>
    <w:p w14:paraId="3A85297D" w14:textId="77777777" w:rsidR="00B217A6" w:rsidRPr="00B217A6" w:rsidRDefault="00B217A6" w:rsidP="00B217A6">
      <w:r w:rsidRPr="00B217A6">
        <w:rPr>
          <w:b/>
          <w:bCs/>
        </w:rPr>
        <w:t>SFS nr</w:t>
      </w:r>
      <w:r w:rsidRPr="00B217A6">
        <w:t>: 2023:422</w:t>
      </w:r>
      <w:r w:rsidRPr="00B217A6">
        <w:br/>
      </w:r>
      <w:r w:rsidRPr="00B217A6">
        <w:rPr>
          <w:b/>
          <w:bCs/>
        </w:rPr>
        <w:t>Departement/myndighet</w:t>
      </w:r>
      <w:r w:rsidRPr="00B217A6">
        <w:t>: Justitiedepartementet L4</w:t>
      </w:r>
      <w:r w:rsidRPr="00B217A6">
        <w:br/>
      </w:r>
      <w:r w:rsidRPr="00B217A6">
        <w:rPr>
          <w:b/>
          <w:bCs/>
        </w:rPr>
        <w:t>Utfärdad</w:t>
      </w:r>
      <w:r w:rsidRPr="00B217A6">
        <w:t>: 2023-06-15</w:t>
      </w:r>
      <w:r w:rsidRPr="00B217A6">
        <w:br/>
      </w:r>
      <w:r w:rsidRPr="00B217A6">
        <w:rPr>
          <w:b/>
          <w:bCs/>
        </w:rPr>
        <w:t>Ändringsregister</w:t>
      </w:r>
      <w:r w:rsidRPr="00B217A6">
        <w:t>: </w:t>
      </w:r>
      <w:hyperlink r:id="rId4" w:history="1">
        <w:r w:rsidRPr="00B217A6">
          <w:rPr>
            <w:rStyle w:val="Hyperlnk"/>
            <w:b/>
            <w:bCs/>
          </w:rPr>
          <w:t>SFSR (Regeringskansliet)</w:t>
        </w:r>
      </w:hyperlink>
      <w:r w:rsidRPr="00B217A6">
        <w:br/>
      </w:r>
      <w:r w:rsidRPr="00B217A6">
        <w:rPr>
          <w:b/>
          <w:bCs/>
        </w:rPr>
        <w:t>Källa</w:t>
      </w:r>
      <w:r w:rsidRPr="00B217A6">
        <w:t>: </w:t>
      </w:r>
      <w:hyperlink r:id="rId5" w:history="1">
        <w:r w:rsidRPr="00B217A6">
          <w:rPr>
            <w:rStyle w:val="Hyperlnk"/>
            <w:b/>
            <w:bCs/>
          </w:rPr>
          <w:t>Fulltext (Regeringskansliet)</w:t>
        </w:r>
      </w:hyperlink>
    </w:p>
    <w:p w14:paraId="2195668C" w14:textId="77777777" w:rsidR="00B217A6" w:rsidRPr="00B217A6" w:rsidRDefault="00B217A6" w:rsidP="00B217A6">
      <w:r w:rsidRPr="00B217A6">
        <w:pict w14:anchorId="2691981C">
          <v:rect id="_x0000_i1031" style="width:0;height:1.5pt" o:hralign="center" o:hrstd="t" o:hr="t" fillcolor="#a0a0a0" stroked="f"/>
        </w:pict>
      </w:r>
    </w:p>
    <w:p w14:paraId="7B8BBCEE" w14:textId="77777777" w:rsidR="00B217A6" w:rsidRPr="00B217A6" w:rsidRDefault="00B217A6" w:rsidP="00B217A6">
      <w:pPr>
        <w:rPr>
          <w:b/>
          <w:bCs/>
        </w:rPr>
      </w:pPr>
      <w:bookmarkStart w:id="0" w:name="S1"/>
      <w:bookmarkStart w:id="1" w:name="Förordningens_innehåll"/>
      <w:bookmarkEnd w:id="0"/>
      <w:r w:rsidRPr="00B217A6">
        <w:rPr>
          <w:b/>
          <w:bCs/>
        </w:rPr>
        <w:t>Förordningens innehåll</w:t>
      </w:r>
      <w:bookmarkEnd w:id="1"/>
    </w:p>
    <w:p w14:paraId="3ADBFFE1" w14:textId="77777777" w:rsidR="00B217A6" w:rsidRPr="00B217A6" w:rsidRDefault="00B217A6" w:rsidP="00B217A6">
      <w:bookmarkStart w:id="2" w:name="S2"/>
      <w:bookmarkStart w:id="3" w:name="P1"/>
      <w:bookmarkEnd w:id="2"/>
      <w:r w:rsidRPr="00B217A6">
        <w:rPr>
          <w:b/>
          <w:bCs/>
        </w:rPr>
        <w:t>1 §</w:t>
      </w:r>
      <w:bookmarkEnd w:id="3"/>
      <w:r w:rsidRPr="00B217A6">
        <w:t>   Denna förordning innehåller bestämmelser som kompletterar lagen (2023:421) om ordningsvakter.</w:t>
      </w:r>
    </w:p>
    <w:p w14:paraId="24F439AD" w14:textId="77777777" w:rsidR="00B217A6" w:rsidRPr="00B217A6" w:rsidRDefault="00B217A6" w:rsidP="00B217A6">
      <w:bookmarkStart w:id="4" w:name="P1S2"/>
      <w:bookmarkEnd w:id="4"/>
      <w:r w:rsidRPr="00B217A6">
        <w:t xml:space="preserve">Förordningen är meddelad med stöd av 8 kap. 7 § regeringsformen i fråga om 2 och 5 §§ samt med stöd av 19 § lagen om ordningsvakter i fråga om 3, 4 och </w:t>
      </w:r>
      <w:proofErr w:type="gramStart"/>
      <w:r w:rsidRPr="00B217A6">
        <w:t>6-20</w:t>
      </w:r>
      <w:proofErr w:type="gramEnd"/>
      <w:r w:rsidRPr="00B217A6">
        <w:t xml:space="preserve"> §§.</w:t>
      </w:r>
    </w:p>
    <w:p w14:paraId="48555AA5" w14:textId="77777777" w:rsidR="00B217A6" w:rsidRPr="00B217A6" w:rsidRDefault="00B217A6" w:rsidP="00B217A6">
      <w:pPr>
        <w:rPr>
          <w:b/>
          <w:bCs/>
        </w:rPr>
      </w:pPr>
      <w:bookmarkStart w:id="5" w:name="P1S3"/>
      <w:bookmarkStart w:id="6" w:name="Tillstånd_att_använda_ordningsvakter"/>
      <w:bookmarkEnd w:id="5"/>
      <w:r w:rsidRPr="00B217A6">
        <w:rPr>
          <w:b/>
          <w:bCs/>
        </w:rPr>
        <w:t>Tillstånd att använda ordningsvakter</w:t>
      </w:r>
      <w:bookmarkEnd w:id="6"/>
    </w:p>
    <w:p w14:paraId="0D8339A5" w14:textId="77777777" w:rsidR="00B217A6" w:rsidRPr="00B217A6" w:rsidRDefault="00B217A6" w:rsidP="00B217A6">
      <w:bookmarkStart w:id="7" w:name="P1S4"/>
      <w:bookmarkStart w:id="8" w:name="P2"/>
      <w:bookmarkEnd w:id="7"/>
      <w:r w:rsidRPr="00B217A6">
        <w:rPr>
          <w:b/>
          <w:bCs/>
        </w:rPr>
        <w:t>2 §</w:t>
      </w:r>
      <w:bookmarkEnd w:id="8"/>
      <w:r w:rsidRPr="00B217A6">
        <w:t>   En ansökan om tillstånd att använda ordningsvakter ska vara skriftlig och innehålla</w:t>
      </w:r>
      <w:r w:rsidRPr="00B217A6">
        <w:br/>
        <w:t>   1. uppgifter om sökandens namn, person- eller organisationsnummer och postadress,</w:t>
      </w:r>
      <w:r w:rsidRPr="00B217A6">
        <w:br/>
        <w:t>   2. en beskrivning av den plats, det område eller den verksamhet som ansökan avser,</w:t>
      </w:r>
      <w:r w:rsidRPr="00B217A6">
        <w:br/>
        <w:t>   3. en beskrivning av behovet av att använda ordningsvakter på den plats, inom det område eller i den verksamhet som ansökan avser, och</w:t>
      </w:r>
      <w:r w:rsidRPr="00B217A6">
        <w:br/>
        <w:t>   4. de övriga omständigheter som är av betydelse för prövningen av ansökan.</w:t>
      </w:r>
    </w:p>
    <w:p w14:paraId="7E473047" w14:textId="77777777" w:rsidR="00B217A6" w:rsidRPr="00B217A6" w:rsidRDefault="00B217A6" w:rsidP="00B217A6">
      <w:bookmarkStart w:id="9" w:name="P2S2"/>
      <w:bookmarkEnd w:id="9"/>
      <w:r w:rsidRPr="00B217A6">
        <w:t>Ansökan ska ges in till Polismyndigheten.</w:t>
      </w:r>
    </w:p>
    <w:p w14:paraId="0C13FC9F" w14:textId="77777777" w:rsidR="00B217A6" w:rsidRPr="00B217A6" w:rsidRDefault="00B217A6" w:rsidP="00B217A6">
      <w:bookmarkStart w:id="10" w:name="P2S3"/>
      <w:bookmarkStart w:id="11" w:name="P3"/>
      <w:bookmarkEnd w:id="10"/>
      <w:r w:rsidRPr="00B217A6">
        <w:rPr>
          <w:b/>
          <w:bCs/>
        </w:rPr>
        <w:t>3 §</w:t>
      </w:r>
      <w:bookmarkEnd w:id="11"/>
      <w:r w:rsidRPr="00B217A6">
        <w:t>   Ett beslut om tillstånd att använda ordningsvakter ska gälla i högst tre år. Beslutets giltighetstid får förlängas om förutsättningarna för ett meddelat tillstånd i väsentliga delar är oförändrade eller om det annars finns särskilda skäl. En förlängning av beslutets giltighetstid får meddelas för högst tre år i taget.</w:t>
      </w:r>
    </w:p>
    <w:p w14:paraId="75CF17BB" w14:textId="77777777" w:rsidR="00B217A6" w:rsidRPr="00B217A6" w:rsidRDefault="00B217A6" w:rsidP="00B217A6">
      <w:bookmarkStart w:id="12" w:name="P3S2"/>
      <w:bookmarkStart w:id="13" w:name="P4"/>
      <w:bookmarkEnd w:id="12"/>
      <w:r w:rsidRPr="00B217A6">
        <w:rPr>
          <w:b/>
          <w:bCs/>
        </w:rPr>
        <w:t>4 §</w:t>
      </w:r>
      <w:bookmarkEnd w:id="13"/>
      <w:r w:rsidRPr="00B217A6">
        <w:t>   Om den som har tillstånd att använda ordningsvakter ansöker om ett förlängt tillstånd får användning av ordningsvakter ske enligt det tidigare tillståndet till dess att Polismyndigheten har prövat frågan, om ansökan har kommit in till myndigheten senast fyra veckor innan giltighetstiden för det tillståndet går ut.</w:t>
      </w:r>
    </w:p>
    <w:p w14:paraId="24CE5513" w14:textId="77777777" w:rsidR="00B217A6" w:rsidRPr="00B217A6" w:rsidRDefault="00B217A6" w:rsidP="00B217A6">
      <w:pPr>
        <w:rPr>
          <w:b/>
          <w:bCs/>
        </w:rPr>
      </w:pPr>
      <w:bookmarkStart w:id="14" w:name="P4S2"/>
      <w:bookmarkStart w:id="15" w:name="Förordnande_av_ordningsvakter"/>
      <w:bookmarkEnd w:id="14"/>
      <w:r w:rsidRPr="00B217A6">
        <w:rPr>
          <w:b/>
          <w:bCs/>
        </w:rPr>
        <w:t>Förordnande av ordningsvakter</w:t>
      </w:r>
      <w:bookmarkEnd w:id="15"/>
    </w:p>
    <w:p w14:paraId="1AA2825C" w14:textId="77777777" w:rsidR="00B217A6" w:rsidRPr="00B217A6" w:rsidRDefault="00B217A6" w:rsidP="00B217A6">
      <w:bookmarkStart w:id="16" w:name="P4S3"/>
      <w:bookmarkStart w:id="17" w:name="P5"/>
      <w:bookmarkEnd w:id="16"/>
      <w:r w:rsidRPr="00B217A6">
        <w:rPr>
          <w:b/>
          <w:bCs/>
        </w:rPr>
        <w:t>5 §</w:t>
      </w:r>
      <w:bookmarkEnd w:id="17"/>
      <w:r w:rsidRPr="00B217A6">
        <w:t>   En ansökan om att bli förordnad som ordningsvakt ska vara skriftlig och innehålla</w:t>
      </w:r>
      <w:r w:rsidRPr="00B217A6">
        <w:br/>
        <w:t>   1. uppgifter om sökandens namn, personnummer och postadress,</w:t>
      </w:r>
      <w:r w:rsidRPr="00B217A6">
        <w:br/>
        <w:t>   2. uppgifter om vilken utbildning för ordningsvakter som personen önskar genomföra samt information om vem som anordnar utbildningen, och</w:t>
      </w:r>
      <w:r w:rsidRPr="00B217A6">
        <w:br/>
        <w:t>   3. de övriga omständigheter och handlingar som sökanden vill åberopa för att visa att han eller hon uppfyller de krav som anges i 9 § lagen (2023:421) om ordningsvakter.</w:t>
      </w:r>
    </w:p>
    <w:p w14:paraId="676FCFB2" w14:textId="77777777" w:rsidR="00B217A6" w:rsidRPr="00B217A6" w:rsidRDefault="00B217A6" w:rsidP="00B217A6">
      <w:bookmarkStart w:id="18" w:name="P5S2"/>
      <w:bookmarkEnd w:id="18"/>
      <w:r w:rsidRPr="00B217A6">
        <w:t>Ansökan ska ges in till Polismyndigheten.</w:t>
      </w:r>
    </w:p>
    <w:p w14:paraId="477FDC6B" w14:textId="77777777" w:rsidR="00B217A6" w:rsidRPr="00B217A6" w:rsidRDefault="00B217A6" w:rsidP="00B217A6">
      <w:bookmarkStart w:id="19" w:name="P5S3"/>
      <w:bookmarkStart w:id="20" w:name="P6"/>
      <w:bookmarkEnd w:id="19"/>
      <w:r w:rsidRPr="00B217A6">
        <w:rPr>
          <w:b/>
          <w:bCs/>
        </w:rPr>
        <w:t>6 §</w:t>
      </w:r>
      <w:bookmarkEnd w:id="20"/>
      <w:r w:rsidRPr="00B217A6">
        <w:t>   Ett förordnande som ordningsvakt får meddelas för högst fem år.</w:t>
      </w:r>
    </w:p>
    <w:p w14:paraId="0F37DF46" w14:textId="77777777" w:rsidR="00B217A6" w:rsidRPr="00B217A6" w:rsidRDefault="00B217A6" w:rsidP="00B217A6">
      <w:pPr>
        <w:rPr>
          <w:b/>
          <w:bCs/>
        </w:rPr>
      </w:pPr>
      <w:bookmarkStart w:id="21" w:name="P6S2"/>
      <w:bookmarkStart w:id="22" w:name="Ordningsvakters_rapporteringsplikt"/>
      <w:bookmarkEnd w:id="21"/>
      <w:r w:rsidRPr="00B217A6">
        <w:rPr>
          <w:b/>
          <w:bCs/>
        </w:rPr>
        <w:t>Ordningsvakters rapporteringsplikt</w:t>
      </w:r>
      <w:bookmarkEnd w:id="22"/>
    </w:p>
    <w:p w14:paraId="6D7D3135" w14:textId="77777777" w:rsidR="00B217A6" w:rsidRPr="00B217A6" w:rsidRDefault="00B217A6" w:rsidP="00B217A6">
      <w:bookmarkStart w:id="23" w:name="P6S3"/>
      <w:bookmarkStart w:id="24" w:name="P7"/>
      <w:bookmarkEnd w:id="23"/>
      <w:r w:rsidRPr="00B217A6">
        <w:rPr>
          <w:b/>
          <w:bCs/>
        </w:rPr>
        <w:t>7 §</w:t>
      </w:r>
      <w:bookmarkEnd w:id="24"/>
      <w:r w:rsidRPr="00B217A6">
        <w:t>   En ordningsvakt ska inför varje tjänstgöringstillfälle anmäla sin tjänstgöring till Polismyndigheten.</w:t>
      </w:r>
    </w:p>
    <w:p w14:paraId="76D5A19B" w14:textId="77777777" w:rsidR="00B217A6" w:rsidRPr="00B217A6" w:rsidRDefault="00B217A6" w:rsidP="00B217A6">
      <w:bookmarkStart w:id="25" w:name="P7S2"/>
      <w:bookmarkStart w:id="26" w:name="P8"/>
      <w:bookmarkEnd w:id="25"/>
      <w:r w:rsidRPr="00B217A6">
        <w:rPr>
          <w:b/>
          <w:bCs/>
        </w:rPr>
        <w:t>8 §</w:t>
      </w:r>
      <w:bookmarkEnd w:id="26"/>
      <w:r w:rsidRPr="00B217A6">
        <w:t>   En ordningsvakt ska rapportera till Polismyndigheten så snart det på grund av angivelse eller av annat skäl finns anledning att anta att ett brott som hör under allmänt åtal har begåtts.</w:t>
      </w:r>
    </w:p>
    <w:p w14:paraId="7CA5B21D" w14:textId="77777777" w:rsidR="00B217A6" w:rsidRPr="00B217A6" w:rsidRDefault="00B217A6" w:rsidP="00B217A6">
      <w:bookmarkStart w:id="27" w:name="P8S2"/>
      <w:bookmarkStart w:id="28" w:name="P9"/>
      <w:bookmarkEnd w:id="27"/>
      <w:r w:rsidRPr="00B217A6">
        <w:rPr>
          <w:b/>
          <w:bCs/>
        </w:rPr>
        <w:t>9 §</w:t>
      </w:r>
      <w:bookmarkEnd w:id="28"/>
      <w:r w:rsidRPr="00B217A6">
        <w:t>   En ordningsvakt ska rapportera till Polismyndigheten om ingripanden och sådana förhållanden som Polismyndigheten annars bör få kännedom om.</w:t>
      </w:r>
    </w:p>
    <w:p w14:paraId="7BAEF7A5" w14:textId="77777777" w:rsidR="00B217A6" w:rsidRPr="00B217A6" w:rsidRDefault="00B217A6" w:rsidP="00B217A6">
      <w:bookmarkStart w:id="29" w:name="P9S2"/>
      <w:bookmarkStart w:id="30" w:name="P10"/>
      <w:bookmarkEnd w:id="29"/>
      <w:r w:rsidRPr="00B217A6">
        <w:rPr>
          <w:b/>
          <w:bCs/>
        </w:rPr>
        <w:t>10 §</w:t>
      </w:r>
      <w:bookmarkEnd w:id="30"/>
      <w:r w:rsidRPr="00B217A6">
        <w:t>   En ordningsvakt ska dokumentera sina ingripanden.</w:t>
      </w:r>
    </w:p>
    <w:p w14:paraId="025F718D" w14:textId="77777777" w:rsidR="00B217A6" w:rsidRPr="00B217A6" w:rsidRDefault="00B217A6" w:rsidP="00B217A6">
      <w:bookmarkStart w:id="31" w:name="P10S2"/>
      <w:bookmarkStart w:id="32" w:name="P11"/>
      <w:bookmarkEnd w:id="31"/>
      <w:r w:rsidRPr="00B217A6">
        <w:rPr>
          <w:b/>
          <w:bCs/>
        </w:rPr>
        <w:t>11 §</w:t>
      </w:r>
      <w:bookmarkEnd w:id="32"/>
      <w:r w:rsidRPr="00B217A6">
        <w:t>   Om någon skadas till följd av en ordningsvakts ingripande ska ordningsvakten, om skadan inte är obetydlig, så snart det kan ske rapportera det inträffade till Polismyndigheten.</w:t>
      </w:r>
    </w:p>
    <w:p w14:paraId="2293E466" w14:textId="77777777" w:rsidR="00B217A6" w:rsidRPr="00B217A6" w:rsidRDefault="00B217A6" w:rsidP="00B217A6">
      <w:pPr>
        <w:rPr>
          <w:b/>
          <w:bCs/>
        </w:rPr>
      </w:pPr>
      <w:bookmarkStart w:id="33" w:name="P11S2"/>
      <w:bookmarkStart w:id="34" w:name="Utbildning"/>
      <w:bookmarkEnd w:id="33"/>
      <w:r w:rsidRPr="00B217A6">
        <w:rPr>
          <w:b/>
          <w:bCs/>
        </w:rPr>
        <w:t>Utbildning</w:t>
      </w:r>
      <w:bookmarkEnd w:id="34"/>
    </w:p>
    <w:p w14:paraId="1EADDD0C" w14:textId="77777777" w:rsidR="00B217A6" w:rsidRPr="00B217A6" w:rsidRDefault="00B217A6" w:rsidP="00B217A6">
      <w:bookmarkStart w:id="35" w:name="P11S3"/>
      <w:bookmarkStart w:id="36" w:name="P12"/>
      <w:bookmarkEnd w:id="35"/>
      <w:r w:rsidRPr="00B217A6">
        <w:rPr>
          <w:b/>
          <w:bCs/>
        </w:rPr>
        <w:t>12 §</w:t>
      </w:r>
      <w:bookmarkEnd w:id="36"/>
      <w:r w:rsidRPr="00B217A6">
        <w:t>   Utbildning för ordningsvakter sker genom grundutbildning, fortbildning och särskild utbildning.</w:t>
      </w:r>
    </w:p>
    <w:p w14:paraId="0F05E47D" w14:textId="77777777" w:rsidR="00B217A6" w:rsidRPr="00B217A6" w:rsidRDefault="00B217A6" w:rsidP="00B217A6">
      <w:bookmarkStart w:id="37" w:name="P12S2"/>
      <w:bookmarkStart w:id="38" w:name="P13"/>
      <w:bookmarkEnd w:id="37"/>
      <w:r w:rsidRPr="00B217A6">
        <w:rPr>
          <w:b/>
          <w:bCs/>
        </w:rPr>
        <w:t>13 §</w:t>
      </w:r>
      <w:bookmarkEnd w:id="38"/>
      <w:r w:rsidRPr="00B217A6">
        <w:t>   Grundutbildningen ska utformas så att eleverna ges de kunskaper och färdigheter som krävs för tjänstgöring som ordningsvakt.</w:t>
      </w:r>
    </w:p>
    <w:p w14:paraId="701B3BB1" w14:textId="77777777" w:rsidR="00B217A6" w:rsidRPr="00B217A6" w:rsidRDefault="00B217A6" w:rsidP="00B217A6">
      <w:bookmarkStart w:id="39" w:name="P13S2"/>
      <w:bookmarkEnd w:id="39"/>
      <w:r w:rsidRPr="00B217A6">
        <w:t>Grundutbildningen ska omfatta minst 160 timmar.</w:t>
      </w:r>
    </w:p>
    <w:p w14:paraId="5FCDDC8D" w14:textId="77777777" w:rsidR="00B217A6" w:rsidRPr="00B217A6" w:rsidRDefault="00B217A6" w:rsidP="00B217A6">
      <w:bookmarkStart w:id="40" w:name="P13S3"/>
      <w:bookmarkStart w:id="41" w:name="P14"/>
      <w:bookmarkEnd w:id="40"/>
      <w:r w:rsidRPr="00B217A6">
        <w:rPr>
          <w:b/>
          <w:bCs/>
        </w:rPr>
        <w:t>14 §</w:t>
      </w:r>
      <w:bookmarkEnd w:id="41"/>
      <w:r w:rsidRPr="00B217A6">
        <w:t>   Fortbildningen ska utformas så att ordningsvakterna upprätthåller de kunskaper och färdigheter som krävs för tjänstgöring som ordningsvakt.</w:t>
      </w:r>
    </w:p>
    <w:p w14:paraId="7792F2BF" w14:textId="77777777" w:rsidR="00B217A6" w:rsidRPr="00B217A6" w:rsidRDefault="00B217A6" w:rsidP="00B217A6">
      <w:bookmarkStart w:id="42" w:name="P14S2"/>
      <w:bookmarkStart w:id="43" w:name="P15"/>
      <w:bookmarkEnd w:id="42"/>
      <w:r w:rsidRPr="00B217A6">
        <w:rPr>
          <w:b/>
          <w:bCs/>
        </w:rPr>
        <w:t>15 §</w:t>
      </w:r>
      <w:bookmarkEnd w:id="43"/>
      <w:r w:rsidRPr="00B217A6">
        <w:t>   Den särskilda utbildningen ska utformas så att ordningsvakterna ges de kunskaper och färdigheter som krävs för att kunna utföra vissa specifika uppgifter.</w:t>
      </w:r>
    </w:p>
    <w:p w14:paraId="5B778E4F" w14:textId="77777777" w:rsidR="00B217A6" w:rsidRPr="00B217A6" w:rsidRDefault="00B217A6" w:rsidP="00B217A6">
      <w:bookmarkStart w:id="44" w:name="P15S2"/>
      <w:bookmarkStart w:id="45" w:name="P16"/>
      <w:bookmarkEnd w:id="44"/>
      <w:r w:rsidRPr="00B217A6">
        <w:rPr>
          <w:b/>
          <w:bCs/>
        </w:rPr>
        <w:t>16 §</w:t>
      </w:r>
      <w:bookmarkEnd w:id="45"/>
      <w:r w:rsidRPr="00B217A6">
        <w:t>   Utbildning av ordningsvakter får bedrivas av Polismyndigheten eller, om det finns särskilda skäl, av den som har fått ett sådant tillstånd av myndigheten.</w:t>
      </w:r>
    </w:p>
    <w:p w14:paraId="149B4F88" w14:textId="77777777" w:rsidR="00B217A6" w:rsidRPr="00B217A6" w:rsidRDefault="00B217A6" w:rsidP="00B217A6">
      <w:bookmarkStart w:id="46" w:name="P16S2"/>
      <w:bookmarkEnd w:id="46"/>
      <w:r w:rsidRPr="00B217A6">
        <w:t>Tillstånd till att bedriva utbildning av ordningsvakter får bara ges till den som har tillräcklig kompetens och lämplig organisation för att kunna genomföra utbildningen på ett sakkunnigt och omdömesgillt sätt.</w:t>
      </w:r>
    </w:p>
    <w:p w14:paraId="2546DE4A" w14:textId="77777777" w:rsidR="00B217A6" w:rsidRPr="00B217A6" w:rsidRDefault="00B217A6" w:rsidP="00B217A6">
      <w:bookmarkStart w:id="47" w:name="P16S3"/>
      <w:bookmarkStart w:id="48" w:name="P17"/>
      <w:bookmarkEnd w:id="47"/>
      <w:r w:rsidRPr="00B217A6">
        <w:rPr>
          <w:b/>
          <w:bCs/>
        </w:rPr>
        <w:t>17 §</w:t>
      </w:r>
      <w:bookmarkEnd w:id="48"/>
      <w:r w:rsidRPr="00B217A6">
        <w:t>   Polismyndigheten får återkalla ett tillstånd att bedriva utbildning av ordningsvakter om det inte längre finns förutsättningar för tillståndet eller om det annars finns särskilda skäl.</w:t>
      </w:r>
    </w:p>
    <w:p w14:paraId="2ACA741B" w14:textId="77777777" w:rsidR="00B217A6" w:rsidRPr="00B217A6" w:rsidRDefault="00B217A6" w:rsidP="00B217A6">
      <w:pPr>
        <w:rPr>
          <w:b/>
          <w:bCs/>
        </w:rPr>
      </w:pPr>
      <w:bookmarkStart w:id="49" w:name="P17S2"/>
      <w:bookmarkStart w:id="50" w:name="Ordningsvakters_klädsel"/>
      <w:bookmarkEnd w:id="49"/>
      <w:r w:rsidRPr="00B217A6">
        <w:rPr>
          <w:b/>
          <w:bCs/>
        </w:rPr>
        <w:t>Ordningsvakters klädsel</w:t>
      </w:r>
      <w:bookmarkEnd w:id="50"/>
    </w:p>
    <w:p w14:paraId="33D504A1" w14:textId="77777777" w:rsidR="00B217A6" w:rsidRPr="00B217A6" w:rsidRDefault="00B217A6" w:rsidP="00B217A6">
      <w:bookmarkStart w:id="51" w:name="P17S3"/>
      <w:bookmarkStart w:id="52" w:name="P18"/>
      <w:bookmarkEnd w:id="51"/>
      <w:r w:rsidRPr="00B217A6">
        <w:rPr>
          <w:b/>
          <w:bCs/>
        </w:rPr>
        <w:t>18 §</w:t>
      </w:r>
      <w:bookmarkEnd w:id="52"/>
      <w:r w:rsidRPr="00B217A6">
        <w:t>   En ordningsvakt ska bära klädsel eller tjänstetecken som gör att det tydligt framgår att han eller hon tjänstgör som ordningsvakt, utan att det uppstår risk för förväxling med polisman.</w:t>
      </w:r>
    </w:p>
    <w:p w14:paraId="0E1F5FA5" w14:textId="77777777" w:rsidR="00B217A6" w:rsidRPr="00B217A6" w:rsidRDefault="00B217A6" w:rsidP="00B217A6">
      <w:pPr>
        <w:rPr>
          <w:b/>
          <w:bCs/>
        </w:rPr>
      </w:pPr>
      <w:bookmarkStart w:id="53" w:name="P18S2"/>
      <w:bookmarkStart w:id="54" w:name="Avgifter"/>
      <w:bookmarkEnd w:id="53"/>
      <w:r w:rsidRPr="00B217A6">
        <w:rPr>
          <w:b/>
          <w:bCs/>
        </w:rPr>
        <w:t>Avgifter</w:t>
      </w:r>
      <w:bookmarkEnd w:id="54"/>
    </w:p>
    <w:p w14:paraId="64A4F789" w14:textId="77777777" w:rsidR="00B217A6" w:rsidRPr="00B217A6" w:rsidRDefault="00B217A6" w:rsidP="00B217A6">
      <w:bookmarkStart w:id="55" w:name="P18S3"/>
      <w:bookmarkStart w:id="56" w:name="P19"/>
      <w:bookmarkEnd w:id="55"/>
      <w:r w:rsidRPr="00B217A6">
        <w:rPr>
          <w:b/>
          <w:bCs/>
        </w:rPr>
        <w:t>19 §</w:t>
      </w:r>
      <w:bookmarkEnd w:id="56"/>
      <w:r w:rsidRPr="00B217A6">
        <w:t xml:space="preserve">   Polismyndigheten får ta ut en avgift för sin prövning av en ansökan enligt 2, 3 och 5 §§. För ansökningsavgiftens storlek </w:t>
      </w:r>
      <w:proofErr w:type="gramStart"/>
      <w:r w:rsidRPr="00B217A6">
        <w:t>m.m.</w:t>
      </w:r>
      <w:proofErr w:type="gramEnd"/>
      <w:r w:rsidRPr="00B217A6">
        <w:t xml:space="preserve"> gäller bestämmelserna i </w:t>
      </w:r>
      <w:proofErr w:type="gramStart"/>
      <w:r w:rsidRPr="00B217A6">
        <w:t>9-14</w:t>
      </w:r>
      <w:proofErr w:type="gramEnd"/>
      <w:r w:rsidRPr="00B217A6">
        <w:t xml:space="preserve"> §§ avgiftsförordningen (1992:191), varvid avgiftsklass 2 tillämpas.</w:t>
      </w:r>
    </w:p>
    <w:p w14:paraId="27B91E42" w14:textId="77777777" w:rsidR="00B217A6" w:rsidRPr="00B217A6" w:rsidRDefault="00B217A6" w:rsidP="00B217A6">
      <w:bookmarkStart w:id="57" w:name="P19S2"/>
      <w:bookmarkEnd w:id="57"/>
      <w:r w:rsidRPr="00B217A6">
        <w:t>För sådan utbildning av ordningsvakter som genomförs av Polismyndigheten ska myndigheten ta ut en avgift. Avgiften för grundutbildningen är 10 000 kronor. För fortbildningen respektive den särskilda utbildningen är avgiften 5 000 kronor. Avgiften ska bidra till att täcka verksamhetens kostnader.</w:t>
      </w:r>
    </w:p>
    <w:p w14:paraId="03CA9B81" w14:textId="77777777" w:rsidR="00B217A6" w:rsidRPr="00B217A6" w:rsidRDefault="00B217A6" w:rsidP="00B217A6">
      <w:pPr>
        <w:rPr>
          <w:b/>
          <w:bCs/>
        </w:rPr>
      </w:pPr>
      <w:bookmarkStart w:id="58" w:name="P19S3"/>
      <w:bookmarkStart w:id="59" w:name="Bemyndigande_för_Polismyndigheten"/>
      <w:bookmarkEnd w:id="58"/>
      <w:r w:rsidRPr="00B217A6">
        <w:rPr>
          <w:b/>
          <w:bCs/>
        </w:rPr>
        <w:t>Bemyndigande för Polismyndigheten</w:t>
      </w:r>
      <w:bookmarkEnd w:id="59"/>
    </w:p>
    <w:p w14:paraId="0EBC48F5" w14:textId="77777777" w:rsidR="00B217A6" w:rsidRPr="00B217A6" w:rsidRDefault="00B217A6" w:rsidP="00B217A6">
      <w:bookmarkStart w:id="60" w:name="P19S4"/>
      <w:bookmarkStart w:id="61" w:name="P20"/>
      <w:bookmarkEnd w:id="60"/>
      <w:r w:rsidRPr="00B217A6">
        <w:rPr>
          <w:b/>
          <w:bCs/>
        </w:rPr>
        <w:t>20 §</w:t>
      </w:r>
      <w:bookmarkEnd w:id="61"/>
      <w:r w:rsidRPr="00B217A6">
        <w:t>   Polismyndigheten får meddela ytterligare föreskrifter om</w:t>
      </w:r>
      <w:r w:rsidRPr="00B217A6">
        <w:br/>
        <w:t>   1. ordningsvaktens rapporteringsplikt inklusive dokumentation,</w:t>
      </w:r>
      <w:r w:rsidRPr="00B217A6">
        <w:br/>
        <w:t>   2. utbildningens utformning och genomförande, och</w:t>
      </w:r>
      <w:r w:rsidRPr="00B217A6">
        <w:br/>
        <w:t>   3. ordningsvaktens utrustning.</w:t>
      </w:r>
    </w:p>
    <w:p w14:paraId="68478F1B" w14:textId="77777777" w:rsidR="00B217A6" w:rsidRPr="00B217A6" w:rsidRDefault="00B217A6" w:rsidP="00B217A6">
      <w:bookmarkStart w:id="62" w:name="P20S2"/>
      <w:bookmarkEnd w:id="62"/>
      <w:r w:rsidRPr="00B217A6">
        <w:t>Polismyndigheten får meddela föreskrifter om en kortare utbildningstid än den som anges i 13 § för den som har genomgått polis-, väktar- eller skyddsvaktsutbildning.</w:t>
      </w:r>
    </w:p>
    <w:p w14:paraId="1C49F02D" w14:textId="77777777" w:rsidR="00B217A6" w:rsidRPr="00B217A6" w:rsidRDefault="00B217A6" w:rsidP="00B217A6">
      <w:bookmarkStart w:id="63" w:name="P20S3"/>
      <w:bookmarkEnd w:id="63"/>
      <w:r w:rsidRPr="00B217A6">
        <w:t>Polismyndigheten får också meddela föreskrifter om verkställigheten av lagen (2023:421) om ordningsvakter och denna förordning.</w:t>
      </w:r>
    </w:p>
    <w:p w14:paraId="5B8FC15E" w14:textId="77777777" w:rsidR="00B217A6" w:rsidRPr="00B217A6" w:rsidRDefault="00B217A6" w:rsidP="00B217A6">
      <w:pPr>
        <w:rPr>
          <w:b/>
          <w:bCs/>
        </w:rPr>
      </w:pPr>
      <w:bookmarkStart w:id="64" w:name="P20S4"/>
      <w:bookmarkStart w:id="65" w:name="Överklagande"/>
      <w:bookmarkEnd w:id="64"/>
      <w:r w:rsidRPr="00B217A6">
        <w:rPr>
          <w:b/>
          <w:bCs/>
        </w:rPr>
        <w:t>Överklagande</w:t>
      </w:r>
      <w:bookmarkEnd w:id="65"/>
    </w:p>
    <w:p w14:paraId="1B58D049" w14:textId="34FA16E1" w:rsidR="009241A9" w:rsidRDefault="00B217A6" w:rsidP="00B217A6">
      <w:bookmarkStart w:id="66" w:name="P20S5"/>
      <w:bookmarkStart w:id="67" w:name="P21"/>
      <w:bookmarkEnd w:id="66"/>
      <w:r w:rsidRPr="00B217A6">
        <w:rPr>
          <w:b/>
          <w:bCs/>
        </w:rPr>
        <w:t>21 §</w:t>
      </w:r>
      <w:bookmarkEnd w:id="67"/>
      <w:r w:rsidRPr="00B217A6">
        <w:t>   I 40 § förvaltningslagen (2017:900) finns bestämmelser om överklagande till allmän förvaltningsdomstol.</w:t>
      </w:r>
    </w:p>
    <w:sectPr w:rsidR="009241A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7A6"/>
    <w:rsid w:val="00215124"/>
    <w:rsid w:val="009241A9"/>
    <w:rsid w:val="00AC79DE"/>
    <w:rsid w:val="00B217A6"/>
    <w:rsid w:val="00B5684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808F"/>
  <w15:chartTrackingRefBased/>
  <w15:docId w15:val="{CF396EC4-1CEC-40A1-B9D8-D4539C4EE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217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B217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B217A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B217A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B217A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B217A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B217A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B217A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B217A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217A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B217A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B217A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B217A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B217A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B217A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B217A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B217A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B217A6"/>
    <w:rPr>
      <w:rFonts w:eastAsiaTheme="majorEastAsia" w:cstheme="majorBidi"/>
      <w:color w:val="272727" w:themeColor="text1" w:themeTint="D8"/>
    </w:rPr>
  </w:style>
  <w:style w:type="paragraph" w:styleId="Rubrik">
    <w:name w:val="Title"/>
    <w:basedOn w:val="Normal"/>
    <w:next w:val="Normal"/>
    <w:link w:val="RubrikChar"/>
    <w:uiPriority w:val="10"/>
    <w:qFormat/>
    <w:rsid w:val="00B217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B217A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B217A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B217A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B217A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B217A6"/>
    <w:rPr>
      <w:i/>
      <w:iCs/>
      <w:color w:val="404040" w:themeColor="text1" w:themeTint="BF"/>
    </w:rPr>
  </w:style>
  <w:style w:type="paragraph" w:styleId="Liststycke">
    <w:name w:val="List Paragraph"/>
    <w:basedOn w:val="Normal"/>
    <w:uiPriority w:val="34"/>
    <w:qFormat/>
    <w:rsid w:val="00B217A6"/>
    <w:pPr>
      <w:ind w:left="720"/>
      <w:contextualSpacing/>
    </w:pPr>
  </w:style>
  <w:style w:type="character" w:styleId="Starkbetoning">
    <w:name w:val="Intense Emphasis"/>
    <w:basedOn w:val="Standardstycketeckensnitt"/>
    <w:uiPriority w:val="21"/>
    <w:qFormat/>
    <w:rsid w:val="00B217A6"/>
    <w:rPr>
      <w:i/>
      <w:iCs/>
      <w:color w:val="0F4761" w:themeColor="accent1" w:themeShade="BF"/>
    </w:rPr>
  </w:style>
  <w:style w:type="paragraph" w:styleId="Starktcitat">
    <w:name w:val="Intense Quote"/>
    <w:basedOn w:val="Normal"/>
    <w:next w:val="Normal"/>
    <w:link w:val="StarktcitatChar"/>
    <w:uiPriority w:val="30"/>
    <w:qFormat/>
    <w:rsid w:val="00B217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B217A6"/>
    <w:rPr>
      <w:i/>
      <w:iCs/>
      <w:color w:val="0F4761" w:themeColor="accent1" w:themeShade="BF"/>
    </w:rPr>
  </w:style>
  <w:style w:type="character" w:styleId="Starkreferens">
    <w:name w:val="Intense Reference"/>
    <w:basedOn w:val="Standardstycketeckensnitt"/>
    <w:uiPriority w:val="32"/>
    <w:qFormat/>
    <w:rsid w:val="00B217A6"/>
    <w:rPr>
      <w:b/>
      <w:bCs/>
      <w:smallCaps/>
      <w:color w:val="0F4761" w:themeColor="accent1" w:themeShade="BF"/>
      <w:spacing w:val="5"/>
    </w:rPr>
  </w:style>
  <w:style w:type="character" w:styleId="Hyperlnk">
    <w:name w:val="Hyperlink"/>
    <w:basedOn w:val="Standardstycketeckensnitt"/>
    <w:uiPriority w:val="99"/>
    <w:unhideWhenUsed/>
    <w:rsid w:val="00B217A6"/>
    <w:rPr>
      <w:color w:val="467886" w:themeColor="hyperlink"/>
      <w:u w:val="single"/>
    </w:rPr>
  </w:style>
  <w:style w:type="character" w:styleId="Olstomnmnande">
    <w:name w:val="Unresolved Mention"/>
    <w:basedOn w:val="Standardstycketeckensnitt"/>
    <w:uiPriority w:val="99"/>
    <w:semiHidden/>
    <w:unhideWhenUsed/>
    <w:rsid w:val="00B217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rkrattsbaser.gov.se/sfst?bet=2023:422" TargetMode="External"/><Relationship Id="rId4" Type="http://schemas.openxmlformats.org/officeDocument/2006/relationships/hyperlink" Target="http://rkrattsbaser.gov.se/sfsr?bet=2023:422"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910</Words>
  <Characters>4827</Characters>
  <Application>Microsoft Office Word</Application>
  <DocSecurity>0</DocSecurity>
  <Lines>40</Lines>
  <Paragraphs>11</Paragraphs>
  <ScaleCrop>false</ScaleCrop>
  <Company/>
  <LinksUpToDate>false</LinksUpToDate>
  <CharactersWithSpaces>5726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Lindström</dc:creator>
  <cp:keywords/>
  <dc:description/>
  <cp:lastModifiedBy>David Lindström</cp:lastModifiedBy>
  <cp:revision>1</cp:revision>
  <dcterms:created xsi:type="dcterms:W3CDTF">2025-11-20T12:23:00Z</dcterms:created>
  <dcterms:modified xsi:type="dcterms:W3CDTF">2025-11-20T12:24:00Z</dcterms:modified>
</cp:coreProperties>
</file>