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9F71" w14:textId="04DFB96B" w:rsidR="00896CA2" w:rsidRDefault="00E326AA">
      <w:pPr>
        <w:spacing w:after="80"/>
        <w:jc w:val="center"/>
      </w:pPr>
      <w:r>
        <w:rPr>
          <w:b/>
          <w:bCs/>
          <w:color w:val="1F4E79"/>
          <w:sz w:val="44"/>
          <w:szCs w:val="44"/>
        </w:rPr>
        <w:t>T</w:t>
      </w:r>
      <w:r w:rsidR="00000000">
        <w:rPr>
          <w:b/>
          <w:bCs/>
          <w:color w:val="1F4E79"/>
          <w:sz w:val="44"/>
          <w:szCs w:val="44"/>
        </w:rPr>
        <w:t>he Chart of Accounts Architecture</w:t>
      </w:r>
    </w:p>
    <w:p w14:paraId="30136873" w14:textId="77777777" w:rsidR="00896CA2" w:rsidRDefault="00000000">
      <w:pPr>
        <w:spacing w:after="80"/>
        <w:jc w:val="center"/>
      </w:pPr>
      <w:r>
        <w:rPr>
          <w:color w:val="555555"/>
          <w:sz w:val="26"/>
          <w:szCs w:val="26"/>
        </w:rPr>
        <w:t>Default CoA Design for ERP System</w:t>
      </w:r>
    </w:p>
    <w:p w14:paraId="739AD8AB" w14:textId="77777777" w:rsidR="00896CA2" w:rsidRDefault="00000000">
      <w:pPr>
        <w:pBdr>
          <w:bottom w:val="single" w:sz="8" w:space="1" w:color="1F4E79"/>
        </w:pBdr>
        <w:spacing w:after="400"/>
        <w:jc w:val="center"/>
      </w:pPr>
      <w:r>
        <w:rPr>
          <w:color w:val="777777"/>
        </w:rPr>
        <w:t>Prepared: February 2026</w:t>
      </w:r>
    </w:p>
    <w:p w14:paraId="1677109C" w14:textId="77777777" w:rsidR="00896CA2" w:rsidRDefault="00000000">
      <w:pPr>
        <w:pStyle w:val="Heading1"/>
      </w:pPr>
      <w:r>
        <w:t>1. Four-Layer Hierarchical Classification</w:t>
      </w:r>
    </w:p>
    <w:p w14:paraId="70C4E724" w14:textId="77777777" w:rsidR="00896CA2" w:rsidRDefault="00000000">
      <w:pPr>
        <w:spacing w:after="160" w:line="276" w:lineRule="auto"/>
        <w:jc w:val="both"/>
      </w:pPr>
      <w:r>
        <w:rPr>
          <w:color w:val="000000"/>
        </w:rPr>
        <w:t>The CoA is built on a structured four-layer hierarchy that moves from the broadest financial category down to the individual postable ledger account. This architecture provides clarity at every level of financial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96CA2" w14:paraId="699BE89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CE4524E" w14:textId="77777777" w:rsidR="00896CA2" w:rsidRDefault="00000000">
            <w:pPr>
              <w:jc w:val="center"/>
            </w:pPr>
            <w:r>
              <w:rPr>
                <w:b/>
                <w:bCs/>
                <w:color w:val="FFFFFF"/>
                <w:sz w:val="20"/>
                <w:szCs w:val="20"/>
              </w:rPr>
              <w:t>Layer 1</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E36487C" w14:textId="77777777" w:rsidR="00896CA2" w:rsidRDefault="00000000">
            <w:pPr>
              <w:jc w:val="center"/>
            </w:pPr>
            <w:r>
              <w:rPr>
                <w:b/>
                <w:bCs/>
                <w:color w:val="FFFFFF"/>
                <w:sz w:val="20"/>
                <w:szCs w:val="20"/>
              </w:rPr>
              <w:t>Layer 2</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387A832" w14:textId="77777777" w:rsidR="00896CA2" w:rsidRDefault="00000000">
            <w:pPr>
              <w:jc w:val="center"/>
            </w:pPr>
            <w:r>
              <w:rPr>
                <w:b/>
                <w:bCs/>
                <w:color w:val="FFFFFF"/>
                <w:sz w:val="20"/>
                <w:szCs w:val="20"/>
              </w:rPr>
              <w:t>Layer 3</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64C5669" w14:textId="77777777" w:rsidR="00896CA2" w:rsidRDefault="00000000">
            <w:pPr>
              <w:jc w:val="center"/>
            </w:pPr>
            <w:r>
              <w:rPr>
                <w:b/>
                <w:bCs/>
                <w:color w:val="FFFFFF"/>
                <w:sz w:val="20"/>
                <w:szCs w:val="20"/>
              </w:rPr>
              <w:t>Layer 4</w:t>
            </w:r>
          </w:p>
        </w:tc>
      </w:tr>
      <w:tr w:rsidR="00896CA2" w14:paraId="76AFD34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36B8CE" w14:textId="77777777" w:rsidR="00896CA2" w:rsidRDefault="00000000">
            <w:r>
              <w:rPr>
                <w:color w:val="000000"/>
                <w:sz w:val="20"/>
                <w:szCs w:val="20"/>
              </w:rPr>
              <w:t>Asset, Liability, Equity, Income, Expense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75C8968" w14:textId="77777777" w:rsidR="00896CA2" w:rsidRDefault="00000000">
            <w:r>
              <w:rPr>
                <w:color w:val="000000"/>
                <w:sz w:val="20"/>
                <w:szCs w:val="20"/>
              </w:rPr>
              <w:t>Current Asset, Non Current Asset, Operating Income, etc.</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4103B11" w14:textId="77777777" w:rsidR="00896CA2" w:rsidRDefault="00000000">
            <w:r>
              <w:rPr>
                <w:color w:val="000000"/>
                <w:sz w:val="20"/>
                <w:szCs w:val="20"/>
              </w:rPr>
              <w:t>Cash, Bank, Inventory, Receivables, Revenue, etc.</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DB6BE50" w14:textId="77777777" w:rsidR="00896CA2" w:rsidRDefault="00000000">
            <w:r>
              <w:rPr>
                <w:color w:val="000000"/>
                <w:sz w:val="20"/>
                <w:szCs w:val="20"/>
              </w:rPr>
              <w:t>Petty Cash, Sales Cash, Accounts Receivables, etc.</w:t>
            </w:r>
          </w:p>
        </w:tc>
      </w:tr>
    </w:tbl>
    <w:p w14:paraId="524A6C25" w14:textId="77777777" w:rsidR="00896CA2" w:rsidRDefault="00896CA2">
      <w:pPr>
        <w:spacing w:after="80"/>
      </w:pPr>
    </w:p>
    <w:p w14:paraId="0C239765" w14:textId="77777777" w:rsidR="00896CA2" w:rsidRDefault="00000000">
      <w:pPr>
        <w:pStyle w:val="ListParagraph"/>
        <w:numPr>
          <w:ilvl w:val="0"/>
          <w:numId w:val="2"/>
        </w:numPr>
        <w:spacing w:after="100" w:line="276" w:lineRule="auto"/>
      </w:pPr>
      <w:r>
        <w:rPr>
          <w:b/>
          <w:bCs/>
          <w:color w:val="000000"/>
        </w:rPr>
        <w:t xml:space="preserve">Layer 1 </w:t>
      </w:r>
      <w:r>
        <w:rPr>
          <w:color w:val="000000"/>
        </w:rPr>
        <w:t>aligns with the five fundamental accounting elements (Asset, Liability, Equity, Income, Expense), ensuring the CoA is universally understood by accountants, auditors, and regulators.</w:t>
      </w:r>
    </w:p>
    <w:p w14:paraId="4C73A9E6" w14:textId="77777777" w:rsidR="00896CA2" w:rsidRDefault="00000000">
      <w:pPr>
        <w:pStyle w:val="ListParagraph"/>
        <w:numPr>
          <w:ilvl w:val="0"/>
          <w:numId w:val="2"/>
        </w:numPr>
        <w:spacing w:after="100" w:line="276" w:lineRule="auto"/>
      </w:pPr>
      <w:r>
        <w:rPr>
          <w:b/>
          <w:bCs/>
          <w:color w:val="000000"/>
        </w:rPr>
        <w:t xml:space="preserve">Layer 2 </w:t>
      </w:r>
      <w:r>
        <w:rPr>
          <w:color w:val="000000"/>
        </w:rPr>
        <w:t xml:space="preserve">separates each element by nature or function (e.g., Current vs. Non-Current, </w:t>
      </w:r>
      <w:proofErr w:type="gramStart"/>
      <w:r>
        <w:rPr>
          <w:color w:val="000000"/>
        </w:rPr>
        <w:t>Operating</w:t>
      </w:r>
      <w:proofErr w:type="gramEnd"/>
      <w:r>
        <w:rPr>
          <w:color w:val="000000"/>
        </w:rPr>
        <w:t xml:space="preserve"> vs. Non-Operating), enabling balance sheet and income statement presentation that complies with IAS 1.</w:t>
      </w:r>
    </w:p>
    <w:p w14:paraId="0C49BCD7" w14:textId="77777777" w:rsidR="00896CA2" w:rsidRDefault="00000000">
      <w:pPr>
        <w:pStyle w:val="ListParagraph"/>
        <w:numPr>
          <w:ilvl w:val="0"/>
          <w:numId w:val="2"/>
        </w:numPr>
        <w:spacing w:after="100" w:line="276" w:lineRule="auto"/>
      </w:pPr>
      <w:r>
        <w:rPr>
          <w:b/>
          <w:bCs/>
          <w:color w:val="000000"/>
        </w:rPr>
        <w:t xml:space="preserve">Layer 3 </w:t>
      </w:r>
      <w:r>
        <w:rPr>
          <w:color w:val="000000"/>
        </w:rPr>
        <w:t>groups related accounts under a functional category (e.g., Cash, Bank, Inventory, Payroll &amp; Employee Costs), making it intuitive for users to locate accounts.</w:t>
      </w:r>
    </w:p>
    <w:p w14:paraId="03DE473F" w14:textId="77777777" w:rsidR="00896CA2" w:rsidRDefault="00000000">
      <w:pPr>
        <w:pStyle w:val="ListParagraph"/>
        <w:numPr>
          <w:ilvl w:val="0"/>
          <w:numId w:val="2"/>
        </w:numPr>
        <w:spacing w:after="100" w:line="276" w:lineRule="auto"/>
      </w:pPr>
      <w:r>
        <w:rPr>
          <w:b/>
          <w:bCs/>
          <w:color w:val="000000"/>
        </w:rPr>
        <w:t xml:space="preserve">Layer 4 (Ledgerable) </w:t>
      </w:r>
      <w:r>
        <w:rPr>
          <w:color w:val="000000"/>
        </w:rPr>
        <w:t>is the only layer where actual transactions are posted. This prevents accidental posting at summary levels and keeps the general ledger clean.</w:t>
      </w:r>
    </w:p>
    <w:p w14:paraId="015FE5C7" w14:textId="77777777" w:rsidR="00896CA2" w:rsidRDefault="00000000">
      <w:pPr>
        <w:spacing w:after="160" w:line="276" w:lineRule="auto"/>
        <w:jc w:val="both"/>
      </w:pPr>
      <w:r>
        <w:rPr>
          <w:color w:val="000000"/>
        </w:rPr>
        <w:t>This separation means that financial statements, trial balances, and management reports can be generated at any layer, giving stakeholders the ability to drill down from high-level summaries to individual ledger details without restructuring the chart.</w:t>
      </w:r>
    </w:p>
    <w:p w14:paraId="56FEA502" w14:textId="77777777" w:rsidR="00896CA2" w:rsidRDefault="00000000">
      <w:pPr>
        <w:pStyle w:val="Heading1"/>
      </w:pPr>
      <w:r>
        <w:t>2. Infinite Sub-Account Expandability</w:t>
      </w:r>
    </w:p>
    <w:p w14:paraId="020D33E5" w14:textId="77777777" w:rsidR="00896CA2" w:rsidRDefault="00000000">
      <w:pPr>
        <w:spacing w:after="160" w:line="276" w:lineRule="auto"/>
        <w:jc w:val="both"/>
      </w:pPr>
      <w:r>
        <w:rPr>
          <w:color w:val="000000"/>
        </w:rPr>
        <w:t>The system allows users to create unlimited sub-account layers beneath any Layer 4 account. This is a critical architectural advantage for several reasons:</w:t>
      </w:r>
    </w:p>
    <w:p w14:paraId="4F8C81ED" w14:textId="77777777" w:rsidR="00896CA2" w:rsidRDefault="00000000">
      <w:pPr>
        <w:pStyle w:val="ListParagraph"/>
        <w:numPr>
          <w:ilvl w:val="0"/>
          <w:numId w:val="2"/>
        </w:numPr>
        <w:spacing w:after="100" w:line="276" w:lineRule="auto"/>
      </w:pPr>
      <w:r>
        <w:rPr>
          <w:b/>
          <w:bCs/>
          <w:color w:val="000000"/>
        </w:rPr>
        <w:t xml:space="preserve">Departmental tracking: </w:t>
      </w:r>
      <w:r>
        <w:rPr>
          <w:color w:val="000000"/>
        </w:rPr>
        <w:t>A business can break "Salaries and Wages" into sub-accounts by department (e.g., Salaries – Sales, Salaries – Admin, Salaries – Production) without modifying the default CoA structure.</w:t>
      </w:r>
    </w:p>
    <w:p w14:paraId="5C61419B" w14:textId="77777777" w:rsidR="00896CA2" w:rsidRDefault="00000000">
      <w:pPr>
        <w:pStyle w:val="ListParagraph"/>
        <w:numPr>
          <w:ilvl w:val="0"/>
          <w:numId w:val="2"/>
        </w:numPr>
        <w:spacing w:after="100" w:line="276" w:lineRule="auto"/>
      </w:pPr>
      <w:r>
        <w:rPr>
          <w:b/>
          <w:bCs/>
          <w:color w:val="000000"/>
        </w:rPr>
        <w:t xml:space="preserve">Project-based accounting: </w:t>
      </w:r>
      <w:r>
        <w:rPr>
          <w:color w:val="000000"/>
        </w:rPr>
        <w:t>Construction, IT, and consulting firms can create project-level sub-accounts under "Cost of Services" to track profitability per engagement.</w:t>
      </w:r>
    </w:p>
    <w:p w14:paraId="1A1EC65B" w14:textId="77777777" w:rsidR="00896CA2" w:rsidRDefault="00000000">
      <w:pPr>
        <w:pStyle w:val="ListParagraph"/>
        <w:numPr>
          <w:ilvl w:val="0"/>
          <w:numId w:val="2"/>
        </w:numPr>
        <w:spacing w:after="100" w:line="276" w:lineRule="auto"/>
      </w:pPr>
      <w:r>
        <w:rPr>
          <w:b/>
          <w:bCs/>
          <w:color w:val="000000"/>
        </w:rPr>
        <w:t xml:space="preserve">Multi-location businesses: </w:t>
      </w:r>
      <w:r>
        <w:rPr>
          <w:color w:val="000000"/>
        </w:rPr>
        <w:t>A retail chain can split "Sales" into sub-accounts per outlet, while the Layer 4 total still rolls up correctly for consolidated reporting.</w:t>
      </w:r>
    </w:p>
    <w:p w14:paraId="29AC4BE1" w14:textId="77777777" w:rsidR="00896CA2" w:rsidRDefault="00000000">
      <w:pPr>
        <w:pStyle w:val="ListParagraph"/>
        <w:numPr>
          <w:ilvl w:val="0"/>
          <w:numId w:val="2"/>
        </w:numPr>
        <w:spacing w:after="100" w:line="276" w:lineRule="auto"/>
      </w:pPr>
      <w:r>
        <w:rPr>
          <w:b/>
          <w:bCs/>
          <w:color w:val="000000"/>
        </w:rPr>
        <w:lastRenderedPageBreak/>
        <w:t xml:space="preserve">Future-proofing: </w:t>
      </w:r>
      <w:r>
        <w:rPr>
          <w:color w:val="000000"/>
        </w:rPr>
        <w:t>As a business grows from a sole proprietorship to a multi-division enterprise, the CoA scales without requiring migration or restructuring.</w:t>
      </w:r>
    </w:p>
    <w:p w14:paraId="51E7C0C4" w14:textId="77777777" w:rsidR="00896CA2" w:rsidRDefault="00000000">
      <w:pPr>
        <w:spacing w:after="160" w:line="276" w:lineRule="auto"/>
        <w:jc w:val="both"/>
      </w:pPr>
      <w:r>
        <w:rPr>
          <w:color w:val="000000"/>
        </w:rPr>
        <w:t>This design means the default CoA serves as a solid foundation, and every business adapts it to their specific complexity level without hitting structural limits.</w:t>
      </w:r>
    </w:p>
    <w:p w14:paraId="42DB0ABA" w14:textId="77777777" w:rsidR="00896CA2" w:rsidRDefault="00000000">
      <w:pPr>
        <w:pStyle w:val="Heading1"/>
      </w:pPr>
      <w:r>
        <w:t>3. Bangladesh Tax, VAT &amp; Supplementary Duty Compliance</w:t>
      </w:r>
    </w:p>
    <w:p w14:paraId="68374E25" w14:textId="77777777" w:rsidR="00896CA2" w:rsidRDefault="00000000">
      <w:pPr>
        <w:spacing w:after="160" w:line="276" w:lineRule="auto"/>
        <w:jc w:val="both"/>
      </w:pPr>
      <w:r>
        <w:rPr>
          <w:color w:val="000000"/>
        </w:rPr>
        <w:t>The CoA has been specifically designed to support Bangladesh’s tax regime under the National Board of Revenue (NBR). The following accounts are built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96CA2" w14:paraId="5FB8461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CBDD3B5" w14:textId="77777777" w:rsidR="00896CA2" w:rsidRDefault="00000000">
            <w:pPr>
              <w:jc w:val="center"/>
            </w:pPr>
            <w:r>
              <w:rPr>
                <w:b/>
                <w:bCs/>
                <w:color w:val="FFFFFF"/>
                <w:sz w:val="20"/>
                <w:szCs w:val="20"/>
              </w:rPr>
              <w:t>Tax 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96FA0AC" w14:textId="77777777" w:rsidR="00896CA2" w:rsidRDefault="00000000">
            <w:pPr>
              <w:jc w:val="center"/>
            </w:pPr>
            <w:r>
              <w:rPr>
                <w:b/>
                <w:bCs/>
                <w:color w:val="FFFFFF"/>
                <w:sz w:val="20"/>
                <w:szCs w:val="20"/>
              </w:rPr>
              <w:t>Asset Side (Receivable)</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A7398C4" w14:textId="77777777" w:rsidR="00896CA2" w:rsidRDefault="00000000">
            <w:pPr>
              <w:jc w:val="center"/>
            </w:pPr>
            <w:r>
              <w:rPr>
                <w:b/>
                <w:bCs/>
                <w:color w:val="FFFFFF"/>
                <w:sz w:val="20"/>
                <w:szCs w:val="20"/>
              </w:rPr>
              <w:t>Liability Side (Payable)</w:t>
            </w:r>
          </w:p>
        </w:tc>
      </w:tr>
      <w:tr w:rsidR="00896CA2" w14:paraId="5441F7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B666EC6" w14:textId="77777777" w:rsidR="00896CA2" w:rsidRDefault="00000000">
            <w:r>
              <w:rPr>
                <w:color w:val="000000"/>
                <w:sz w:val="20"/>
                <w:szCs w:val="20"/>
              </w:rPr>
              <w:t>VAT (Value Added Tax)</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3B46A29" w14:textId="77777777" w:rsidR="00896CA2" w:rsidRDefault="00000000">
            <w:r>
              <w:rPr>
                <w:color w:val="000000"/>
                <w:sz w:val="20"/>
                <w:szCs w:val="20"/>
              </w:rPr>
              <w:t>Input VAT Receivables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B5984A2" w14:textId="77777777" w:rsidR="00896CA2" w:rsidRDefault="00000000">
            <w:r>
              <w:rPr>
                <w:color w:val="000000"/>
                <w:sz w:val="20"/>
                <w:szCs w:val="20"/>
              </w:rPr>
              <w:t>Output VAT Payables</w:t>
            </w:r>
          </w:p>
        </w:tc>
      </w:tr>
      <w:tr w:rsidR="00896CA2" w14:paraId="5A4FE1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B6EECD" w14:textId="77777777" w:rsidR="00896CA2" w:rsidRDefault="00000000">
            <w:r>
              <w:rPr>
                <w:color w:val="000000"/>
                <w:sz w:val="20"/>
                <w:szCs w:val="20"/>
              </w:rPr>
              <w:t>Withholding Tax (WHT)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F3E9D0" w14:textId="77777777" w:rsidR="00896CA2" w:rsidRDefault="00000000">
            <w:r>
              <w:rPr>
                <w:color w:val="000000"/>
                <w:sz w:val="20"/>
                <w:szCs w:val="20"/>
              </w:rPr>
              <w:t>Withholding Tax Receivables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5DCB5F" w14:textId="77777777" w:rsidR="00896CA2" w:rsidRDefault="00000000">
            <w:r>
              <w:rPr>
                <w:color w:val="000000"/>
                <w:sz w:val="20"/>
                <w:szCs w:val="20"/>
              </w:rPr>
              <w:t>Withholding Tax Payables</w:t>
            </w:r>
          </w:p>
        </w:tc>
      </w:tr>
      <w:tr w:rsidR="00896CA2" w14:paraId="59DD9F7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57EDAEF" w14:textId="77777777" w:rsidR="00896CA2" w:rsidRDefault="00000000">
            <w:r>
              <w:rPr>
                <w:color w:val="000000"/>
                <w:sz w:val="20"/>
                <w:szCs w:val="20"/>
              </w:rPr>
              <w:t>Advance Income Tax (AIT)</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A1DD44" w14:textId="77777777" w:rsidR="00896CA2" w:rsidRDefault="00000000">
            <w:r>
              <w:rPr>
                <w:color w:val="000000"/>
                <w:sz w:val="20"/>
                <w:szCs w:val="20"/>
              </w:rPr>
              <w:t>Advance Income Tax</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B23666" w14:textId="77777777" w:rsidR="00896CA2" w:rsidRDefault="00000000">
            <w:r>
              <w:rPr>
                <w:color w:val="000000"/>
                <w:sz w:val="20"/>
                <w:szCs w:val="20"/>
              </w:rPr>
              <w:t>Income Tax Payables</w:t>
            </w:r>
          </w:p>
        </w:tc>
      </w:tr>
      <w:tr w:rsidR="00896CA2" w14:paraId="31E3B61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BDC8B" w14:textId="77777777" w:rsidR="00896CA2" w:rsidRDefault="00000000">
            <w:r>
              <w:rPr>
                <w:color w:val="000000"/>
                <w:sz w:val="20"/>
                <w:szCs w:val="20"/>
              </w:rPr>
              <w:t>Supplementary Duty (SD)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889670" w14:textId="77777777" w:rsidR="00896CA2" w:rsidRDefault="00000000">
            <w:r>
              <w:rPr>
                <w:color w:val="000000"/>
                <w:sz w:val="20"/>
                <w:szCs w:val="20"/>
              </w:rPr>
              <w:t>Supplementary Duty Receivable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002DA3" w14:textId="77777777" w:rsidR="00896CA2" w:rsidRDefault="00000000">
            <w:r>
              <w:rPr>
                <w:color w:val="000000"/>
                <w:sz w:val="20"/>
                <w:szCs w:val="20"/>
              </w:rPr>
              <w:t>Supplementary Duty Payable</w:t>
            </w:r>
          </w:p>
        </w:tc>
      </w:tr>
      <w:tr w:rsidR="00896CA2" w14:paraId="6606F29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7CD24BD" w14:textId="77777777" w:rsidR="00896CA2" w:rsidRDefault="00000000">
            <w:r>
              <w:rPr>
                <w:color w:val="000000"/>
                <w:sz w:val="20"/>
                <w:szCs w:val="20"/>
              </w:rPr>
              <w:t>Income Tax</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40729B8" w14:textId="77777777" w:rsidR="00896CA2" w:rsidRDefault="00000000">
            <w:r>
              <w:rPr>
                <w:color w:val="000000"/>
                <w:sz w:val="20"/>
                <w:szCs w:val="20"/>
              </w:rPr>
              <w:t>—</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1D8677E" w14:textId="77777777" w:rsidR="00896CA2" w:rsidRDefault="00000000">
            <w:r>
              <w:rPr>
                <w:color w:val="000000"/>
                <w:sz w:val="20"/>
                <w:szCs w:val="20"/>
              </w:rPr>
              <w:t>Income Tax Expense</w:t>
            </w:r>
          </w:p>
        </w:tc>
      </w:tr>
    </w:tbl>
    <w:p w14:paraId="33964076" w14:textId="77777777" w:rsidR="00896CA2" w:rsidRDefault="00896CA2">
      <w:pPr>
        <w:spacing w:after="80"/>
      </w:pPr>
    </w:p>
    <w:p w14:paraId="2633CE07" w14:textId="77777777" w:rsidR="00896CA2" w:rsidRDefault="00000000">
      <w:pPr>
        <w:pStyle w:val="ListParagraph"/>
        <w:numPr>
          <w:ilvl w:val="0"/>
          <w:numId w:val="2"/>
        </w:numPr>
        <w:spacing w:after="100" w:line="276" w:lineRule="auto"/>
      </w:pPr>
      <w:r>
        <w:rPr>
          <w:b/>
          <w:bCs/>
          <w:color w:val="000000"/>
        </w:rPr>
        <w:t xml:space="preserve">VAT compliance: </w:t>
      </w:r>
      <w:r>
        <w:rPr>
          <w:color w:val="000000"/>
        </w:rPr>
        <w:t>Input VAT paid on purchases is tracked as a receivable, and Output VAT collected on sales is tracked as a payable. At the end of each tax period, businesses net these two to determine their VAT liability or refund claim to NBR, exactly as required under the Bangladesh VAT and Supplementary Duty Act, 2012.</w:t>
      </w:r>
    </w:p>
    <w:p w14:paraId="2C73B03F" w14:textId="77777777" w:rsidR="00896CA2" w:rsidRDefault="00000000">
      <w:pPr>
        <w:pStyle w:val="ListParagraph"/>
        <w:numPr>
          <w:ilvl w:val="0"/>
          <w:numId w:val="2"/>
        </w:numPr>
        <w:spacing w:after="100" w:line="276" w:lineRule="auto"/>
      </w:pPr>
      <w:r>
        <w:rPr>
          <w:b/>
          <w:bCs/>
          <w:color w:val="000000"/>
        </w:rPr>
        <w:t xml:space="preserve">Supplementary Duty: </w:t>
      </w:r>
      <w:r>
        <w:rPr>
          <w:color w:val="000000"/>
        </w:rPr>
        <w:t>SD applies to specific industries (telecom, banking, tobacco, luxury goods, etc.) and is separate from VAT. Having dedicated SD Receivable and SD Payable accounts means businesses in these sectors can accurately track SD without mixing it into VAT accounts.</w:t>
      </w:r>
    </w:p>
    <w:p w14:paraId="6D3D2239" w14:textId="77777777" w:rsidR="00896CA2" w:rsidRDefault="00000000">
      <w:pPr>
        <w:pStyle w:val="ListParagraph"/>
        <w:numPr>
          <w:ilvl w:val="0"/>
          <w:numId w:val="2"/>
        </w:numPr>
        <w:spacing w:after="100" w:line="276" w:lineRule="auto"/>
      </w:pPr>
      <w:r>
        <w:rPr>
          <w:b/>
          <w:bCs/>
          <w:color w:val="000000"/>
        </w:rPr>
        <w:t xml:space="preserve">Withholding Tax: </w:t>
      </w:r>
      <w:r>
        <w:rPr>
          <w:color w:val="000000"/>
        </w:rPr>
        <w:t>Bangladesh requires businesses to deduct tax at source on payments to suppliers and employees. The WHT Receivable captures tax deducted from the business’s own income, while WHT Payable tracks obligations the business must remit to NBR.</w:t>
      </w:r>
    </w:p>
    <w:p w14:paraId="5D56CD88" w14:textId="77777777" w:rsidR="00896CA2" w:rsidRDefault="00000000">
      <w:pPr>
        <w:pStyle w:val="ListParagraph"/>
        <w:numPr>
          <w:ilvl w:val="0"/>
          <w:numId w:val="2"/>
        </w:numPr>
        <w:spacing w:after="100" w:line="276" w:lineRule="auto"/>
      </w:pPr>
      <w:r>
        <w:rPr>
          <w:b/>
          <w:bCs/>
          <w:color w:val="000000"/>
        </w:rPr>
        <w:t xml:space="preserve">Advance Income Tax: </w:t>
      </w:r>
      <w:r>
        <w:rPr>
          <w:color w:val="000000"/>
        </w:rPr>
        <w:t>AIT paid throughout the year is tracked as a current asset and offset against the final income tax liability at year-end.</w:t>
      </w:r>
    </w:p>
    <w:p w14:paraId="6617B8BD" w14:textId="77777777" w:rsidR="00896CA2" w:rsidRDefault="00000000">
      <w:pPr>
        <w:spacing w:after="160" w:line="276" w:lineRule="auto"/>
        <w:jc w:val="both"/>
      </w:pPr>
      <w:r>
        <w:rPr>
          <w:color w:val="000000"/>
        </w:rPr>
        <w:t xml:space="preserve">This structure ensures that </w:t>
      </w:r>
      <w:proofErr w:type="spellStart"/>
      <w:r>
        <w:rPr>
          <w:color w:val="000000"/>
        </w:rPr>
        <w:t>Mushak</w:t>
      </w:r>
      <w:proofErr w:type="spellEnd"/>
      <w:r>
        <w:rPr>
          <w:color w:val="000000"/>
        </w:rPr>
        <w:t xml:space="preserve"> 9.1 (VAT return), </w:t>
      </w:r>
      <w:proofErr w:type="spellStart"/>
      <w:r>
        <w:rPr>
          <w:color w:val="000000"/>
        </w:rPr>
        <w:t>Mushak</w:t>
      </w:r>
      <w:proofErr w:type="spellEnd"/>
      <w:r>
        <w:rPr>
          <w:color w:val="000000"/>
        </w:rPr>
        <w:t xml:space="preserve"> 6.3 (input-output statement), and income tax returns can be prepared directly from the ledger data without manual reclassification.</w:t>
      </w:r>
    </w:p>
    <w:p w14:paraId="37171ECD" w14:textId="77777777" w:rsidR="00896CA2" w:rsidRDefault="00000000">
      <w:pPr>
        <w:pStyle w:val="Heading1"/>
      </w:pPr>
      <w:r>
        <w:t>4. Multi-Industry Adaptability</w:t>
      </w:r>
    </w:p>
    <w:p w14:paraId="0D0566C8" w14:textId="77777777" w:rsidR="00896CA2" w:rsidRDefault="00000000">
      <w:pPr>
        <w:spacing w:after="160" w:line="276" w:lineRule="auto"/>
        <w:jc w:val="both"/>
      </w:pPr>
      <w:r>
        <w:rPr>
          <w:color w:val="000000"/>
        </w:rPr>
        <w:t xml:space="preserve">The default CoA is designed to serve as a universal starting point across different business types. The combination of comprehensive default accounts and the </w:t>
      </w:r>
      <w:proofErr w:type="spellStart"/>
      <w:r>
        <w:rPr>
          <w:color w:val="000000"/>
        </w:rPr>
        <w:t>deletable</w:t>
      </w:r>
      <w:proofErr w:type="spellEnd"/>
      <w:r>
        <w:rPr>
          <w:color w:val="000000"/>
        </w:rPr>
        <w:t>/non-</w:t>
      </w:r>
      <w:proofErr w:type="spellStart"/>
      <w:r>
        <w:rPr>
          <w:color w:val="000000"/>
        </w:rPr>
        <w:t>deletable</w:t>
      </w:r>
      <w:proofErr w:type="spellEnd"/>
      <w:r>
        <w:rPr>
          <w:color w:val="000000"/>
        </w:rPr>
        <w:t xml:space="preserve"> flag system means each industry can tailor the CoA to its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96CA2" w14:paraId="182EDBA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344C500" w14:textId="77777777" w:rsidR="00896CA2" w:rsidRDefault="00000000">
            <w:pPr>
              <w:jc w:val="center"/>
            </w:pPr>
            <w:r>
              <w:rPr>
                <w:b/>
                <w:bCs/>
                <w:color w:val="FFFFFF"/>
                <w:sz w:val="20"/>
                <w:szCs w:val="20"/>
              </w:rPr>
              <w:t>Industry</w:t>
            </w:r>
          </w:p>
        </w:tc>
        <w:tc>
          <w:tcPr>
            <w:tcW w:w="351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0464946" w14:textId="77777777" w:rsidR="00896CA2" w:rsidRDefault="00000000">
            <w:pPr>
              <w:jc w:val="center"/>
            </w:pPr>
            <w:r>
              <w:rPr>
                <w:b/>
                <w:bCs/>
                <w:color w:val="FFFFFF"/>
                <w:sz w:val="20"/>
                <w:szCs w:val="20"/>
              </w:rPr>
              <w:t>Key Accounts Used</w:t>
            </w:r>
          </w:p>
        </w:tc>
        <w:tc>
          <w:tcPr>
            <w:tcW w:w="351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375C5B7" w14:textId="77777777" w:rsidR="00896CA2" w:rsidRDefault="00000000">
            <w:pPr>
              <w:jc w:val="center"/>
            </w:pPr>
            <w:r>
              <w:rPr>
                <w:b/>
                <w:bCs/>
                <w:color w:val="FFFFFF"/>
                <w:sz w:val="20"/>
                <w:szCs w:val="20"/>
              </w:rPr>
              <w:t>Accounts Typically Removed</w:t>
            </w:r>
          </w:p>
        </w:tc>
      </w:tr>
      <w:tr w:rsidR="00896CA2" w14:paraId="7AE4E20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8ADEEF5" w14:textId="77777777" w:rsidR="00896CA2" w:rsidRDefault="00000000">
            <w:r>
              <w:rPr>
                <w:color w:val="000000"/>
                <w:sz w:val="20"/>
                <w:szCs w:val="20"/>
              </w:rPr>
              <w:lastRenderedPageBreak/>
              <w:t>Trading / Retail</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3B523EB" w14:textId="77777777" w:rsidR="00896CA2" w:rsidRDefault="00000000">
            <w:r>
              <w:rPr>
                <w:color w:val="000000"/>
                <w:sz w:val="20"/>
                <w:szCs w:val="20"/>
              </w:rPr>
              <w:t>Inventory, COGS, Sales, Purchase Discount, Sales Discount, Accounts Receivables, Accounts Payables</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72FABF6" w14:textId="77777777" w:rsidR="00896CA2" w:rsidRDefault="00000000">
            <w:r>
              <w:rPr>
                <w:color w:val="000000"/>
                <w:sz w:val="20"/>
                <w:szCs w:val="20"/>
              </w:rPr>
              <w:t>Working Process Inventory, R&amp;D Expense, Machinery &amp; Equipment</w:t>
            </w:r>
          </w:p>
        </w:tc>
      </w:tr>
      <w:tr w:rsidR="00896CA2" w14:paraId="694E295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C0AC91" w14:textId="77777777" w:rsidR="00896CA2" w:rsidRDefault="00000000">
            <w:r>
              <w:rPr>
                <w:color w:val="000000"/>
                <w:sz w:val="20"/>
                <w:szCs w:val="20"/>
              </w:rPr>
              <w:t>Manufacturing</w:t>
            </w:r>
          </w:p>
        </w:tc>
        <w:tc>
          <w:tcPr>
            <w:tcW w:w="35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A91829" w14:textId="77777777" w:rsidR="00896CA2" w:rsidRDefault="00000000">
            <w:r>
              <w:rPr>
                <w:color w:val="000000"/>
                <w:sz w:val="20"/>
                <w:szCs w:val="20"/>
              </w:rPr>
              <w:t>Raw Materials, Finished Goods, WIP Inventory, Machinery, COGS, Depreciation</w:t>
            </w:r>
          </w:p>
        </w:tc>
        <w:tc>
          <w:tcPr>
            <w:tcW w:w="35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109C70" w14:textId="77777777" w:rsidR="00896CA2" w:rsidRDefault="00000000">
            <w:r>
              <w:rPr>
                <w:color w:val="000000"/>
                <w:sz w:val="20"/>
                <w:szCs w:val="20"/>
              </w:rPr>
              <w:t>Commission Income, Rent Income</w:t>
            </w:r>
          </w:p>
        </w:tc>
      </w:tr>
      <w:tr w:rsidR="00896CA2" w14:paraId="7F9C54C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695A2DC" w14:textId="77777777" w:rsidR="00896CA2" w:rsidRDefault="00000000">
            <w:r>
              <w:rPr>
                <w:color w:val="000000"/>
                <w:sz w:val="20"/>
                <w:szCs w:val="20"/>
              </w:rPr>
              <w:t>Services / IT</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595B619" w14:textId="77777777" w:rsidR="00896CA2" w:rsidRDefault="00000000">
            <w:r>
              <w:rPr>
                <w:color w:val="000000"/>
                <w:sz w:val="20"/>
                <w:szCs w:val="20"/>
              </w:rPr>
              <w:t>Cost of Services, Payroll, Employee Benefits, Software &amp; License</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B77D7BE" w14:textId="77777777" w:rsidR="00896CA2" w:rsidRDefault="00000000">
            <w:r>
              <w:rPr>
                <w:color w:val="000000"/>
                <w:sz w:val="20"/>
                <w:szCs w:val="20"/>
              </w:rPr>
              <w:t>Inventory accounts, Purchase Discount, Machinery</w:t>
            </w:r>
          </w:p>
        </w:tc>
      </w:tr>
      <w:tr w:rsidR="00896CA2" w14:paraId="632A808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C9448" w14:textId="77777777" w:rsidR="00896CA2" w:rsidRDefault="00000000">
            <w:r>
              <w:rPr>
                <w:color w:val="000000"/>
                <w:sz w:val="20"/>
                <w:szCs w:val="20"/>
              </w:rPr>
              <w:t>Construction</w:t>
            </w:r>
          </w:p>
        </w:tc>
        <w:tc>
          <w:tcPr>
            <w:tcW w:w="35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816718" w14:textId="77777777" w:rsidR="00896CA2" w:rsidRDefault="00000000">
            <w:r>
              <w:rPr>
                <w:color w:val="000000"/>
                <w:sz w:val="20"/>
                <w:szCs w:val="20"/>
              </w:rPr>
              <w:t>Machinery, Vehicles, WIP Inventory, Security Deposits, Long-term Loans</w:t>
            </w:r>
          </w:p>
        </w:tc>
        <w:tc>
          <w:tcPr>
            <w:tcW w:w="35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5CF4DD" w14:textId="77777777" w:rsidR="00896CA2" w:rsidRDefault="00000000">
            <w:r>
              <w:rPr>
                <w:color w:val="000000"/>
                <w:sz w:val="20"/>
                <w:szCs w:val="20"/>
              </w:rPr>
              <w:t>Software &amp; License, Dividend Income</w:t>
            </w:r>
          </w:p>
        </w:tc>
      </w:tr>
      <w:tr w:rsidR="00896CA2" w14:paraId="47BBECE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09278E3" w14:textId="77777777" w:rsidR="00896CA2" w:rsidRDefault="00000000">
            <w:r>
              <w:rPr>
                <w:color w:val="000000"/>
                <w:sz w:val="20"/>
                <w:szCs w:val="20"/>
              </w:rPr>
              <w:t>Telecom / Tobacco</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E348A3C" w14:textId="77777777" w:rsidR="00896CA2" w:rsidRDefault="00000000">
            <w:r>
              <w:rPr>
                <w:color w:val="000000"/>
                <w:sz w:val="20"/>
                <w:szCs w:val="20"/>
              </w:rPr>
              <w:t>SD Receivable, SD Payable, all VAT/WHT accounts</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0A7FDB0" w14:textId="77777777" w:rsidR="00896CA2" w:rsidRDefault="00000000">
            <w:r>
              <w:rPr>
                <w:color w:val="000000"/>
                <w:sz w:val="20"/>
                <w:szCs w:val="20"/>
              </w:rPr>
              <w:t>Goodwill, Patents &amp; Trademarks</w:t>
            </w:r>
          </w:p>
        </w:tc>
      </w:tr>
      <w:tr w:rsidR="00896CA2" w14:paraId="11A32B2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7C3AF4" w14:textId="77777777" w:rsidR="00896CA2" w:rsidRDefault="00000000">
            <w:r>
              <w:rPr>
                <w:color w:val="000000"/>
                <w:sz w:val="20"/>
                <w:szCs w:val="20"/>
              </w:rPr>
              <w:t>Sole Proprietor</w:t>
            </w:r>
          </w:p>
        </w:tc>
        <w:tc>
          <w:tcPr>
            <w:tcW w:w="35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EE6A33" w14:textId="77777777" w:rsidR="00896CA2" w:rsidRDefault="00000000">
            <w:r>
              <w:rPr>
                <w:color w:val="000000"/>
                <w:sz w:val="20"/>
                <w:szCs w:val="20"/>
              </w:rPr>
              <w:t>Owner Capital, Drawing, Petty Cash, Sales, basic expenses</w:t>
            </w:r>
          </w:p>
        </w:tc>
        <w:tc>
          <w:tcPr>
            <w:tcW w:w="35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6CEBE8" w14:textId="77777777" w:rsidR="00896CA2" w:rsidRDefault="00000000">
            <w:r>
              <w:rPr>
                <w:color w:val="000000"/>
                <w:sz w:val="20"/>
                <w:szCs w:val="20"/>
              </w:rPr>
              <w:t>Most non-current asset accounts, Long-term Loans, R&amp;D</w:t>
            </w:r>
          </w:p>
        </w:tc>
      </w:tr>
    </w:tbl>
    <w:p w14:paraId="3BBA509A" w14:textId="77777777" w:rsidR="00896CA2" w:rsidRDefault="00896CA2">
      <w:pPr>
        <w:spacing w:after="80"/>
      </w:pPr>
    </w:p>
    <w:p w14:paraId="75B305F3" w14:textId="77777777" w:rsidR="00896CA2" w:rsidRDefault="00000000">
      <w:pPr>
        <w:spacing w:after="160" w:line="276" w:lineRule="auto"/>
        <w:jc w:val="both"/>
      </w:pPr>
      <w:r>
        <w:rPr>
          <w:color w:val="000000"/>
        </w:rPr>
        <w:t xml:space="preserve">The 42 </w:t>
      </w:r>
      <w:proofErr w:type="spellStart"/>
      <w:r>
        <w:rPr>
          <w:color w:val="000000"/>
        </w:rPr>
        <w:t>deletable</w:t>
      </w:r>
      <w:proofErr w:type="spellEnd"/>
      <w:r>
        <w:rPr>
          <w:color w:val="000000"/>
        </w:rPr>
        <w:t xml:space="preserve"> accounts can be removed by businesses that don’t need them, while the 35 non-</w:t>
      </w:r>
      <w:proofErr w:type="spellStart"/>
      <w:r>
        <w:rPr>
          <w:color w:val="000000"/>
        </w:rPr>
        <w:t>deletable</w:t>
      </w:r>
      <w:proofErr w:type="spellEnd"/>
      <w:r>
        <w:rPr>
          <w:color w:val="000000"/>
        </w:rPr>
        <w:t xml:space="preserve"> accounts remain as the protected backbone that ERP modules depend on. This gives every industry a clean, relevant CoA without starting from scratch.</w:t>
      </w:r>
    </w:p>
    <w:p w14:paraId="6FF82B98" w14:textId="77777777" w:rsidR="00896CA2" w:rsidRDefault="00000000">
      <w:pPr>
        <w:pStyle w:val="Heading1"/>
      </w:pPr>
      <w:r>
        <w:t>5. System-Protected vs. User-Configurable Design</w:t>
      </w:r>
    </w:p>
    <w:p w14:paraId="1EAD4ADA" w14:textId="77777777" w:rsidR="00896CA2" w:rsidRDefault="00000000">
      <w:pPr>
        <w:spacing w:after="160" w:line="276" w:lineRule="auto"/>
        <w:jc w:val="both"/>
      </w:pPr>
      <w:r>
        <w:rPr>
          <w:color w:val="000000"/>
        </w:rPr>
        <w:t xml:space="preserve">Every Layer 4 account carries an </w:t>
      </w:r>
      <w:proofErr w:type="spellStart"/>
      <w:r>
        <w:rPr>
          <w:color w:val="000000"/>
        </w:rPr>
        <w:t>Is_Deletable</w:t>
      </w:r>
      <w:proofErr w:type="spellEnd"/>
      <w:r>
        <w:rPr>
          <w:color w:val="000000"/>
        </w:rPr>
        <w:t xml:space="preserve"> flag (True/False) that controls whether users can remove it. This is a deliberate architectural decision that balances flexibility with system integrity:</w:t>
      </w:r>
    </w:p>
    <w:p w14:paraId="791D3E92" w14:textId="77777777" w:rsidR="00896CA2" w:rsidRDefault="00000000">
      <w:pPr>
        <w:pStyle w:val="ListParagraph"/>
        <w:numPr>
          <w:ilvl w:val="0"/>
          <w:numId w:val="2"/>
        </w:numPr>
        <w:spacing w:after="100" w:line="276" w:lineRule="auto"/>
      </w:pPr>
      <w:r>
        <w:rPr>
          <w:b/>
          <w:bCs/>
          <w:color w:val="000000"/>
        </w:rPr>
        <w:t>35 Non-</w:t>
      </w:r>
      <w:proofErr w:type="spellStart"/>
      <w:r>
        <w:rPr>
          <w:b/>
          <w:bCs/>
          <w:color w:val="000000"/>
        </w:rPr>
        <w:t>Deletable</w:t>
      </w:r>
      <w:proofErr w:type="spellEnd"/>
      <w:r>
        <w:rPr>
          <w:b/>
          <w:bCs/>
          <w:color w:val="000000"/>
        </w:rPr>
        <w:t xml:space="preserve"> Accounts (False): </w:t>
      </w:r>
      <w:r>
        <w:rPr>
          <w:color w:val="000000"/>
        </w:rPr>
        <w:t>These are accounts that ERP modules directly post to. For example, the Invoice module posts to "Sales" and "Accounts Receivables," the Payment module posts to "Bank" and "Petty Cash," and the Depreciation module posts to "Depreciation Expense" and "Accumulated Depreciation." Deleting any of these would break automated workflows.</w:t>
      </w:r>
    </w:p>
    <w:p w14:paraId="71F65BC6" w14:textId="77777777" w:rsidR="00896CA2" w:rsidRDefault="00000000">
      <w:pPr>
        <w:pStyle w:val="ListParagraph"/>
        <w:numPr>
          <w:ilvl w:val="0"/>
          <w:numId w:val="2"/>
        </w:numPr>
        <w:spacing w:after="100" w:line="276" w:lineRule="auto"/>
      </w:pPr>
      <w:r>
        <w:rPr>
          <w:b/>
          <w:bCs/>
          <w:color w:val="000000"/>
        </w:rPr>
        <w:t xml:space="preserve">42 </w:t>
      </w:r>
      <w:proofErr w:type="spellStart"/>
      <w:r>
        <w:rPr>
          <w:b/>
          <w:bCs/>
          <w:color w:val="000000"/>
        </w:rPr>
        <w:t>Deletable</w:t>
      </w:r>
      <w:proofErr w:type="spellEnd"/>
      <w:r>
        <w:rPr>
          <w:b/>
          <w:bCs/>
          <w:color w:val="000000"/>
        </w:rPr>
        <w:t xml:space="preserve"> Accounts (True): </w:t>
      </w:r>
      <w:r>
        <w:rPr>
          <w:color w:val="000000"/>
        </w:rPr>
        <w:t>These are accounts that exist as useful defaults but aren’t required by any system module. A home-based freelancer can safely delete "</w:t>
      </w:r>
      <w:proofErr w:type="spellStart"/>
      <w:r>
        <w:rPr>
          <w:color w:val="000000"/>
        </w:rPr>
        <w:t>Furnitures</w:t>
      </w:r>
      <w:proofErr w:type="spellEnd"/>
      <w:r>
        <w:rPr>
          <w:color w:val="000000"/>
        </w:rPr>
        <w:t xml:space="preserve"> &amp; Fixtures," "Vehicles," and "Rent Expense" without affecting any ERP functionality.</w:t>
      </w:r>
    </w:p>
    <w:p w14:paraId="132BBB23" w14:textId="77777777" w:rsidR="00896CA2" w:rsidRDefault="00000000">
      <w:pPr>
        <w:pStyle w:val="ListParagraph"/>
        <w:numPr>
          <w:ilvl w:val="0"/>
          <w:numId w:val="2"/>
        </w:numPr>
        <w:spacing w:after="100" w:line="276" w:lineRule="auto"/>
      </w:pPr>
      <w:r>
        <w:rPr>
          <w:b/>
          <w:bCs/>
          <w:color w:val="000000"/>
        </w:rPr>
        <w:t xml:space="preserve">Documented Reasons: </w:t>
      </w:r>
      <w:r>
        <w:rPr>
          <w:color w:val="000000"/>
        </w:rPr>
        <w:t xml:space="preserve">Each account’s </w:t>
      </w:r>
      <w:proofErr w:type="spellStart"/>
      <w:r>
        <w:rPr>
          <w:color w:val="000000"/>
        </w:rPr>
        <w:t>deletability</w:t>
      </w:r>
      <w:proofErr w:type="spellEnd"/>
      <w:r>
        <w:rPr>
          <w:color w:val="000000"/>
        </w:rPr>
        <w:t xml:space="preserve"> is paired with a specific reason explaining why it’s protected or why it can be removed. This serves as built-in documentation for system administrators and reduces support queries.</w:t>
      </w:r>
    </w:p>
    <w:p w14:paraId="0FB6D91A" w14:textId="77777777" w:rsidR="00896CA2" w:rsidRDefault="00000000">
      <w:pPr>
        <w:spacing w:after="160" w:line="276" w:lineRule="auto"/>
        <w:jc w:val="both"/>
      </w:pPr>
      <w:r>
        <w:rPr>
          <w:color w:val="000000"/>
        </w:rPr>
        <w:t>This design prevents the two most common ERP CoA failures: users accidentally deleting critical system accounts (causing posting errors), and users being locked into an inflexible chart they can’t adapt to their business.</w:t>
      </w:r>
    </w:p>
    <w:p w14:paraId="5DF36ADE" w14:textId="77777777" w:rsidR="00996A7B" w:rsidRDefault="00996A7B">
      <w:pPr>
        <w:pStyle w:val="Heading1"/>
      </w:pPr>
    </w:p>
    <w:p w14:paraId="7D8DB488" w14:textId="77777777" w:rsidR="00E326AA" w:rsidRDefault="00E326AA">
      <w:pPr>
        <w:pStyle w:val="Heading1"/>
      </w:pPr>
    </w:p>
    <w:p w14:paraId="74B37470" w14:textId="102F3194" w:rsidR="00896CA2" w:rsidRDefault="00000000">
      <w:pPr>
        <w:pStyle w:val="Heading1"/>
      </w:pPr>
      <w:r>
        <w:lastRenderedPageBreak/>
        <w:t>6. Proper Contra Account Placement</w:t>
      </w:r>
    </w:p>
    <w:p w14:paraId="2386DD28" w14:textId="77777777" w:rsidR="00896CA2" w:rsidRDefault="00000000">
      <w:pPr>
        <w:spacing w:after="160" w:line="276" w:lineRule="auto"/>
        <w:jc w:val="both"/>
      </w:pPr>
      <w:r>
        <w:rPr>
          <w:color w:val="000000"/>
        </w:rPr>
        <w:t>The CoA correctly positions contra accounts within their parent categories rather than isolating them, which ensures accurate financial statement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896CA2" w14:paraId="6CA7158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7DF13BD" w14:textId="77777777" w:rsidR="00896CA2" w:rsidRDefault="00000000">
            <w:pPr>
              <w:jc w:val="center"/>
            </w:pPr>
            <w:r>
              <w:rPr>
                <w:b/>
                <w:bCs/>
                <w:color w:val="FFFFFF"/>
                <w:sz w:val="20"/>
                <w:szCs w:val="20"/>
              </w:rPr>
              <w:t>Contra Account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404E2B9" w14:textId="77777777" w:rsidR="00896CA2" w:rsidRDefault="00000000">
            <w:pPr>
              <w:jc w:val="center"/>
            </w:pPr>
            <w:r>
              <w:rPr>
                <w:b/>
                <w:bCs/>
                <w:color w:val="FFFFFF"/>
                <w:sz w:val="20"/>
                <w:szCs w:val="20"/>
              </w:rPr>
              <w:t>Placed Under</w:t>
            </w:r>
          </w:p>
        </w:tc>
        <w:tc>
          <w:tcPr>
            <w:tcW w:w="37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A7A9B5E" w14:textId="77777777" w:rsidR="00896CA2" w:rsidRDefault="00000000">
            <w:pPr>
              <w:jc w:val="center"/>
            </w:pPr>
            <w:r>
              <w:rPr>
                <w:b/>
                <w:bCs/>
                <w:color w:val="FFFFFF"/>
                <w:sz w:val="20"/>
                <w:szCs w:val="20"/>
              </w:rPr>
              <w:t>Effect</w:t>
            </w:r>
          </w:p>
        </w:tc>
      </w:tr>
      <w:tr w:rsidR="00896CA2" w14:paraId="522BB51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0F2A919" w14:textId="77777777" w:rsidR="00896CA2" w:rsidRDefault="00000000">
            <w:r>
              <w:rPr>
                <w:color w:val="000000"/>
                <w:sz w:val="20"/>
                <w:szCs w:val="20"/>
              </w:rPr>
              <w:t>Sales Discount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84E0D0E" w14:textId="77777777" w:rsidR="00896CA2" w:rsidRDefault="00000000">
            <w:r>
              <w:rPr>
                <w:color w:val="000000"/>
                <w:sz w:val="20"/>
                <w:szCs w:val="20"/>
              </w:rPr>
              <w:t>Income &gt; Revenue</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557BE48" w14:textId="77777777" w:rsidR="00896CA2" w:rsidRDefault="00000000">
            <w:r>
              <w:rPr>
                <w:color w:val="000000"/>
                <w:sz w:val="20"/>
                <w:szCs w:val="20"/>
              </w:rPr>
              <w:t>Reduces gross revenue to show net revenue</w:t>
            </w:r>
          </w:p>
        </w:tc>
      </w:tr>
      <w:tr w:rsidR="00896CA2" w14:paraId="43BF135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CEDA2A" w14:textId="77777777" w:rsidR="00896CA2" w:rsidRDefault="00000000">
            <w:r>
              <w:rPr>
                <w:color w:val="000000"/>
                <w:sz w:val="20"/>
                <w:szCs w:val="20"/>
              </w:rPr>
              <w:t>Sales Returns &amp; Allowances</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9480E9" w14:textId="77777777" w:rsidR="00896CA2" w:rsidRDefault="00000000">
            <w:r>
              <w:rPr>
                <w:color w:val="000000"/>
                <w:sz w:val="20"/>
                <w:szCs w:val="20"/>
              </w:rPr>
              <w:t>Income &gt; Revenue</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2223AB" w14:textId="77777777" w:rsidR="00896CA2" w:rsidRDefault="00000000">
            <w:r>
              <w:rPr>
                <w:color w:val="000000"/>
                <w:sz w:val="20"/>
                <w:szCs w:val="20"/>
              </w:rPr>
              <w:t>Reduces gross revenue for returned goods</w:t>
            </w:r>
          </w:p>
        </w:tc>
      </w:tr>
      <w:tr w:rsidR="00896CA2" w14:paraId="4BB1F2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456B220" w14:textId="77777777" w:rsidR="00896CA2" w:rsidRDefault="00000000">
            <w:r>
              <w:rPr>
                <w:color w:val="000000"/>
                <w:sz w:val="20"/>
                <w:szCs w:val="20"/>
              </w:rPr>
              <w:t>Purchase Discount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CFC3935" w14:textId="77777777" w:rsidR="00896CA2" w:rsidRDefault="00000000">
            <w:r>
              <w:rPr>
                <w:color w:val="000000"/>
                <w:sz w:val="20"/>
                <w:szCs w:val="20"/>
              </w:rPr>
              <w:t>Expense &gt; COGS</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32BA050" w14:textId="77777777" w:rsidR="00896CA2" w:rsidRDefault="00000000">
            <w:r>
              <w:rPr>
                <w:color w:val="000000"/>
                <w:sz w:val="20"/>
                <w:szCs w:val="20"/>
              </w:rPr>
              <w:t>Reduces net cost of goods purchased</w:t>
            </w:r>
          </w:p>
        </w:tc>
      </w:tr>
      <w:tr w:rsidR="00896CA2" w14:paraId="12C78CF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BBB4B5" w14:textId="77777777" w:rsidR="00896CA2" w:rsidRDefault="00000000">
            <w:r>
              <w:rPr>
                <w:color w:val="000000"/>
                <w:sz w:val="20"/>
                <w:szCs w:val="20"/>
              </w:rPr>
              <w:t>Allowance for Doubtful Accounts</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103342" w14:textId="77777777" w:rsidR="00896CA2" w:rsidRDefault="00000000">
            <w:r>
              <w:rPr>
                <w:color w:val="000000"/>
                <w:sz w:val="20"/>
                <w:szCs w:val="20"/>
              </w:rPr>
              <w:t>Asset &gt; Receivables</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8B4AF5" w14:textId="77777777" w:rsidR="00896CA2" w:rsidRDefault="00000000">
            <w:r>
              <w:rPr>
                <w:color w:val="000000"/>
                <w:sz w:val="20"/>
                <w:szCs w:val="20"/>
              </w:rPr>
              <w:t>Reduces net receivables on balance sheet</w:t>
            </w:r>
          </w:p>
        </w:tc>
      </w:tr>
      <w:tr w:rsidR="00896CA2" w14:paraId="44A394D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C78CD02" w14:textId="77777777" w:rsidR="00896CA2" w:rsidRDefault="00000000">
            <w:r>
              <w:rPr>
                <w:color w:val="000000"/>
                <w:sz w:val="20"/>
                <w:szCs w:val="20"/>
              </w:rPr>
              <w:t>Accumulated Depreciation</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15D8C50" w14:textId="77777777" w:rsidR="00896CA2" w:rsidRDefault="00000000">
            <w:r>
              <w:rPr>
                <w:color w:val="000000"/>
                <w:sz w:val="20"/>
                <w:szCs w:val="20"/>
              </w:rPr>
              <w:t xml:space="preserve">Asset &gt; </w:t>
            </w:r>
            <w:proofErr w:type="spellStart"/>
            <w:proofErr w:type="gramStart"/>
            <w:r>
              <w:rPr>
                <w:color w:val="000000"/>
                <w:sz w:val="20"/>
                <w:szCs w:val="20"/>
              </w:rPr>
              <w:t>Non Current</w:t>
            </w:r>
            <w:proofErr w:type="spellEnd"/>
            <w:proofErr w:type="gramEnd"/>
            <w:r>
              <w:rPr>
                <w:color w:val="000000"/>
                <w:sz w:val="20"/>
                <w:szCs w:val="20"/>
              </w:rPr>
              <w:t xml:space="preserve"> Asset</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CDC9095" w14:textId="77777777" w:rsidR="00896CA2" w:rsidRDefault="00000000">
            <w:r>
              <w:rPr>
                <w:color w:val="000000"/>
                <w:sz w:val="20"/>
                <w:szCs w:val="20"/>
              </w:rPr>
              <w:t>Reduces gross fixed asset value</w:t>
            </w:r>
          </w:p>
        </w:tc>
      </w:tr>
    </w:tbl>
    <w:p w14:paraId="52911D52" w14:textId="77777777" w:rsidR="00896CA2" w:rsidRDefault="00896CA2">
      <w:pPr>
        <w:spacing w:after="80"/>
      </w:pPr>
    </w:p>
    <w:p w14:paraId="241EB53F" w14:textId="77777777" w:rsidR="00896CA2" w:rsidRDefault="00000000">
      <w:pPr>
        <w:spacing w:after="160" w:line="276" w:lineRule="auto"/>
        <w:jc w:val="both"/>
      </w:pPr>
      <w:r>
        <w:rPr>
          <w:color w:val="000000"/>
        </w:rPr>
        <w:t>By keeping contra accounts within their parent category, the ERP can automatically calculate net figures (Net Revenue, Net Receivables, Net Book Value of Assets) without requiring manual adjustments or custom report configurations.</w:t>
      </w:r>
    </w:p>
    <w:p w14:paraId="491BFF4A" w14:textId="77777777" w:rsidR="00896CA2" w:rsidRDefault="00000000">
      <w:pPr>
        <w:pStyle w:val="Heading1"/>
      </w:pPr>
      <w:r>
        <w:t>7. Multi-Currency Readiness</w:t>
      </w:r>
    </w:p>
    <w:p w14:paraId="521D85B6" w14:textId="77777777" w:rsidR="00896CA2" w:rsidRDefault="00000000">
      <w:pPr>
        <w:spacing w:after="160" w:line="276" w:lineRule="auto"/>
        <w:jc w:val="both"/>
      </w:pPr>
      <w:r>
        <w:rPr>
          <w:color w:val="000000"/>
        </w:rPr>
        <w:t>The CoA includes dedicated accounts for foreign exchange gains and losses:</w:t>
      </w:r>
    </w:p>
    <w:p w14:paraId="519F6A10" w14:textId="77777777" w:rsidR="00896CA2" w:rsidRDefault="00000000">
      <w:pPr>
        <w:pStyle w:val="ListParagraph"/>
        <w:numPr>
          <w:ilvl w:val="0"/>
          <w:numId w:val="2"/>
        </w:numPr>
        <w:spacing w:after="100" w:line="276" w:lineRule="auto"/>
      </w:pPr>
      <w:r>
        <w:rPr>
          <w:b/>
          <w:bCs/>
          <w:color w:val="000000"/>
        </w:rPr>
        <w:t xml:space="preserve">FX Gain (Realized) </w:t>
      </w:r>
      <w:r>
        <w:rPr>
          <w:color w:val="000000"/>
        </w:rPr>
        <w:t>under Non-Operating Income captures gains when foreign currency transactions are settled at favorable rates.</w:t>
      </w:r>
    </w:p>
    <w:p w14:paraId="6BB4C492" w14:textId="77777777" w:rsidR="00896CA2" w:rsidRDefault="00000000">
      <w:pPr>
        <w:pStyle w:val="ListParagraph"/>
        <w:numPr>
          <w:ilvl w:val="0"/>
          <w:numId w:val="2"/>
        </w:numPr>
        <w:spacing w:after="100" w:line="276" w:lineRule="auto"/>
      </w:pPr>
      <w:r>
        <w:rPr>
          <w:b/>
          <w:bCs/>
          <w:color w:val="000000"/>
        </w:rPr>
        <w:t xml:space="preserve">FX Loss </w:t>
      </w:r>
      <w:r>
        <w:rPr>
          <w:color w:val="000000"/>
        </w:rPr>
        <w:t>under Non-Operating Expense &gt; Financial Expense captures losses from unfavorable exchange rate movements.</w:t>
      </w:r>
    </w:p>
    <w:p w14:paraId="10E6104D" w14:textId="77777777" w:rsidR="00896CA2" w:rsidRDefault="00000000">
      <w:pPr>
        <w:spacing w:after="160" w:line="276" w:lineRule="auto"/>
        <w:jc w:val="both"/>
      </w:pPr>
      <w:r>
        <w:rPr>
          <w:color w:val="000000"/>
        </w:rPr>
        <w:t>Both accounts are marked as non-</w:t>
      </w:r>
      <w:proofErr w:type="spellStart"/>
      <w:r>
        <w:rPr>
          <w:color w:val="000000"/>
        </w:rPr>
        <w:t>deletable</w:t>
      </w:r>
      <w:proofErr w:type="spellEnd"/>
      <w:r>
        <w:rPr>
          <w:color w:val="000000"/>
        </w:rPr>
        <w:t xml:space="preserve"> because the multi-currency module needs guaranteed posting targets. This is particularly important for Bangladesh-based businesses dealing with import/export transactions in USD, EUR, GBP, or CNY, where exchange rate fluctuations between BDT and foreign currencies are a daily reality.</w:t>
      </w:r>
    </w:p>
    <w:p w14:paraId="650C05CE" w14:textId="77777777" w:rsidR="00896CA2" w:rsidRDefault="00000000">
      <w:pPr>
        <w:pStyle w:val="Heading1"/>
      </w:pPr>
      <w:r>
        <w:t>8. Built-In ERP Operational Accounts</w:t>
      </w:r>
    </w:p>
    <w:p w14:paraId="194793A5" w14:textId="77777777" w:rsidR="00896CA2" w:rsidRDefault="00000000">
      <w:pPr>
        <w:spacing w:after="160" w:line="276" w:lineRule="auto"/>
        <w:jc w:val="both"/>
      </w:pPr>
      <w:r>
        <w:rPr>
          <w:color w:val="000000"/>
        </w:rPr>
        <w:t>The CoA includes system-level accounts that most ERPs require for smooth operation but are often forgotten in initial CoA design:</w:t>
      </w:r>
    </w:p>
    <w:p w14:paraId="69F7D251" w14:textId="77777777" w:rsidR="00896CA2" w:rsidRDefault="00000000">
      <w:pPr>
        <w:pStyle w:val="ListParagraph"/>
        <w:numPr>
          <w:ilvl w:val="0"/>
          <w:numId w:val="2"/>
        </w:numPr>
        <w:spacing w:after="100" w:line="276" w:lineRule="auto"/>
      </w:pPr>
      <w:r>
        <w:rPr>
          <w:b/>
          <w:bCs/>
          <w:color w:val="000000"/>
        </w:rPr>
        <w:t xml:space="preserve">Suspense Account: </w:t>
      </w:r>
      <w:r>
        <w:rPr>
          <w:color w:val="000000"/>
        </w:rPr>
        <w:t>Temporarily holds unresolved transactions (e.g., a payment received but not yet matched to an invoice). This prevents the system from rejecting transactions that can’t be immediately classified.</w:t>
      </w:r>
    </w:p>
    <w:p w14:paraId="634C622A" w14:textId="77777777" w:rsidR="00896CA2" w:rsidRDefault="00000000">
      <w:pPr>
        <w:pStyle w:val="ListParagraph"/>
        <w:numPr>
          <w:ilvl w:val="0"/>
          <w:numId w:val="2"/>
        </w:numPr>
        <w:spacing w:after="100" w:line="276" w:lineRule="auto"/>
      </w:pPr>
      <w:r>
        <w:rPr>
          <w:b/>
          <w:bCs/>
          <w:color w:val="000000"/>
        </w:rPr>
        <w:t xml:space="preserve">Clearing Account: </w:t>
      </w:r>
      <w:r>
        <w:rPr>
          <w:color w:val="000000"/>
        </w:rPr>
        <w:t>Used during bank reconciliation to handle timing differences between the books and the bank statement.</w:t>
      </w:r>
    </w:p>
    <w:p w14:paraId="045EBEF3" w14:textId="77777777" w:rsidR="00896CA2" w:rsidRDefault="00000000">
      <w:pPr>
        <w:pStyle w:val="ListParagraph"/>
        <w:numPr>
          <w:ilvl w:val="0"/>
          <w:numId w:val="2"/>
        </w:numPr>
        <w:spacing w:after="100" w:line="276" w:lineRule="auto"/>
      </w:pPr>
      <w:r>
        <w:rPr>
          <w:b/>
          <w:bCs/>
          <w:color w:val="000000"/>
        </w:rPr>
        <w:lastRenderedPageBreak/>
        <w:t xml:space="preserve">Opening Balance Offset: </w:t>
      </w:r>
      <w:r>
        <w:rPr>
          <w:color w:val="000000"/>
        </w:rPr>
        <w:t>Used during initial system setup and data migration to balance opening entries. Without this, migrating from a legacy system to the new ERP would require workaround journal entries.</w:t>
      </w:r>
    </w:p>
    <w:p w14:paraId="41D03403" w14:textId="77777777" w:rsidR="00896CA2" w:rsidRDefault="00000000">
      <w:pPr>
        <w:pStyle w:val="ListParagraph"/>
        <w:numPr>
          <w:ilvl w:val="0"/>
          <w:numId w:val="2"/>
        </w:numPr>
        <w:spacing w:after="100" w:line="276" w:lineRule="auto"/>
      </w:pPr>
      <w:r>
        <w:rPr>
          <w:b/>
          <w:bCs/>
          <w:color w:val="000000"/>
        </w:rPr>
        <w:t xml:space="preserve">Undeposited Fund/Cheque: </w:t>
      </w:r>
      <w:r>
        <w:rPr>
          <w:color w:val="000000"/>
        </w:rPr>
        <w:t>Acts as a holding account for cheques and cash collected but not yet deposited into the bank, preventing premature bank balance inflation.</w:t>
      </w:r>
    </w:p>
    <w:p w14:paraId="6B6838B8" w14:textId="77777777" w:rsidR="00896CA2" w:rsidRDefault="00000000">
      <w:pPr>
        <w:spacing w:after="160" w:line="276" w:lineRule="auto"/>
        <w:jc w:val="both"/>
      </w:pPr>
      <w:r>
        <w:rPr>
          <w:color w:val="000000"/>
        </w:rPr>
        <w:t>These accounts are all non-</w:t>
      </w:r>
      <w:proofErr w:type="spellStart"/>
      <w:r>
        <w:rPr>
          <w:color w:val="000000"/>
        </w:rPr>
        <w:t>deletable</w:t>
      </w:r>
      <w:proofErr w:type="spellEnd"/>
      <w:r>
        <w:rPr>
          <w:color w:val="000000"/>
        </w:rPr>
        <w:t xml:space="preserve"> because they serve core ERP workflows that run behind the scenes.</w:t>
      </w:r>
    </w:p>
    <w:p w14:paraId="1854DEB0" w14:textId="77777777" w:rsidR="00896CA2" w:rsidRDefault="00000000">
      <w:pPr>
        <w:pStyle w:val="Heading1"/>
      </w:pPr>
      <w:r>
        <w:t>9. Clean Profit &amp; Loss Structure</w:t>
      </w:r>
    </w:p>
    <w:p w14:paraId="0AEFB286" w14:textId="77777777" w:rsidR="00896CA2" w:rsidRDefault="00000000">
      <w:pPr>
        <w:spacing w:after="160" w:line="276" w:lineRule="auto"/>
        <w:jc w:val="both"/>
      </w:pPr>
      <w:r>
        <w:rPr>
          <w:color w:val="000000"/>
        </w:rPr>
        <w:t>The Income and Expense sides of the CoA are structured to produce a multi-step income statement directly from the ledger:</w:t>
      </w:r>
    </w:p>
    <w:p w14:paraId="28A07514" w14:textId="77777777" w:rsidR="00896CA2" w:rsidRDefault="00000000">
      <w:pPr>
        <w:pStyle w:val="ListParagraph"/>
        <w:numPr>
          <w:ilvl w:val="0"/>
          <w:numId w:val="2"/>
        </w:numPr>
        <w:spacing w:after="100" w:line="276" w:lineRule="auto"/>
      </w:pPr>
      <w:r>
        <w:rPr>
          <w:b/>
          <w:bCs/>
          <w:color w:val="000000"/>
        </w:rPr>
        <w:t xml:space="preserve">Gross Profit = </w:t>
      </w:r>
      <w:r>
        <w:rPr>
          <w:color w:val="000000"/>
        </w:rPr>
        <w:t>Operating Income (Revenue) minus Cost of Goods Sold/Services. The separation of Sales, Sales Discount, Sales Returns, COGS, Cost of Services, and Purchase Discount ensures gross margin is calculated accurately.</w:t>
      </w:r>
    </w:p>
    <w:p w14:paraId="2EB85529" w14:textId="77777777" w:rsidR="00896CA2" w:rsidRDefault="00000000">
      <w:pPr>
        <w:pStyle w:val="ListParagraph"/>
        <w:numPr>
          <w:ilvl w:val="0"/>
          <w:numId w:val="2"/>
        </w:numPr>
        <w:spacing w:after="100" w:line="276" w:lineRule="auto"/>
      </w:pPr>
      <w:r>
        <w:rPr>
          <w:b/>
          <w:bCs/>
          <w:color w:val="000000"/>
        </w:rPr>
        <w:t xml:space="preserve">Operating Profit = </w:t>
      </w:r>
      <w:r>
        <w:rPr>
          <w:color w:val="000000"/>
        </w:rPr>
        <w:t>Gross Profit minus Operating Expenses (Payroll, Premises, Admin, Depreciation, Sales &amp; Marketing, R&amp;D, Other Operating). This gives management a clear view of the core business profitability.</w:t>
      </w:r>
    </w:p>
    <w:p w14:paraId="70A7D803" w14:textId="77777777" w:rsidR="00896CA2" w:rsidRDefault="00000000">
      <w:pPr>
        <w:pStyle w:val="ListParagraph"/>
        <w:numPr>
          <w:ilvl w:val="0"/>
          <w:numId w:val="2"/>
        </w:numPr>
        <w:spacing w:after="100" w:line="276" w:lineRule="auto"/>
      </w:pPr>
      <w:r>
        <w:rPr>
          <w:b/>
          <w:bCs/>
          <w:color w:val="000000"/>
        </w:rPr>
        <w:t xml:space="preserve">Net Profit = </w:t>
      </w:r>
      <w:r>
        <w:rPr>
          <w:color w:val="000000"/>
        </w:rPr>
        <w:t>Operating Profit plus Non-Operating Income (Interest, Rent, FX Gain, Other) minus Non-Operating Expenses (Bank Fees, Interest Expense, FX Loss, Tax, Other). This shows the final bottom line after all items.</w:t>
      </w:r>
    </w:p>
    <w:p w14:paraId="7216EE49" w14:textId="77777777" w:rsidR="00896CA2" w:rsidRDefault="00000000">
      <w:pPr>
        <w:spacing w:after="160" w:line="276" w:lineRule="auto"/>
        <w:jc w:val="both"/>
      </w:pPr>
      <w:r>
        <w:rPr>
          <w:color w:val="000000"/>
        </w:rPr>
        <w:t>The Layer 2 distinction between Operating and Non-Operating on both the income and expense sides means the ERP can generate a proper multi-step income statement without any custom mapping.</w:t>
      </w:r>
    </w:p>
    <w:p w14:paraId="74C068D1" w14:textId="77777777" w:rsidR="00896CA2" w:rsidRDefault="00000000">
      <w:pPr>
        <w:pStyle w:val="Heading1"/>
      </w:pPr>
      <w:r>
        <w:t>10. Balance Sheet Classification Readiness</w:t>
      </w:r>
    </w:p>
    <w:p w14:paraId="14821556" w14:textId="77777777" w:rsidR="00896CA2" w:rsidRDefault="00000000">
      <w:pPr>
        <w:spacing w:after="160" w:line="276" w:lineRule="auto"/>
        <w:jc w:val="both"/>
      </w:pPr>
      <w:r>
        <w:rPr>
          <w:color w:val="000000"/>
        </w:rPr>
        <w:t>The Asset and Liability sides are pre-classified for standard balance sheet presentation:</w:t>
      </w:r>
    </w:p>
    <w:p w14:paraId="5D793E03" w14:textId="77777777" w:rsidR="00896CA2" w:rsidRDefault="00000000">
      <w:pPr>
        <w:pStyle w:val="ListParagraph"/>
        <w:numPr>
          <w:ilvl w:val="0"/>
          <w:numId w:val="2"/>
        </w:numPr>
        <w:spacing w:after="100" w:line="276" w:lineRule="auto"/>
      </w:pPr>
      <w:r>
        <w:rPr>
          <w:b/>
          <w:bCs/>
          <w:color w:val="000000"/>
        </w:rPr>
        <w:t xml:space="preserve">Current vs. Non-Current Assets: </w:t>
      </w:r>
      <w:r>
        <w:rPr>
          <w:color w:val="000000"/>
        </w:rPr>
        <w:t>Cash, Bank, Inventory, Receivables, Prepayments, and Tax Receivables are under Current Asset. PP&amp;E, Intangible Assets, Investments, and Accumulated Depreciation are under Non-Current Asset. This directly supports IAS 1 balance sheet presentation.</w:t>
      </w:r>
    </w:p>
    <w:p w14:paraId="0F4CD4A8" w14:textId="77777777" w:rsidR="00896CA2" w:rsidRDefault="00000000">
      <w:pPr>
        <w:pStyle w:val="ListParagraph"/>
        <w:numPr>
          <w:ilvl w:val="0"/>
          <w:numId w:val="2"/>
        </w:numPr>
        <w:spacing w:after="100" w:line="276" w:lineRule="auto"/>
      </w:pPr>
      <w:r>
        <w:rPr>
          <w:b/>
          <w:bCs/>
          <w:color w:val="000000"/>
        </w:rPr>
        <w:t xml:space="preserve">Short-Term vs. Long-Term Liabilities: </w:t>
      </w:r>
      <w:r>
        <w:rPr>
          <w:color w:val="000000"/>
        </w:rPr>
        <w:t>Accounts Payable, Accrued Expenses, Tax Payables, Short-Term Loans, Unearned Revenue, and Suspense &amp; Clearing are under Short-Term. Long-Term Loans and Other Long-Term Liabilities are separated. This ensures correct current ratio and working capital calculations.</w:t>
      </w:r>
    </w:p>
    <w:p w14:paraId="1186E329" w14:textId="77777777" w:rsidR="00896CA2" w:rsidRDefault="00000000">
      <w:pPr>
        <w:pStyle w:val="ListParagraph"/>
        <w:numPr>
          <w:ilvl w:val="0"/>
          <w:numId w:val="2"/>
        </w:numPr>
        <w:spacing w:after="100" w:line="276" w:lineRule="auto"/>
      </w:pPr>
      <w:r>
        <w:rPr>
          <w:b/>
          <w:bCs/>
          <w:color w:val="000000"/>
        </w:rPr>
        <w:t xml:space="preserve">Equity: </w:t>
      </w:r>
      <w:r>
        <w:rPr>
          <w:color w:val="000000"/>
        </w:rPr>
        <w:t>Owner Capital, Retained Earnings, and Drawing provide the essential equity structure for sole proprietorships and partnerships, which represent the majority of businesses in Bangladesh.</w:t>
      </w:r>
    </w:p>
    <w:p w14:paraId="7EC56339" w14:textId="77777777" w:rsidR="00896CA2" w:rsidRDefault="00000000">
      <w:pPr>
        <w:spacing w:after="160" w:line="276" w:lineRule="auto"/>
        <w:jc w:val="both"/>
      </w:pPr>
      <w:r>
        <w:rPr>
          <w:color w:val="000000"/>
        </w:rPr>
        <w:lastRenderedPageBreak/>
        <w:t>Financial ratios such as current ratio, quick ratio, debt-to-equity, and return on equity can be computed directly from the CoA layer structure without additional classification logic.</w:t>
      </w:r>
    </w:p>
    <w:p w14:paraId="757C7EE9" w14:textId="77777777" w:rsidR="00896CA2" w:rsidRDefault="00000000">
      <w:pPr>
        <w:pStyle w:val="Heading1"/>
      </w:pPr>
      <w:r>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96CA2" w14:paraId="50818EC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41D9E90" w14:textId="77777777" w:rsidR="00896CA2" w:rsidRDefault="00000000">
            <w:pPr>
              <w:jc w:val="center"/>
            </w:pPr>
            <w:r>
              <w:rPr>
                <w:b/>
                <w:bCs/>
                <w:color w:val="FFFFFF"/>
                <w:sz w:val="20"/>
                <w:szCs w:val="20"/>
              </w:rPr>
              <w:t>Feature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F58E622" w14:textId="77777777" w:rsidR="00896CA2" w:rsidRDefault="00000000">
            <w:pPr>
              <w:jc w:val="center"/>
            </w:pPr>
            <w:r>
              <w:rPr>
                <w:b/>
                <w:bCs/>
                <w:color w:val="FFFFFF"/>
                <w:sz w:val="20"/>
                <w:szCs w:val="20"/>
              </w:rPr>
              <w:t>Benefit</w:t>
            </w:r>
          </w:p>
        </w:tc>
      </w:tr>
      <w:tr w:rsidR="00896CA2" w14:paraId="0C5F1C1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5503042" w14:textId="77777777" w:rsidR="00896CA2" w:rsidRDefault="00000000">
            <w:r>
              <w:rPr>
                <w:color w:val="000000"/>
                <w:sz w:val="20"/>
                <w:szCs w:val="20"/>
              </w:rPr>
              <w:t>Four-layer hierarchy</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0580907" w14:textId="77777777" w:rsidR="00896CA2" w:rsidRDefault="00000000">
            <w:r>
              <w:rPr>
                <w:color w:val="000000"/>
                <w:sz w:val="20"/>
                <w:szCs w:val="20"/>
              </w:rPr>
              <w:t>Drill-down reporting from summary to ledger</w:t>
            </w:r>
          </w:p>
        </w:tc>
      </w:tr>
      <w:tr w:rsidR="00896CA2" w14:paraId="26E3BB2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C5BAA8" w14:textId="77777777" w:rsidR="00896CA2" w:rsidRDefault="00000000">
            <w:r>
              <w:rPr>
                <w:color w:val="000000"/>
                <w:sz w:val="20"/>
                <w:szCs w:val="20"/>
              </w:rPr>
              <w:t>Infinite sub-accounts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969520" w14:textId="77777777" w:rsidR="00896CA2" w:rsidRDefault="00000000">
            <w:r>
              <w:rPr>
                <w:color w:val="000000"/>
                <w:sz w:val="20"/>
                <w:szCs w:val="20"/>
              </w:rPr>
              <w:t>Scales from sole proprietor to multi-division enterprise</w:t>
            </w:r>
          </w:p>
        </w:tc>
      </w:tr>
      <w:tr w:rsidR="00896CA2" w14:paraId="41BEC54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98F886F" w14:textId="77777777" w:rsidR="00896CA2" w:rsidRDefault="00000000">
            <w:r>
              <w:rPr>
                <w:color w:val="000000"/>
                <w:sz w:val="20"/>
                <w:szCs w:val="20"/>
              </w:rPr>
              <w:t>Bangladesh VAT/WHT/AIT/SD accounts</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271C5D1" w14:textId="77777777" w:rsidR="00896CA2" w:rsidRDefault="00000000">
            <w:r>
              <w:rPr>
                <w:color w:val="000000"/>
                <w:sz w:val="20"/>
                <w:szCs w:val="20"/>
              </w:rPr>
              <w:t>Direct compliance with NBR requirements</w:t>
            </w:r>
          </w:p>
        </w:tc>
      </w:tr>
      <w:tr w:rsidR="00896CA2" w14:paraId="5FE7C28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A42E22" w14:textId="77777777" w:rsidR="00896CA2" w:rsidRDefault="00000000">
            <w:r>
              <w:rPr>
                <w:color w:val="000000"/>
                <w:sz w:val="20"/>
                <w:szCs w:val="20"/>
              </w:rPr>
              <w:t>Multi-industry default accounts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8A9E4E" w14:textId="77777777" w:rsidR="00896CA2" w:rsidRDefault="00000000">
            <w:r>
              <w:rPr>
                <w:color w:val="000000"/>
                <w:sz w:val="20"/>
                <w:szCs w:val="20"/>
              </w:rPr>
              <w:t>Works for trading, manufacturing, services, and more</w:t>
            </w:r>
          </w:p>
        </w:tc>
      </w:tr>
      <w:tr w:rsidR="00896CA2" w14:paraId="21E448F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91F2EC7" w14:textId="77777777" w:rsidR="00896CA2" w:rsidRDefault="00000000">
            <w:proofErr w:type="spellStart"/>
            <w:r>
              <w:rPr>
                <w:color w:val="000000"/>
                <w:sz w:val="20"/>
                <w:szCs w:val="20"/>
              </w:rPr>
              <w:t>Is_Deletable</w:t>
            </w:r>
            <w:proofErr w:type="spellEnd"/>
            <w:r>
              <w:rPr>
                <w:color w:val="000000"/>
                <w:sz w:val="20"/>
                <w:szCs w:val="20"/>
              </w:rPr>
              <w:t xml:space="preserve"> flag with reasons</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C5271CB" w14:textId="77777777" w:rsidR="00896CA2" w:rsidRDefault="00000000">
            <w:r>
              <w:rPr>
                <w:color w:val="000000"/>
                <w:sz w:val="20"/>
                <w:szCs w:val="20"/>
              </w:rPr>
              <w:t>Protects system integrity while allowing customization</w:t>
            </w:r>
          </w:p>
        </w:tc>
      </w:tr>
      <w:tr w:rsidR="00896CA2" w14:paraId="53A1EE9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D126B8" w14:textId="77777777" w:rsidR="00896CA2" w:rsidRDefault="00000000">
            <w:r>
              <w:rPr>
                <w:color w:val="000000"/>
                <w:sz w:val="20"/>
                <w:szCs w:val="20"/>
              </w:rPr>
              <w:t>Contra accounts properly placed</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C730A4" w14:textId="77777777" w:rsidR="00896CA2" w:rsidRDefault="00000000">
            <w:r>
              <w:rPr>
                <w:color w:val="000000"/>
                <w:sz w:val="20"/>
                <w:szCs w:val="20"/>
              </w:rPr>
              <w:t>Accurate net revenue, net receivables, net asset values</w:t>
            </w:r>
          </w:p>
        </w:tc>
      </w:tr>
      <w:tr w:rsidR="00896CA2" w14:paraId="63C6E51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64A65EE" w14:textId="77777777" w:rsidR="00896CA2" w:rsidRDefault="00000000">
            <w:r>
              <w:rPr>
                <w:color w:val="000000"/>
                <w:sz w:val="20"/>
                <w:szCs w:val="20"/>
              </w:rPr>
              <w:t>FX Gain/Loss accounts</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351DD8" w14:textId="77777777" w:rsidR="00896CA2" w:rsidRDefault="00000000">
            <w:r>
              <w:rPr>
                <w:color w:val="000000"/>
                <w:sz w:val="20"/>
                <w:szCs w:val="20"/>
              </w:rPr>
              <w:t>Multi-currency ready for import/export businesses</w:t>
            </w:r>
          </w:p>
        </w:tc>
      </w:tr>
      <w:tr w:rsidR="00896CA2" w14:paraId="2EF5E4F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0C7A0" w14:textId="77777777" w:rsidR="00896CA2" w:rsidRDefault="00000000">
            <w:r>
              <w:rPr>
                <w:color w:val="000000"/>
                <w:sz w:val="20"/>
                <w:szCs w:val="20"/>
              </w:rPr>
              <w:t>Suspense, Clearing, Opening Balance</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073E83" w14:textId="77777777" w:rsidR="00896CA2" w:rsidRDefault="00000000">
            <w:r>
              <w:rPr>
                <w:color w:val="000000"/>
                <w:sz w:val="20"/>
                <w:szCs w:val="20"/>
              </w:rPr>
              <w:t>Smooth ERP operations, migration, and reconciliation</w:t>
            </w:r>
          </w:p>
        </w:tc>
      </w:tr>
      <w:tr w:rsidR="00896CA2" w14:paraId="627C25B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A5D5BC7" w14:textId="77777777" w:rsidR="00896CA2" w:rsidRDefault="00000000">
            <w:r>
              <w:rPr>
                <w:color w:val="000000"/>
                <w:sz w:val="20"/>
                <w:szCs w:val="20"/>
              </w:rPr>
              <w:t xml:space="preserve">Operating vs. </w:t>
            </w:r>
            <w:proofErr w:type="gramStart"/>
            <w:r>
              <w:rPr>
                <w:color w:val="000000"/>
                <w:sz w:val="20"/>
                <w:szCs w:val="20"/>
              </w:rPr>
              <w:t>Non-Operating</w:t>
            </w:r>
            <w:proofErr w:type="gramEnd"/>
            <w:r>
              <w:rPr>
                <w:color w:val="000000"/>
                <w:sz w:val="20"/>
                <w:szCs w:val="20"/>
              </w:rPr>
              <w:t xml:space="preserve"> split</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A96B3CA" w14:textId="77777777" w:rsidR="00896CA2" w:rsidRDefault="00000000">
            <w:r>
              <w:rPr>
                <w:color w:val="000000"/>
                <w:sz w:val="20"/>
                <w:szCs w:val="20"/>
              </w:rPr>
              <w:t>Multi-step income statement out of the box</w:t>
            </w:r>
          </w:p>
        </w:tc>
      </w:tr>
      <w:tr w:rsidR="00896CA2" w14:paraId="565B514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BF0B49" w14:textId="77777777" w:rsidR="00896CA2" w:rsidRDefault="00000000">
            <w:r>
              <w:rPr>
                <w:color w:val="000000"/>
                <w:sz w:val="20"/>
                <w:szCs w:val="20"/>
              </w:rPr>
              <w:t xml:space="preserve">Current vs. </w:t>
            </w:r>
            <w:proofErr w:type="gramStart"/>
            <w:r>
              <w:rPr>
                <w:color w:val="000000"/>
                <w:sz w:val="20"/>
                <w:szCs w:val="20"/>
              </w:rPr>
              <w:t>Non-Current</w:t>
            </w:r>
            <w:proofErr w:type="gramEnd"/>
            <w:r>
              <w:rPr>
                <w:color w:val="000000"/>
                <w:sz w:val="20"/>
                <w:szCs w:val="20"/>
              </w:rPr>
              <w:t xml:space="preserve"> classification</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20BF64" w14:textId="77777777" w:rsidR="00896CA2" w:rsidRDefault="00000000">
            <w:r>
              <w:rPr>
                <w:color w:val="000000"/>
                <w:sz w:val="20"/>
                <w:szCs w:val="20"/>
              </w:rPr>
              <w:t>IAS 1 compliant balance sheet and ratio analysis</w:t>
            </w:r>
          </w:p>
        </w:tc>
      </w:tr>
    </w:tbl>
    <w:p w14:paraId="084A8EBB" w14:textId="77777777" w:rsidR="00896CA2" w:rsidRDefault="00896CA2">
      <w:pPr>
        <w:spacing w:after="200"/>
      </w:pPr>
    </w:p>
    <w:p w14:paraId="2F523F4D" w14:textId="77777777" w:rsidR="00896CA2" w:rsidRDefault="00000000">
      <w:pPr>
        <w:spacing w:after="160" w:line="276" w:lineRule="auto"/>
        <w:jc w:val="both"/>
      </w:pPr>
      <w:r>
        <w:rPr>
          <w:color w:val="000000"/>
        </w:rPr>
        <w:t>This Chart of Accounts architecture delivers a production-ready default that is simultaneously comprehensive enough to handle complex multi-industry scenarios and flexible enough for a small business to strip down to only what it needs. The combination of rigid system-protected accounts and freely customizable user accounts strikes the right balance for an ERP that serves a diverse user base across Bangladesh and beyond.</w:t>
      </w:r>
    </w:p>
    <w:sectPr w:rsidR="00896C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4FA8A" w14:textId="77777777" w:rsidR="00867BAF" w:rsidRDefault="00867BAF">
      <w:r>
        <w:separator/>
      </w:r>
    </w:p>
  </w:endnote>
  <w:endnote w:type="continuationSeparator" w:id="0">
    <w:p w14:paraId="1D5988D5" w14:textId="77777777" w:rsidR="00867BAF" w:rsidRDefault="00867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8935" w14:textId="77777777" w:rsidR="00896CA2"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96A7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7EFC2" w14:textId="77777777" w:rsidR="00867BAF" w:rsidRDefault="00867BAF">
      <w:r>
        <w:separator/>
      </w:r>
    </w:p>
  </w:footnote>
  <w:footnote w:type="continuationSeparator" w:id="0">
    <w:p w14:paraId="162F074A" w14:textId="77777777" w:rsidR="00867BAF" w:rsidRDefault="00867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D99E" w14:textId="77777777" w:rsidR="00896CA2" w:rsidRDefault="00000000">
    <w:pPr>
      <w:pBdr>
        <w:bottom w:val="single" w:sz="6" w:space="1" w:color="1F4E79"/>
      </w:pBdr>
      <w:spacing w:after="200"/>
      <w:jc w:val="right"/>
    </w:pPr>
    <w:r>
      <w:rPr>
        <w:i/>
        <w:iCs/>
        <w:color w:val="888888"/>
        <w:sz w:val="18"/>
        <w:szCs w:val="18"/>
      </w:rPr>
      <w:t>ERP Chart of Accounts — Architecture Advantages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70E6"/>
    <w:multiLevelType w:val="hybridMultilevel"/>
    <w:tmpl w:val="D8B65AC6"/>
    <w:lvl w:ilvl="0" w:tplc="F35E1F7C">
      <w:start w:val="1"/>
      <w:numFmt w:val="bullet"/>
      <w:lvlText w:val="•"/>
      <w:lvlJc w:val="left"/>
      <w:pPr>
        <w:ind w:left="720" w:hanging="360"/>
      </w:pPr>
    </w:lvl>
    <w:lvl w:ilvl="1" w:tplc="18B06B9A">
      <w:start w:val="1"/>
      <w:numFmt w:val="bullet"/>
      <w:lvlText w:val="◦"/>
      <w:lvlJc w:val="left"/>
      <w:pPr>
        <w:ind w:left="1440" w:hanging="360"/>
      </w:pPr>
    </w:lvl>
    <w:lvl w:ilvl="2" w:tplc="7BE8DFA8">
      <w:numFmt w:val="decimal"/>
      <w:lvlText w:val=""/>
      <w:lvlJc w:val="left"/>
    </w:lvl>
    <w:lvl w:ilvl="3" w:tplc="EB465F80">
      <w:numFmt w:val="decimal"/>
      <w:lvlText w:val=""/>
      <w:lvlJc w:val="left"/>
    </w:lvl>
    <w:lvl w:ilvl="4" w:tplc="0B9E1FA6">
      <w:numFmt w:val="decimal"/>
      <w:lvlText w:val=""/>
      <w:lvlJc w:val="left"/>
    </w:lvl>
    <w:lvl w:ilvl="5" w:tplc="780028F4">
      <w:numFmt w:val="decimal"/>
      <w:lvlText w:val=""/>
      <w:lvlJc w:val="left"/>
    </w:lvl>
    <w:lvl w:ilvl="6" w:tplc="67662A1C">
      <w:numFmt w:val="decimal"/>
      <w:lvlText w:val=""/>
      <w:lvlJc w:val="left"/>
    </w:lvl>
    <w:lvl w:ilvl="7" w:tplc="CB7CD654">
      <w:numFmt w:val="decimal"/>
      <w:lvlText w:val=""/>
      <w:lvlJc w:val="left"/>
    </w:lvl>
    <w:lvl w:ilvl="8" w:tplc="D2F491A4">
      <w:numFmt w:val="decimal"/>
      <w:lvlText w:val=""/>
      <w:lvlJc w:val="left"/>
    </w:lvl>
  </w:abstractNum>
  <w:abstractNum w:abstractNumId="1" w15:restartNumberingAfterBreak="0">
    <w:nsid w:val="4D6B49B9"/>
    <w:multiLevelType w:val="hybridMultilevel"/>
    <w:tmpl w:val="287C7AF2"/>
    <w:lvl w:ilvl="0" w:tplc="0A68A696">
      <w:start w:val="1"/>
      <w:numFmt w:val="decimal"/>
      <w:lvlText w:val="%1."/>
      <w:lvlJc w:val="left"/>
      <w:pPr>
        <w:ind w:left="720" w:hanging="360"/>
      </w:pPr>
    </w:lvl>
    <w:lvl w:ilvl="1" w:tplc="44AE5E24">
      <w:numFmt w:val="decimal"/>
      <w:lvlText w:val=""/>
      <w:lvlJc w:val="left"/>
    </w:lvl>
    <w:lvl w:ilvl="2" w:tplc="F378FE9A">
      <w:numFmt w:val="decimal"/>
      <w:lvlText w:val=""/>
      <w:lvlJc w:val="left"/>
    </w:lvl>
    <w:lvl w:ilvl="3" w:tplc="EF72B0D6">
      <w:numFmt w:val="decimal"/>
      <w:lvlText w:val=""/>
      <w:lvlJc w:val="left"/>
    </w:lvl>
    <w:lvl w:ilvl="4" w:tplc="6CFC95A6">
      <w:numFmt w:val="decimal"/>
      <w:lvlText w:val=""/>
      <w:lvlJc w:val="left"/>
    </w:lvl>
    <w:lvl w:ilvl="5" w:tplc="6FA68B54">
      <w:numFmt w:val="decimal"/>
      <w:lvlText w:val=""/>
      <w:lvlJc w:val="left"/>
    </w:lvl>
    <w:lvl w:ilvl="6" w:tplc="7E3419B4">
      <w:numFmt w:val="decimal"/>
      <w:lvlText w:val=""/>
      <w:lvlJc w:val="left"/>
    </w:lvl>
    <w:lvl w:ilvl="7" w:tplc="8C066C9A">
      <w:numFmt w:val="decimal"/>
      <w:lvlText w:val=""/>
      <w:lvlJc w:val="left"/>
    </w:lvl>
    <w:lvl w:ilvl="8" w:tplc="AEF09ACE">
      <w:numFmt w:val="decimal"/>
      <w:lvlText w:val=""/>
      <w:lvlJc w:val="left"/>
    </w:lvl>
  </w:abstractNum>
  <w:abstractNum w:abstractNumId="2" w15:restartNumberingAfterBreak="0">
    <w:nsid w:val="7B7334E3"/>
    <w:multiLevelType w:val="hybridMultilevel"/>
    <w:tmpl w:val="3190EB16"/>
    <w:lvl w:ilvl="0" w:tplc="4D6C7C56">
      <w:start w:val="1"/>
      <w:numFmt w:val="bullet"/>
      <w:lvlText w:val="●"/>
      <w:lvlJc w:val="left"/>
      <w:pPr>
        <w:ind w:left="720" w:hanging="360"/>
      </w:pPr>
    </w:lvl>
    <w:lvl w:ilvl="1" w:tplc="74E87E5A">
      <w:start w:val="1"/>
      <w:numFmt w:val="bullet"/>
      <w:lvlText w:val="○"/>
      <w:lvlJc w:val="left"/>
      <w:pPr>
        <w:ind w:left="1440" w:hanging="360"/>
      </w:pPr>
    </w:lvl>
    <w:lvl w:ilvl="2" w:tplc="B59A60DA">
      <w:start w:val="1"/>
      <w:numFmt w:val="bullet"/>
      <w:lvlText w:val="■"/>
      <w:lvlJc w:val="left"/>
      <w:pPr>
        <w:ind w:left="2160" w:hanging="360"/>
      </w:pPr>
    </w:lvl>
    <w:lvl w:ilvl="3" w:tplc="054695F4">
      <w:start w:val="1"/>
      <w:numFmt w:val="bullet"/>
      <w:lvlText w:val="●"/>
      <w:lvlJc w:val="left"/>
      <w:pPr>
        <w:ind w:left="2880" w:hanging="360"/>
      </w:pPr>
    </w:lvl>
    <w:lvl w:ilvl="4" w:tplc="1E42466A">
      <w:start w:val="1"/>
      <w:numFmt w:val="bullet"/>
      <w:lvlText w:val="○"/>
      <w:lvlJc w:val="left"/>
      <w:pPr>
        <w:ind w:left="3600" w:hanging="360"/>
      </w:pPr>
    </w:lvl>
    <w:lvl w:ilvl="5" w:tplc="E6829AFA">
      <w:start w:val="1"/>
      <w:numFmt w:val="bullet"/>
      <w:lvlText w:val="■"/>
      <w:lvlJc w:val="left"/>
      <w:pPr>
        <w:ind w:left="4320" w:hanging="360"/>
      </w:pPr>
    </w:lvl>
    <w:lvl w:ilvl="6" w:tplc="E876748C">
      <w:start w:val="1"/>
      <w:numFmt w:val="bullet"/>
      <w:lvlText w:val="●"/>
      <w:lvlJc w:val="left"/>
      <w:pPr>
        <w:ind w:left="5040" w:hanging="360"/>
      </w:pPr>
    </w:lvl>
    <w:lvl w:ilvl="7" w:tplc="8B549436">
      <w:start w:val="1"/>
      <w:numFmt w:val="bullet"/>
      <w:lvlText w:val="●"/>
      <w:lvlJc w:val="left"/>
      <w:pPr>
        <w:ind w:left="5760" w:hanging="360"/>
      </w:pPr>
    </w:lvl>
    <w:lvl w:ilvl="8" w:tplc="4D6EF3A2">
      <w:start w:val="1"/>
      <w:numFmt w:val="bullet"/>
      <w:lvlText w:val="●"/>
      <w:lvlJc w:val="left"/>
      <w:pPr>
        <w:ind w:left="6480" w:hanging="360"/>
      </w:pPr>
    </w:lvl>
  </w:abstractNum>
  <w:num w:numId="1" w16cid:durableId="1931112835">
    <w:abstractNumId w:val="2"/>
    <w:lvlOverride w:ilvl="0">
      <w:startOverride w:val="1"/>
    </w:lvlOverride>
  </w:num>
  <w:num w:numId="2" w16cid:durableId="103230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CA2"/>
    <w:rsid w:val="00867BAF"/>
    <w:rsid w:val="00896CA2"/>
    <w:rsid w:val="00996A7B"/>
    <w:rsid w:val="00E326AA"/>
    <w:rsid w:val="00FD1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0C06"/>
  <w15:docId w15:val="{9BD05931-495A-4419-98C0-169683C5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1937</Words>
  <Characters>11043</Characters>
  <Application>Microsoft Office Word</Application>
  <DocSecurity>0</DocSecurity>
  <Lines>92</Lines>
  <Paragraphs>25</Paragraphs>
  <ScaleCrop>false</ScaleCrop>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RD NidusLab</cp:lastModifiedBy>
  <cp:revision>3</cp:revision>
  <dcterms:created xsi:type="dcterms:W3CDTF">2026-02-25T09:15:00Z</dcterms:created>
  <dcterms:modified xsi:type="dcterms:W3CDTF">2026-02-25T09:28:00Z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93803eeb-c87e-489c-bfe3-3b70130aa466</vt:lpwstr>
  </property>
</Properties>
</file>