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8C2260" w14:textId="251634A6" w:rsidR="007742E8" w:rsidRPr="00515B1B" w:rsidRDefault="00E068A5" w:rsidP="00454B8F">
      <w:pPr>
        <w:contextualSpacing/>
        <w:jc w:val="center"/>
        <w:rPr>
          <w:rFonts w:ascii="Times New Roman" w:hAnsi="Times New Roman" w:cs="Times New Roman"/>
          <w:b/>
          <w:u w:val="single"/>
        </w:rPr>
      </w:pPr>
      <w:r w:rsidRPr="00515B1B">
        <w:rPr>
          <w:rFonts w:ascii="Times New Roman" w:hAnsi="Times New Roman" w:cs="Times New Roman"/>
          <w:b/>
          <w:u w:val="single"/>
        </w:rPr>
        <w:t>Appendix</w:t>
      </w:r>
    </w:p>
    <w:p w14:paraId="2590C885" w14:textId="77777777" w:rsidR="00EE2A94" w:rsidRPr="00515B1B" w:rsidRDefault="00EE2A94" w:rsidP="00454B8F">
      <w:pPr>
        <w:contextualSpacing/>
        <w:rPr>
          <w:rFonts w:ascii="Times New Roman" w:hAnsi="Times New Roman" w:cs="Times New Roman"/>
          <w:b/>
          <w:u w:val="single"/>
        </w:rPr>
      </w:pPr>
    </w:p>
    <w:p w14:paraId="5BBC3037" w14:textId="284671BD" w:rsidR="00E068A5" w:rsidRPr="00515B1B" w:rsidRDefault="009C217C" w:rsidP="00454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u w:val="single"/>
        </w:rPr>
      </w:pPr>
      <w:r w:rsidRPr="00515B1B">
        <w:rPr>
          <w:rFonts w:ascii="Times New Roman" w:hAnsi="Times New Roman" w:cs="Times New Roman"/>
          <w:b/>
          <w:u w:val="single"/>
        </w:rPr>
        <w:t>XY-Plots</w:t>
      </w:r>
      <w:r w:rsidR="00E068A5" w:rsidRPr="00515B1B">
        <w:rPr>
          <w:rFonts w:ascii="Times New Roman" w:hAnsi="Times New Roman" w:cs="Times New Roman"/>
          <w:b/>
          <w:u w:val="single"/>
        </w:rPr>
        <w:t xml:space="preserve"> </w:t>
      </w:r>
      <w:r w:rsidR="002735C2" w:rsidRPr="00515B1B">
        <w:rPr>
          <w:rFonts w:ascii="Times New Roman" w:hAnsi="Times New Roman" w:cs="Times New Roman"/>
          <w:b/>
          <w:u w:val="single"/>
        </w:rPr>
        <w:t>Section</w:t>
      </w:r>
    </w:p>
    <w:p w14:paraId="5DDDE201" w14:textId="7294D7C0" w:rsidR="00E068A5" w:rsidRPr="00515B1B" w:rsidRDefault="007742E8" w:rsidP="002079E5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1</w:t>
      </w:r>
      <w:r w:rsidR="006F7DF1" w:rsidRPr="00515B1B">
        <w:rPr>
          <w:rFonts w:ascii="Times New Roman" w:hAnsi="Times New Roman" w:cs="Times New Roman"/>
          <w:b/>
        </w:rPr>
        <w:t>.1 – XY Plot of</w:t>
      </w:r>
      <w:r w:rsidR="00E068A5" w:rsidRPr="00515B1B">
        <w:rPr>
          <w:rFonts w:ascii="Times New Roman" w:hAnsi="Times New Roman" w:cs="Times New Roman"/>
          <w:b/>
        </w:rPr>
        <w:t xml:space="preserve"> Good and Average Numbers for the Six Surveys</w:t>
      </w:r>
    </w:p>
    <w:p w14:paraId="338B1186" w14:textId="22A37F44" w:rsidR="006F7DF1" w:rsidRPr="00515B1B" w:rsidRDefault="006F7DF1" w:rsidP="002079E5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53F2A291" wp14:editId="3069A542">
            <wp:simplePos x="0" y="0"/>
            <wp:positionH relativeFrom="column">
              <wp:posOffset>-596265</wp:posOffset>
            </wp:positionH>
            <wp:positionV relativeFrom="paragraph">
              <wp:posOffset>822960</wp:posOffset>
            </wp:positionV>
            <wp:extent cx="7132955" cy="5942965"/>
            <wp:effectExtent l="10795" t="0" r="0" b="0"/>
            <wp:wrapTopAndBottom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02" t="3001" r="159" b="-145"/>
                    <a:stretch/>
                  </pic:blipFill>
                  <pic:spPr bwMode="auto">
                    <a:xfrm rot="5400000">
                      <a:off x="0" y="0"/>
                      <a:ext cx="7132955" cy="594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91CB7" w14:textId="77777777" w:rsidR="007742E8" w:rsidRPr="00515B1B" w:rsidRDefault="009C217C" w:rsidP="002079E5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br/>
      </w:r>
    </w:p>
    <w:p w14:paraId="325F3BAE" w14:textId="25A23960" w:rsidR="007742E8" w:rsidRPr="00515B1B" w:rsidRDefault="007742E8" w:rsidP="002079E5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 xml:space="preserve">Graph 1.2 – </w:t>
      </w:r>
      <w:r w:rsidR="00E068A5" w:rsidRPr="00515B1B">
        <w:rPr>
          <w:rFonts w:ascii="Times New Roman" w:hAnsi="Times New Roman" w:cs="Times New Roman"/>
          <w:b/>
        </w:rPr>
        <w:t xml:space="preserve">XY-Plot </w:t>
      </w:r>
      <w:r w:rsidRPr="00515B1B">
        <w:rPr>
          <w:rFonts w:ascii="Times New Roman" w:hAnsi="Times New Roman" w:cs="Times New Roman"/>
          <w:b/>
        </w:rPr>
        <w:t>of</w:t>
      </w:r>
      <w:r w:rsidR="00E068A5" w:rsidRPr="00515B1B">
        <w:rPr>
          <w:rFonts w:ascii="Times New Roman" w:hAnsi="Times New Roman" w:cs="Times New Roman"/>
          <w:b/>
        </w:rPr>
        <w:t xml:space="preserve"> Good and Average Percentage Numbers for the Six Surveys</w:t>
      </w:r>
    </w:p>
    <w:p w14:paraId="49DF45E4" w14:textId="5878943E" w:rsidR="007742E8" w:rsidRPr="00515B1B" w:rsidRDefault="007742E8" w:rsidP="002079E5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70528" behindDoc="0" locked="0" layoutInCell="1" allowOverlap="1" wp14:anchorId="6423C90A" wp14:editId="6E9D5A68">
            <wp:simplePos x="0" y="0"/>
            <wp:positionH relativeFrom="column">
              <wp:posOffset>-641985</wp:posOffset>
            </wp:positionH>
            <wp:positionV relativeFrom="paragraph">
              <wp:posOffset>824865</wp:posOffset>
            </wp:positionV>
            <wp:extent cx="7174865" cy="5882005"/>
            <wp:effectExtent l="11430" t="0" r="0" b="0"/>
            <wp:wrapTopAndBottom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74865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615A1" w14:textId="77777777" w:rsidR="007F7680" w:rsidRPr="00515B1B" w:rsidRDefault="007F7680" w:rsidP="007742E8">
      <w:pPr>
        <w:rPr>
          <w:rFonts w:ascii="Times New Roman" w:hAnsi="Times New Roman" w:cs="Times New Roman"/>
          <w:b/>
          <w:u w:val="single"/>
        </w:rPr>
      </w:pPr>
    </w:p>
    <w:p w14:paraId="79B8B21A" w14:textId="2E0D0E77" w:rsidR="007F7680" w:rsidRPr="00515B1B" w:rsidRDefault="00274469" w:rsidP="007742E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AFD5D8E" wp14:editId="00DEF506">
            <wp:simplePos x="0" y="0"/>
            <wp:positionH relativeFrom="column">
              <wp:posOffset>-928370</wp:posOffset>
            </wp:positionH>
            <wp:positionV relativeFrom="paragraph">
              <wp:posOffset>1358265</wp:posOffset>
            </wp:positionV>
            <wp:extent cx="7799070" cy="5943600"/>
            <wp:effectExtent l="0" t="12065" r="12065" b="12065"/>
            <wp:wrapTopAndBottom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9907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680" w:rsidRPr="00515B1B">
        <w:rPr>
          <w:rFonts w:ascii="Times New Roman" w:hAnsi="Times New Roman" w:cs="Times New Roman"/>
          <w:b/>
        </w:rPr>
        <w:t>Graph 1.3 - XY-Plot of Male and Female Numbers for the Six Surveys</w:t>
      </w:r>
    </w:p>
    <w:p w14:paraId="5F0711B9" w14:textId="1BF68623" w:rsidR="00274469" w:rsidRPr="00515B1B" w:rsidRDefault="00274469" w:rsidP="007742E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71A201A" wp14:editId="2C7191E3">
            <wp:simplePos x="0" y="0"/>
            <wp:positionH relativeFrom="column">
              <wp:posOffset>-944880</wp:posOffset>
            </wp:positionH>
            <wp:positionV relativeFrom="paragraph">
              <wp:posOffset>1340485</wp:posOffset>
            </wp:positionV>
            <wp:extent cx="7833360" cy="5942965"/>
            <wp:effectExtent l="5397" t="0" r="0" b="0"/>
            <wp:wrapTopAndBottom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33360" cy="594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680" w:rsidRPr="00515B1B">
        <w:rPr>
          <w:rFonts w:ascii="Times New Roman" w:hAnsi="Times New Roman" w:cs="Times New Roman"/>
          <w:b/>
        </w:rPr>
        <w:t>Graph 1.4 - XY-Plot of Male and Female Percentage Numbers for the Six Surveys</w:t>
      </w:r>
    </w:p>
    <w:p w14:paraId="6D5355DC" w14:textId="77777777" w:rsidR="007742E8" w:rsidRPr="00515B1B" w:rsidRDefault="007742E8" w:rsidP="007742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u w:val="single"/>
        </w:rPr>
      </w:pPr>
      <w:r w:rsidRPr="00515B1B">
        <w:rPr>
          <w:rFonts w:ascii="Times New Roman" w:hAnsi="Times New Roman" w:cs="Times New Roman"/>
          <w:b/>
          <w:u w:val="single"/>
        </w:rPr>
        <w:lastRenderedPageBreak/>
        <w:t>Box and Whisker Section</w:t>
      </w:r>
    </w:p>
    <w:p w14:paraId="3111CBCA" w14:textId="2C42FA28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2.1 – Box and Whisker Plot 1 – Good Numbers for the Six Surveys</w:t>
      </w:r>
    </w:p>
    <w:p w14:paraId="12C3C965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0AF00346" wp14:editId="34BA4609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943600" cy="3177540"/>
            <wp:effectExtent l="0" t="0" r="0" b="0"/>
            <wp:wrapTopAndBottom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1E654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</w:p>
    <w:p w14:paraId="55BE1F06" w14:textId="73884E93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2.2 – Box and Whisker Plot 2 – Average Numbers for the Six Surveys</w:t>
      </w:r>
    </w:p>
    <w:p w14:paraId="79B9026B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bookmarkStart w:id="0" w:name="_GoBack"/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1312" behindDoc="0" locked="0" layoutInCell="1" allowOverlap="1" wp14:anchorId="691D842F" wp14:editId="2C64F2C4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305175"/>
            <wp:effectExtent l="0" t="0" r="0" b="0"/>
            <wp:wrapTopAndBottom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1862113" w14:textId="77777777" w:rsidR="002735C2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br/>
      </w:r>
    </w:p>
    <w:p w14:paraId="49805A04" w14:textId="77777777" w:rsidR="002735C2" w:rsidRPr="00515B1B" w:rsidRDefault="002735C2" w:rsidP="007742E8">
      <w:pPr>
        <w:contextualSpacing/>
        <w:rPr>
          <w:rFonts w:ascii="Times New Roman" w:hAnsi="Times New Roman" w:cs="Times New Roman"/>
          <w:b/>
        </w:rPr>
      </w:pPr>
    </w:p>
    <w:p w14:paraId="499EA986" w14:textId="7F8658D4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Graph 2.3 – Box and Whisker Plot 3 – The Good Percentage for the Six Surveys</w:t>
      </w:r>
    </w:p>
    <w:p w14:paraId="66DA4DD2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2336" behindDoc="0" locked="0" layoutInCell="1" allowOverlap="1" wp14:anchorId="37C20E10" wp14:editId="2AA252E1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129915"/>
            <wp:effectExtent l="0" t="0" r="0" b="0"/>
            <wp:wrapTopAndBottom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870D1" w14:textId="5282D085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br/>
        <w:t>Graph 2.4 – Box and Whisker Plot 4 – Average Percentage for the Six Surveys</w:t>
      </w:r>
    </w:p>
    <w:p w14:paraId="733CE19B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3360" behindDoc="0" locked="0" layoutInCell="1" allowOverlap="1" wp14:anchorId="30525E20" wp14:editId="62F1CA0A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5943600" cy="3358515"/>
            <wp:effectExtent l="0" t="0" r="0" b="0"/>
            <wp:wrapTopAndBottom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A7F5CB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</w:p>
    <w:p w14:paraId="238D113D" w14:textId="77777777" w:rsidR="007742E8" w:rsidRPr="00515B1B" w:rsidRDefault="007742E8" w:rsidP="007742E8">
      <w:pPr>
        <w:rPr>
          <w:rFonts w:ascii="Times New Roman" w:hAnsi="Times New Roman" w:cs="Times New Roman"/>
          <w:b/>
        </w:rPr>
      </w:pPr>
    </w:p>
    <w:p w14:paraId="75DB163E" w14:textId="77777777" w:rsidR="007742E8" w:rsidRPr="00515B1B" w:rsidRDefault="007742E8" w:rsidP="007742E8">
      <w:pPr>
        <w:rPr>
          <w:rFonts w:ascii="Times New Roman" w:hAnsi="Times New Roman" w:cs="Times New Roman"/>
          <w:b/>
        </w:rPr>
      </w:pPr>
    </w:p>
    <w:p w14:paraId="7230F86B" w14:textId="6767F5E1" w:rsidR="007742E8" w:rsidRPr="00515B1B" w:rsidRDefault="007742E8" w:rsidP="007742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Histograms Section</w:t>
      </w:r>
    </w:p>
    <w:p w14:paraId="5BB71888" w14:textId="20A320FA" w:rsidR="007742E8" w:rsidRPr="00515B1B" w:rsidRDefault="002735C2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3</w:t>
      </w:r>
      <w:r w:rsidR="007742E8" w:rsidRPr="00515B1B">
        <w:rPr>
          <w:rFonts w:ascii="Times New Roman" w:hAnsi="Times New Roman" w:cs="Times New Roman"/>
          <w:b/>
        </w:rPr>
        <w:t xml:space="preserve">.1 – Histogram of Survey 1 </w:t>
      </w:r>
      <w:r w:rsidRPr="00515B1B">
        <w:rPr>
          <w:rFonts w:ascii="Times New Roman" w:hAnsi="Times New Roman" w:cs="Times New Roman"/>
          <w:b/>
        </w:rPr>
        <w:t>Good Male and Female Numbers and Average Male and Female Numbers Comparison</w:t>
      </w:r>
    </w:p>
    <w:p w14:paraId="1A34F665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4384" behindDoc="0" locked="0" layoutInCell="1" allowOverlap="1" wp14:anchorId="70E0C85B" wp14:editId="7A734C62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943600" cy="3298825"/>
            <wp:effectExtent l="0" t="0" r="0" b="3175"/>
            <wp:wrapTopAndBottom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DD4420" w14:textId="2098437E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br/>
      </w:r>
      <w:r w:rsidR="002735C2" w:rsidRPr="00515B1B">
        <w:rPr>
          <w:rFonts w:ascii="Times New Roman" w:hAnsi="Times New Roman" w:cs="Times New Roman"/>
          <w:b/>
        </w:rPr>
        <w:t>Graph 3.2</w:t>
      </w:r>
      <w:r w:rsidRPr="00515B1B">
        <w:rPr>
          <w:rFonts w:ascii="Times New Roman" w:hAnsi="Times New Roman" w:cs="Times New Roman"/>
          <w:b/>
        </w:rPr>
        <w:t xml:space="preserve"> – Histogram of Survey 2 </w:t>
      </w:r>
      <w:r w:rsidR="002735C2" w:rsidRPr="00515B1B">
        <w:rPr>
          <w:rFonts w:ascii="Times New Roman" w:hAnsi="Times New Roman" w:cs="Times New Roman"/>
          <w:b/>
        </w:rPr>
        <w:t>Good Male and Female Numbers and Average Male and Female Numbers Comparison</w:t>
      </w:r>
    </w:p>
    <w:p w14:paraId="4F8B6BBF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5408" behindDoc="0" locked="0" layoutInCell="1" allowOverlap="1" wp14:anchorId="34463939" wp14:editId="050E0FA9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943600" cy="3357880"/>
            <wp:effectExtent l="0" t="0" r="0" b="0"/>
            <wp:wrapTopAndBottom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15C6C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</w:p>
    <w:p w14:paraId="59337380" w14:textId="5A98F202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br/>
      </w:r>
      <w:r w:rsidR="002735C2" w:rsidRPr="00515B1B">
        <w:rPr>
          <w:rFonts w:ascii="Times New Roman" w:hAnsi="Times New Roman" w:cs="Times New Roman"/>
          <w:b/>
        </w:rPr>
        <w:t>Graph 3</w:t>
      </w:r>
      <w:r w:rsidRPr="00515B1B">
        <w:rPr>
          <w:rFonts w:ascii="Times New Roman" w:hAnsi="Times New Roman" w:cs="Times New Roman"/>
          <w:b/>
        </w:rPr>
        <w:t xml:space="preserve">.3 – </w:t>
      </w:r>
      <w:r w:rsidR="007B1C90" w:rsidRPr="00515B1B">
        <w:rPr>
          <w:rFonts w:ascii="Times New Roman" w:hAnsi="Times New Roman" w:cs="Times New Roman"/>
          <w:b/>
        </w:rPr>
        <w:t xml:space="preserve">Histogram </w:t>
      </w:r>
      <w:r w:rsidRPr="00515B1B">
        <w:rPr>
          <w:rFonts w:ascii="Times New Roman" w:hAnsi="Times New Roman" w:cs="Times New Roman"/>
          <w:b/>
        </w:rPr>
        <w:t xml:space="preserve">of Survey 3 </w:t>
      </w:r>
      <w:r w:rsidR="002735C2" w:rsidRPr="00515B1B">
        <w:rPr>
          <w:rFonts w:ascii="Times New Roman" w:hAnsi="Times New Roman" w:cs="Times New Roman"/>
          <w:b/>
        </w:rPr>
        <w:t>Good Male and Female Numbers and Average Male and Female Numbers Comparison</w:t>
      </w:r>
    </w:p>
    <w:p w14:paraId="25E2CE4B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6432" behindDoc="0" locked="0" layoutInCell="1" allowOverlap="1" wp14:anchorId="077B729B" wp14:editId="0964D443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008630"/>
            <wp:effectExtent l="0" t="0" r="0" b="0"/>
            <wp:wrapTopAndBottom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4-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E7ECA" w14:textId="77777777" w:rsidR="007F6D01" w:rsidRPr="00515B1B" w:rsidRDefault="007F6D01" w:rsidP="007742E8">
      <w:pPr>
        <w:contextualSpacing/>
        <w:rPr>
          <w:rFonts w:ascii="Times New Roman" w:hAnsi="Times New Roman" w:cs="Times New Roman"/>
          <w:b/>
        </w:rPr>
      </w:pPr>
    </w:p>
    <w:p w14:paraId="650BC8B6" w14:textId="7F5884CF" w:rsidR="007742E8" w:rsidRPr="00515B1B" w:rsidRDefault="002735C2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3</w:t>
      </w:r>
      <w:r w:rsidR="007742E8" w:rsidRPr="00515B1B">
        <w:rPr>
          <w:rFonts w:ascii="Times New Roman" w:hAnsi="Times New Roman" w:cs="Times New Roman"/>
          <w:b/>
        </w:rPr>
        <w:t xml:space="preserve">.4 – </w:t>
      </w:r>
      <w:r w:rsidR="007B1C90" w:rsidRPr="00515B1B">
        <w:rPr>
          <w:rFonts w:ascii="Times New Roman" w:hAnsi="Times New Roman" w:cs="Times New Roman"/>
          <w:b/>
        </w:rPr>
        <w:t>Histogram of</w:t>
      </w:r>
      <w:r w:rsidR="007742E8" w:rsidRPr="00515B1B">
        <w:rPr>
          <w:rFonts w:ascii="Times New Roman" w:hAnsi="Times New Roman" w:cs="Times New Roman"/>
          <w:b/>
        </w:rPr>
        <w:t xml:space="preserve"> Survey 4 </w:t>
      </w:r>
      <w:r w:rsidRPr="00515B1B">
        <w:rPr>
          <w:rFonts w:ascii="Times New Roman" w:hAnsi="Times New Roman" w:cs="Times New Roman"/>
          <w:b/>
        </w:rPr>
        <w:t>Good Male and Female Numbers and Average Male and Female Numbers Comparison</w:t>
      </w:r>
    </w:p>
    <w:p w14:paraId="317FCE8F" w14:textId="514A8828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7456" behindDoc="0" locked="0" layoutInCell="1" allowOverlap="1" wp14:anchorId="5E73C091" wp14:editId="3B5D77EC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5943600" cy="3361055"/>
            <wp:effectExtent l="0" t="0" r="0" b="0"/>
            <wp:wrapTopAndBottom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4-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423DC" w14:textId="518FDB69" w:rsidR="007742E8" w:rsidRPr="00515B1B" w:rsidRDefault="002735C2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Graph 3</w:t>
      </w:r>
      <w:r w:rsidR="007742E8" w:rsidRPr="00515B1B">
        <w:rPr>
          <w:rFonts w:ascii="Times New Roman" w:hAnsi="Times New Roman" w:cs="Times New Roman"/>
          <w:b/>
        </w:rPr>
        <w:t xml:space="preserve">.5 – </w:t>
      </w:r>
      <w:r w:rsidR="007B1C90" w:rsidRPr="00515B1B">
        <w:rPr>
          <w:rFonts w:ascii="Times New Roman" w:hAnsi="Times New Roman" w:cs="Times New Roman"/>
          <w:b/>
        </w:rPr>
        <w:t>Histogram</w:t>
      </w:r>
      <w:r w:rsidR="007742E8" w:rsidRPr="00515B1B">
        <w:rPr>
          <w:rFonts w:ascii="Times New Roman" w:hAnsi="Times New Roman" w:cs="Times New Roman"/>
          <w:b/>
        </w:rPr>
        <w:t xml:space="preserve"> of Survey 5 </w:t>
      </w:r>
      <w:r w:rsidRPr="00515B1B">
        <w:rPr>
          <w:rFonts w:ascii="Times New Roman" w:hAnsi="Times New Roman" w:cs="Times New Roman"/>
          <w:b/>
        </w:rPr>
        <w:t>Good Male and Female Numbers and Average Male and Female Numbers Comparison</w:t>
      </w:r>
    </w:p>
    <w:p w14:paraId="78807593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8480" behindDoc="0" locked="0" layoutInCell="1" allowOverlap="1" wp14:anchorId="7A99EBF6" wp14:editId="7DFE3287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943600" cy="3182620"/>
            <wp:effectExtent l="0" t="0" r="0" b="0"/>
            <wp:wrapTopAndBottom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4-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B939E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</w:p>
    <w:p w14:paraId="69CB011E" w14:textId="07422578" w:rsidR="007742E8" w:rsidRPr="00515B1B" w:rsidRDefault="002735C2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3</w:t>
      </w:r>
      <w:r w:rsidR="007742E8" w:rsidRPr="00515B1B">
        <w:rPr>
          <w:rFonts w:ascii="Times New Roman" w:hAnsi="Times New Roman" w:cs="Times New Roman"/>
          <w:b/>
        </w:rPr>
        <w:t xml:space="preserve">.6 – Histogram 6 of Survey 6 Good </w:t>
      </w:r>
      <w:r w:rsidRPr="00515B1B">
        <w:rPr>
          <w:rFonts w:ascii="Times New Roman" w:hAnsi="Times New Roman" w:cs="Times New Roman"/>
          <w:b/>
        </w:rPr>
        <w:t xml:space="preserve">Male and Female Numbers </w:t>
      </w:r>
      <w:r w:rsidR="007742E8" w:rsidRPr="00515B1B">
        <w:rPr>
          <w:rFonts w:ascii="Times New Roman" w:hAnsi="Times New Roman" w:cs="Times New Roman"/>
          <w:b/>
        </w:rPr>
        <w:t xml:space="preserve">and Average </w:t>
      </w:r>
      <w:r w:rsidRPr="00515B1B">
        <w:rPr>
          <w:rFonts w:ascii="Times New Roman" w:hAnsi="Times New Roman" w:cs="Times New Roman"/>
          <w:b/>
        </w:rPr>
        <w:t>Male and Female Numbers</w:t>
      </w:r>
      <w:r w:rsidR="007742E8" w:rsidRPr="00515B1B">
        <w:rPr>
          <w:rFonts w:ascii="Times New Roman" w:hAnsi="Times New Roman" w:cs="Times New Roman"/>
          <w:b/>
        </w:rPr>
        <w:t xml:space="preserve"> Comparison</w:t>
      </w:r>
    </w:p>
    <w:p w14:paraId="2BF6CB51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9504" behindDoc="0" locked="0" layoutInCell="1" allowOverlap="1" wp14:anchorId="1BE5501E" wp14:editId="473F581A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943600" cy="3360420"/>
            <wp:effectExtent l="0" t="0" r="0" b="0"/>
            <wp:wrapTopAndBottom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ppendix_files/figure-docx/unnamed-chunk-4-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E2C016" w14:textId="77777777" w:rsidR="007742E8" w:rsidRPr="00515B1B" w:rsidRDefault="007742E8" w:rsidP="007742E8">
      <w:pPr>
        <w:contextualSpacing/>
        <w:rPr>
          <w:rFonts w:ascii="Times New Roman" w:hAnsi="Times New Roman" w:cs="Times New Roman"/>
          <w:b/>
        </w:rPr>
      </w:pPr>
    </w:p>
    <w:p w14:paraId="3778086E" w14:textId="77777777" w:rsidR="001566AE" w:rsidRPr="00515B1B" w:rsidRDefault="001566AE" w:rsidP="007742E8">
      <w:pPr>
        <w:contextualSpacing/>
        <w:rPr>
          <w:rFonts w:ascii="Times New Roman" w:hAnsi="Times New Roman" w:cs="Times New Roman"/>
          <w:b/>
        </w:rPr>
      </w:pPr>
    </w:p>
    <w:p w14:paraId="02F9CBD6" w14:textId="0C194DBD" w:rsidR="001566AE" w:rsidRPr="00515B1B" w:rsidRDefault="001566AE" w:rsidP="001566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Bar Graphs Section</w:t>
      </w:r>
    </w:p>
    <w:p w14:paraId="699DA1B2" w14:textId="1E207DB9" w:rsidR="001566AE" w:rsidRPr="00515B1B" w:rsidRDefault="00F4292A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2689707E" wp14:editId="1D34AA4D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5943600" cy="3242945"/>
            <wp:effectExtent l="0" t="0" r="25400" b="33655"/>
            <wp:wrapTopAndBottom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6AE" w:rsidRPr="00515B1B">
        <w:rPr>
          <w:rFonts w:ascii="Times New Roman" w:hAnsi="Times New Roman" w:cs="Times New Roman"/>
          <w:b/>
        </w:rPr>
        <w:t>Graph 4.1 – Survey 1 Good and Average Numbers</w:t>
      </w:r>
    </w:p>
    <w:p w14:paraId="71618FD0" w14:textId="6AF05B8A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5F83D29C" w14:textId="77777777" w:rsidR="00D11A96" w:rsidRPr="00515B1B" w:rsidRDefault="00D11A96" w:rsidP="001566AE">
      <w:pPr>
        <w:contextualSpacing/>
        <w:rPr>
          <w:rFonts w:ascii="Times New Roman" w:hAnsi="Times New Roman" w:cs="Times New Roman"/>
          <w:b/>
        </w:rPr>
      </w:pPr>
    </w:p>
    <w:p w14:paraId="43249D07" w14:textId="0E577EDD" w:rsidR="001566AE" w:rsidRPr="00515B1B" w:rsidRDefault="00AB1978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2BD43A75" wp14:editId="4DAA99EF">
            <wp:simplePos x="0" y="0"/>
            <wp:positionH relativeFrom="column">
              <wp:posOffset>0</wp:posOffset>
            </wp:positionH>
            <wp:positionV relativeFrom="paragraph">
              <wp:posOffset>299085</wp:posOffset>
            </wp:positionV>
            <wp:extent cx="5943600" cy="3379470"/>
            <wp:effectExtent l="0" t="0" r="25400" b="24130"/>
            <wp:wrapTopAndBottom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6AE" w:rsidRPr="00515B1B">
        <w:rPr>
          <w:rFonts w:ascii="Times New Roman" w:hAnsi="Times New Roman" w:cs="Times New Roman"/>
          <w:b/>
        </w:rPr>
        <w:t>Graph 4.2 – Survey 1 Good and Average Percentages</w:t>
      </w:r>
    </w:p>
    <w:p w14:paraId="3D8A53B9" w14:textId="52512724" w:rsidR="00D11A96" w:rsidRPr="00515B1B" w:rsidRDefault="00D11A96" w:rsidP="001566AE">
      <w:pPr>
        <w:contextualSpacing/>
        <w:rPr>
          <w:rFonts w:ascii="Times New Roman" w:hAnsi="Times New Roman" w:cs="Times New Roman"/>
          <w:b/>
        </w:rPr>
      </w:pPr>
    </w:p>
    <w:p w14:paraId="7EBAB58C" w14:textId="77777777" w:rsidR="00D11A96" w:rsidRPr="00515B1B" w:rsidRDefault="00D11A96" w:rsidP="001566AE">
      <w:pPr>
        <w:contextualSpacing/>
        <w:rPr>
          <w:rFonts w:ascii="Times New Roman" w:hAnsi="Times New Roman" w:cs="Times New Roman"/>
          <w:b/>
        </w:rPr>
      </w:pPr>
    </w:p>
    <w:p w14:paraId="41EA73E1" w14:textId="13869520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Graph 4.3 – Survey 2 Good and Average Numbers</w:t>
      </w:r>
    </w:p>
    <w:p w14:paraId="47948FE9" w14:textId="47A7A6AC" w:rsidR="001566AE" w:rsidRPr="00515B1B" w:rsidRDefault="00AB1978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0D6A6EC8" wp14:editId="6909F8D7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305810"/>
            <wp:effectExtent l="0" t="0" r="25400" b="21590"/>
            <wp:wrapTopAndBottom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1A8E0" w14:textId="2F54149D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22985AF0" w14:textId="7777777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5A6C4FBC" w14:textId="40CF1C19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4.4 – Survey 2 Good and Average Percentages</w:t>
      </w:r>
    </w:p>
    <w:p w14:paraId="0C41D619" w14:textId="506D57F9" w:rsidR="001566AE" w:rsidRPr="00515B1B" w:rsidRDefault="00AB1978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06C910E9" wp14:editId="02510584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943600" cy="3392170"/>
            <wp:effectExtent l="0" t="0" r="25400" b="36830"/>
            <wp:wrapTopAndBottom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16C30" w14:textId="77777777" w:rsidR="00AB1978" w:rsidRPr="00515B1B" w:rsidRDefault="00AB1978" w:rsidP="001566AE">
      <w:pPr>
        <w:contextualSpacing/>
        <w:rPr>
          <w:rFonts w:ascii="Times New Roman" w:hAnsi="Times New Roman" w:cs="Times New Roman"/>
          <w:b/>
        </w:rPr>
      </w:pPr>
    </w:p>
    <w:p w14:paraId="65302688" w14:textId="77777777" w:rsidR="00AB1978" w:rsidRPr="00515B1B" w:rsidRDefault="00AB1978" w:rsidP="001566AE">
      <w:pPr>
        <w:contextualSpacing/>
        <w:rPr>
          <w:rFonts w:ascii="Times New Roman" w:hAnsi="Times New Roman" w:cs="Times New Roman"/>
          <w:b/>
        </w:rPr>
      </w:pPr>
    </w:p>
    <w:p w14:paraId="60AEC54E" w14:textId="4C15DA12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Graph 4.5 – Survey 3 Good and Average Numbers</w:t>
      </w:r>
    </w:p>
    <w:p w14:paraId="063735FA" w14:textId="2689CC7E" w:rsidR="001566AE" w:rsidRPr="00515B1B" w:rsidRDefault="00AB1978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478E7709" wp14:editId="34BDA1EA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077210"/>
            <wp:effectExtent l="0" t="0" r="25400" b="21590"/>
            <wp:wrapTopAndBottom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E6AED" w14:textId="5800820B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1CF8B4EE" w14:textId="7777777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2BD42E22" w14:textId="45C5885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4.6 – Survey 3 Good and Average Percentages</w:t>
      </w:r>
    </w:p>
    <w:p w14:paraId="5706BBEA" w14:textId="7777777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3863DC18" w14:textId="4B400E7C" w:rsidR="001566AE" w:rsidRPr="00515B1B" w:rsidRDefault="00AB1978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40B3ABD4" wp14:editId="640C29F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93440"/>
            <wp:effectExtent l="0" t="0" r="25400" b="35560"/>
            <wp:wrapTopAndBottom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F679F" w14:textId="7777777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69F95C9B" w14:textId="77777777" w:rsidR="00AB1978" w:rsidRPr="00515B1B" w:rsidRDefault="00AB1978" w:rsidP="001566AE">
      <w:pPr>
        <w:contextualSpacing/>
        <w:rPr>
          <w:rFonts w:ascii="Times New Roman" w:hAnsi="Times New Roman" w:cs="Times New Roman"/>
          <w:b/>
        </w:rPr>
      </w:pPr>
    </w:p>
    <w:p w14:paraId="55C7909C" w14:textId="5E4A4205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Graph 4.7 – Survey 4 Good and Average Numbers</w:t>
      </w:r>
    </w:p>
    <w:p w14:paraId="7B9CC086" w14:textId="1A1225AB" w:rsidR="001566AE" w:rsidRPr="00515B1B" w:rsidRDefault="00515B1B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3DEFDD5A" wp14:editId="23FC35E3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305810"/>
            <wp:effectExtent l="0" t="0" r="25400" b="21590"/>
            <wp:wrapTopAndBottom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2DFF9" w14:textId="64227C94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68A720B5" w14:textId="7777777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64038C58" w14:textId="0DEE1908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4.8 – Survey 4 Good and Average Percentages</w:t>
      </w:r>
    </w:p>
    <w:p w14:paraId="10CB0EF0" w14:textId="11A308B0" w:rsidR="001566AE" w:rsidRPr="00515B1B" w:rsidRDefault="00515B1B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07C8D213" wp14:editId="16E79EA1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943600" cy="3392170"/>
            <wp:effectExtent l="0" t="0" r="25400" b="36830"/>
            <wp:wrapTopAndBottom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08CCE0" w14:textId="5946F14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141191AE" w14:textId="77777777" w:rsidR="00515B1B" w:rsidRPr="00515B1B" w:rsidRDefault="00515B1B" w:rsidP="001566AE">
      <w:pPr>
        <w:contextualSpacing/>
        <w:rPr>
          <w:rFonts w:ascii="Times New Roman" w:hAnsi="Times New Roman" w:cs="Times New Roman"/>
          <w:b/>
        </w:rPr>
      </w:pPr>
    </w:p>
    <w:p w14:paraId="3FA0FB9D" w14:textId="615911C0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Graph 4.9 – Survey 5 Good and Average Numbers</w:t>
      </w:r>
    </w:p>
    <w:p w14:paraId="2443657C" w14:textId="240ADD47" w:rsidR="001566AE" w:rsidRPr="00515B1B" w:rsidRDefault="00515B1B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2613783D" wp14:editId="19024B70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534410"/>
            <wp:effectExtent l="0" t="0" r="25400" b="21590"/>
            <wp:wrapTopAndBottom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905F6" w14:textId="7D64EDFC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318685E2" w14:textId="7777777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1DE18B02" w14:textId="0A00BB60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4.10 – Survey 5 Good and Average Percentages</w:t>
      </w:r>
    </w:p>
    <w:p w14:paraId="7BF4EC0B" w14:textId="124C97D2" w:rsidR="001566AE" w:rsidRPr="00515B1B" w:rsidRDefault="00515B1B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2EC5FF9A" wp14:editId="00D8C990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943600" cy="3163570"/>
            <wp:effectExtent l="0" t="0" r="25400" b="36830"/>
            <wp:wrapTopAndBottom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0554F" w14:textId="3088FC8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14F208AC" w14:textId="7777777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5ADB4B14" w14:textId="614D5115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lastRenderedPageBreak/>
        <w:t>Graph 4.11 – Survey 6 Good and Average Numbers</w:t>
      </w:r>
    </w:p>
    <w:p w14:paraId="49E5808E" w14:textId="455726D7" w:rsidR="001566AE" w:rsidRPr="00515B1B" w:rsidRDefault="00515B1B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2F4C1DB5" wp14:editId="6628A329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5943600" cy="3305810"/>
            <wp:effectExtent l="0" t="0" r="25400" b="21590"/>
            <wp:wrapTopAndBottom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1997D" w14:textId="24860AC0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7AE9F1FA" w14:textId="77777777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</w:p>
    <w:p w14:paraId="645F952B" w14:textId="474D0910" w:rsidR="001566AE" w:rsidRPr="00515B1B" w:rsidRDefault="001566AE" w:rsidP="001566AE">
      <w:pPr>
        <w:contextualSpacing/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b/>
        </w:rPr>
        <w:t>Graph 4.12 – Survey 6 Good and Average Percentages</w:t>
      </w:r>
    </w:p>
    <w:p w14:paraId="2C7BB95D" w14:textId="535231ED" w:rsidR="001566AE" w:rsidRPr="00515B1B" w:rsidRDefault="00515B1B" w:rsidP="00515B1B">
      <w:pPr>
        <w:rPr>
          <w:rFonts w:ascii="Times New Roman" w:hAnsi="Times New Roman" w:cs="Times New Roman"/>
          <w:b/>
        </w:rPr>
      </w:pPr>
      <w:r w:rsidRPr="00515B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217AC03D" wp14:editId="38B913FC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5943600" cy="3277235"/>
            <wp:effectExtent l="0" t="0" r="25400" b="24765"/>
            <wp:wrapTopAndBottom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6130A" w14:textId="3EAECF44" w:rsidR="00515B1B" w:rsidRPr="00515B1B" w:rsidRDefault="00515B1B" w:rsidP="00515B1B">
      <w:pPr>
        <w:rPr>
          <w:rFonts w:ascii="Times New Roman" w:hAnsi="Times New Roman" w:cs="Times New Roman"/>
          <w:b/>
        </w:rPr>
      </w:pPr>
    </w:p>
    <w:sectPr w:rsidR="00515B1B" w:rsidRPr="00515B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17F69BA"/>
    <w:multiLevelType w:val="multilevel"/>
    <w:tmpl w:val="17D833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2024BE0"/>
    <w:multiLevelType w:val="multilevel"/>
    <w:tmpl w:val="7194C4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D93399E"/>
    <w:multiLevelType w:val="hybridMultilevel"/>
    <w:tmpl w:val="8B00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0F580B"/>
    <w:multiLevelType w:val="hybridMultilevel"/>
    <w:tmpl w:val="7794C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566AE"/>
    <w:rsid w:val="001675A5"/>
    <w:rsid w:val="002079E5"/>
    <w:rsid w:val="002735C2"/>
    <w:rsid w:val="00274469"/>
    <w:rsid w:val="00372575"/>
    <w:rsid w:val="0042581B"/>
    <w:rsid w:val="00454B8F"/>
    <w:rsid w:val="004E29B3"/>
    <w:rsid w:val="005003C4"/>
    <w:rsid w:val="00515B1B"/>
    <w:rsid w:val="0056491C"/>
    <w:rsid w:val="00590D07"/>
    <w:rsid w:val="006F7DF1"/>
    <w:rsid w:val="00702AE1"/>
    <w:rsid w:val="007742E8"/>
    <w:rsid w:val="00784D58"/>
    <w:rsid w:val="007B1C90"/>
    <w:rsid w:val="007E5B22"/>
    <w:rsid w:val="007F6D01"/>
    <w:rsid w:val="007F7680"/>
    <w:rsid w:val="008342C9"/>
    <w:rsid w:val="008D6863"/>
    <w:rsid w:val="009C217C"/>
    <w:rsid w:val="00AB1978"/>
    <w:rsid w:val="00B86B75"/>
    <w:rsid w:val="00BC48D5"/>
    <w:rsid w:val="00C36279"/>
    <w:rsid w:val="00D11A96"/>
    <w:rsid w:val="00D76477"/>
    <w:rsid w:val="00E068A5"/>
    <w:rsid w:val="00E315A3"/>
    <w:rsid w:val="00E502F2"/>
    <w:rsid w:val="00EE2A94"/>
    <w:rsid w:val="00F12BC1"/>
    <w:rsid w:val="00F4292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E3A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Revision" w:semiHidden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semiHidden/>
    <w:unhideWhenUsed/>
    <w:rsid w:val="00E068A5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068A5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rsid w:val="002079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Revision" w:semiHidden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semiHidden/>
    <w:unhideWhenUsed/>
    <w:rsid w:val="00E068A5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068A5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rsid w:val="00207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chart" Target="charts/chart1.xml"/><Relationship Id="rId21" Type="http://schemas.openxmlformats.org/officeDocument/2006/relationships/chart" Target="charts/chart2.xml"/><Relationship Id="rId22" Type="http://schemas.openxmlformats.org/officeDocument/2006/relationships/chart" Target="charts/chart3.xml"/><Relationship Id="rId23" Type="http://schemas.openxmlformats.org/officeDocument/2006/relationships/chart" Target="charts/chart4.xml"/><Relationship Id="rId24" Type="http://schemas.openxmlformats.org/officeDocument/2006/relationships/chart" Target="charts/chart5.xml"/><Relationship Id="rId25" Type="http://schemas.openxmlformats.org/officeDocument/2006/relationships/chart" Target="charts/chart6.xml"/><Relationship Id="rId26" Type="http://schemas.openxmlformats.org/officeDocument/2006/relationships/chart" Target="charts/chart7.xml"/><Relationship Id="rId27" Type="http://schemas.openxmlformats.org/officeDocument/2006/relationships/chart" Target="charts/chart8.xml"/><Relationship Id="rId28" Type="http://schemas.openxmlformats.org/officeDocument/2006/relationships/chart" Target="charts/chart9.xml"/><Relationship Id="rId29" Type="http://schemas.openxmlformats.org/officeDocument/2006/relationships/chart" Target="charts/chart10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chart" Target="charts/chart11.xml"/><Relationship Id="rId31" Type="http://schemas.openxmlformats.org/officeDocument/2006/relationships/chart" Target="charts/chart12.xml"/><Relationship Id="rId32" Type="http://schemas.openxmlformats.org/officeDocument/2006/relationships/fontTable" Target="fontTable.xml"/><Relationship Id="rId9" Type="http://schemas.openxmlformats.org/officeDocument/2006/relationships/image" Target="media/image4.png"/><Relationship Id="rId6" Type="http://schemas.openxmlformats.org/officeDocument/2006/relationships/image" Target="media/image1.tiff"/><Relationship Id="rId7" Type="http://schemas.openxmlformats.org/officeDocument/2006/relationships/image" Target="media/image2.tiff"/><Relationship Id="rId8" Type="http://schemas.openxmlformats.org/officeDocument/2006/relationships/image" Target="media/image3.png"/><Relationship Id="rId33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Survey 1 Good and Average Numbers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'OfficialReview - Graphs'!$B$3</c:f>
              <c:strCache>
                <c:ptCount val="1"/>
                <c:pt idx="0">
                  <c:v>Good Number - Male</c:v>
                </c:pt>
              </c:strCache>
            </c:strRef>
          </c:tx>
          <c:invertIfNegative val="0"/>
          <c:cat>
            <c:strRef>
              <c:f>'OfficialReview - Graphs'!$A$4:$A$16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Graphs'!$B$4:$B$16</c:f>
              <c:numCache>
                <c:formatCode>General</c:formatCode>
                <c:ptCount val="13"/>
                <c:pt idx="0">
                  <c:v>112.0</c:v>
                </c:pt>
                <c:pt idx="1">
                  <c:v>36.0</c:v>
                </c:pt>
                <c:pt idx="2">
                  <c:v>214.0</c:v>
                </c:pt>
                <c:pt idx="3">
                  <c:v>189.0</c:v>
                </c:pt>
                <c:pt idx="4">
                  <c:v>2279.0</c:v>
                </c:pt>
                <c:pt idx="5">
                  <c:v>3433.0</c:v>
                </c:pt>
                <c:pt idx="6">
                  <c:v>273.0</c:v>
                </c:pt>
                <c:pt idx="7">
                  <c:v>227.0</c:v>
                </c:pt>
                <c:pt idx="8">
                  <c:v>970.0</c:v>
                </c:pt>
                <c:pt idx="9">
                  <c:v>1100.0</c:v>
                </c:pt>
                <c:pt idx="10">
                  <c:v>8.0</c:v>
                </c:pt>
                <c:pt idx="11">
                  <c:v>8.0</c:v>
                </c:pt>
                <c:pt idx="12">
                  <c:v>5.0</c:v>
                </c:pt>
              </c:numCache>
            </c:numRef>
          </c:val>
        </c:ser>
        <c:ser>
          <c:idx val="2"/>
          <c:order val="1"/>
          <c:tx>
            <c:strRef>
              <c:f>'OfficialReview - Graphs'!$D$3</c:f>
              <c:strCache>
                <c:ptCount val="1"/>
                <c:pt idx="0">
                  <c:v>Good Number - Female</c:v>
                </c:pt>
              </c:strCache>
            </c:strRef>
          </c:tx>
          <c:invertIfNegative val="0"/>
          <c:cat>
            <c:strRef>
              <c:f>'OfficialReview - Graphs'!$A$4:$A$16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Graphs'!$D$4:$D$16</c:f>
              <c:numCache>
                <c:formatCode>General</c:formatCode>
                <c:ptCount val="13"/>
                <c:pt idx="0">
                  <c:v>127.0</c:v>
                </c:pt>
                <c:pt idx="1">
                  <c:v>42.0</c:v>
                </c:pt>
                <c:pt idx="2">
                  <c:v>242.0</c:v>
                </c:pt>
                <c:pt idx="3">
                  <c:v>219.0</c:v>
                </c:pt>
                <c:pt idx="4">
                  <c:v>2359.0</c:v>
                </c:pt>
                <c:pt idx="5">
                  <c:v>3633.0</c:v>
                </c:pt>
                <c:pt idx="6">
                  <c:v>274.0</c:v>
                </c:pt>
                <c:pt idx="7">
                  <c:v>253.0</c:v>
                </c:pt>
                <c:pt idx="8">
                  <c:v>1002.0</c:v>
                </c:pt>
                <c:pt idx="9">
                  <c:v>1215.0</c:v>
                </c:pt>
                <c:pt idx="10">
                  <c:v>7.0</c:v>
                </c:pt>
                <c:pt idx="11">
                  <c:v>9.0</c:v>
                </c:pt>
                <c:pt idx="12">
                  <c:v>6.0</c:v>
                </c:pt>
              </c:numCache>
            </c:numRef>
          </c:val>
        </c:ser>
        <c:ser>
          <c:idx val="1"/>
          <c:order val="2"/>
          <c:tx>
            <c:strRef>
              <c:f>'OfficialReview - Graphs'!$C$3</c:f>
              <c:strCache>
                <c:ptCount val="1"/>
                <c:pt idx="0">
                  <c:v>Average Numbers - Male</c:v>
                </c:pt>
              </c:strCache>
            </c:strRef>
          </c:tx>
          <c:invertIfNegative val="0"/>
          <c:cat>
            <c:strRef>
              <c:f>'OfficialReview - Graphs'!$A$4:$A$16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Graphs'!$C$4:$C$16</c:f>
              <c:numCache>
                <c:formatCode>General</c:formatCode>
                <c:ptCount val="13"/>
                <c:pt idx="0">
                  <c:v>95.0</c:v>
                </c:pt>
                <c:pt idx="1">
                  <c:v>23.0</c:v>
                </c:pt>
                <c:pt idx="2">
                  <c:v>165.0</c:v>
                </c:pt>
                <c:pt idx="3">
                  <c:v>116.0</c:v>
                </c:pt>
                <c:pt idx="4">
                  <c:v>994.0</c:v>
                </c:pt>
                <c:pt idx="5">
                  <c:v>1919.0</c:v>
                </c:pt>
                <c:pt idx="6">
                  <c:v>222.0</c:v>
                </c:pt>
                <c:pt idx="7">
                  <c:v>207.0</c:v>
                </c:pt>
                <c:pt idx="8">
                  <c:v>677.0</c:v>
                </c:pt>
                <c:pt idx="9">
                  <c:v>794.0</c:v>
                </c:pt>
                <c:pt idx="10">
                  <c:v>7.0</c:v>
                </c:pt>
                <c:pt idx="11">
                  <c:v>9.0</c:v>
                </c:pt>
                <c:pt idx="12">
                  <c:v>7.0</c:v>
                </c:pt>
              </c:numCache>
            </c:numRef>
          </c:val>
        </c:ser>
        <c:ser>
          <c:idx val="3"/>
          <c:order val="3"/>
          <c:tx>
            <c:strRef>
              <c:f>'OfficialReview - Graphs'!$E$3</c:f>
              <c:strCache>
                <c:ptCount val="1"/>
                <c:pt idx="0">
                  <c:v>Average Numbers - Female</c:v>
                </c:pt>
              </c:strCache>
            </c:strRef>
          </c:tx>
          <c:invertIfNegative val="0"/>
          <c:cat>
            <c:strRef>
              <c:f>'OfficialReview - Graphs'!$A$4:$A$16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Graphs'!$E$4:$E$16</c:f>
              <c:numCache>
                <c:formatCode>General</c:formatCode>
                <c:ptCount val="13"/>
                <c:pt idx="0">
                  <c:v>89.0</c:v>
                </c:pt>
                <c:pt idx="1">
                  <c:v>19.0</c:v>
                </c:pt>
                <c:pt idx="2">
                  <c:v>164.0</c:v>
                </c:pt>
                <c:pt idx="3">
                  <c:v>95.0</c:v>
                </c:pt>
                <c:pt idx="4">
                  <c:v>919.0</c:v>
                </c:pt>
                <c:pt idx="5">
                  <c:v>1821.0</c:v>
                </c:pt>
                <c:pt idx="6">
                  <c:v>228.0</c:v>
                </c:pt>
                <c:pt idx="7">
                  <c:v>182.0</c:v>
                </c:pt>
                <c:pt idx="8">
                  <c:v>569.0</c:v>
                </c:pt>
                <c:pt idx="9">
                  <c:v>709.0</c:v>
                </c:pt>
                <c:pt idx="10">
                  <c:v>7.0</c:v>
                </c:pt>
                <c:pt idx="11">
                  <c:v>7.0</c:v>
                </c:pt>
                <c:pt idx="12">
                  <c:v>6.0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35054072"/>
        <c:axId val="-2129843720"/>
      </c:barChart>
      <c:catAx>
        <c:axId val="213505407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29843720"/>
        <c:crosses val="autoZero"/>
        <c:auto val="1"/>
        <c:lblAlgn val="ctr"/>
        <c:lblOffset val="100"/>
        <c:noMultiLvlLbl val="0"/>
      </c:catAx>
      <c:valAx>
        <c:axId val="-2129843720"/>
        <c:scaling>
          <c:orientation val="minMax"/>
          <c:max val="40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Numbers (in thousands)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35054072"/>
        <c:crosses val="autoZero"/>
        <c:crossBetween val="between"/>
        <c:majorUnit val="1000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Survey 1 Good and Average Percentages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'OfficialReview - Graphs'!$B$18</c:f>
              <c:strCache>
                <c:ptCount val="1"/>
                <c:pt idx="0">
                  <c:v>Good Percent - Male</c:v>
                </c:pt>
              </c:strCache>
            </c:strRef>
          </c:tx>
          <c:invertIfNegative val="0"/>
          <c:cat>
            <c:strRef>
              <c:f>'OfficialReview - Graphs'!$A$19:$A$31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Graphs'!$B$19:$B$31</c:f>
              <c:numCache>
                <c:formatCode>General</c:formatCode>
                <c:ptCount val="13"/>
                <c:pt idx="0">
                  <c:v>53.6</c:v>
                </c:pt>
                <c:pt idx="1">
                  <c:v>60.2</c:v>
                </c:pt>
                <c:pt idx="2">
                  <c:v>55.7</c:v>
                </c:pt>
                <c:pt idx="3">
                  <c:v>61.2</c:v>
                </c:pt>
                <c:pt idx="4">
                  <c:v>67.7</c:v>
                </c:pt>
                <c:pt idx="5">
                  <c:v>61.4</c:v>
                </c:pt>
                <c:pt idx="6">
                  <c:v>52.9</c:v>
                </c:pt>
                <c:pt idx="7">
                  <c:v>50.9</c:v>
                </c:pt>
                <c:pt idx="8">
                  <c:v>57.1</c:v>
                </c:pt>
                <c:pt idx="9">
                  <c:v>56.1</c:v>
                </c:pt>
                <c:pt idx="10">
                  <c:v>51.3</c:v>
                </c:pt>
                <c:pt idx="11">
                  <c:v>47.6</c:v>
                </c:pt>
                <c:pt idx="12">
                  <c:v>41.9</c:v>
                </c:pt>
              </c:numCache>
            </c:numRef>
          </c:val>
        </c:ser>
        <c:ser>
          <c:idx val="1"/>
          <c:order val="1"/>
          <c:tx>
            <c:strRef>
              <c:f>'OfficialReview - Graphs'!$C$18</c:f>
              <c:strCache>
                <c:ptCount val="1"/>
                <c:pt idx="0">
                  <c:v>Average Percent - Male</c:v>
                </c:pt>
              </c:strCache>
            </c:strRef>
          </c:tx>
          <c:invertIfNegative val="0"/>
          <c:cat>
            <c:strRef>
              <c:f>'OfficialReview - Graphs'!$A$19:$A$31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Graphs'!$C$19:$C$31</c:f>
              <c:numCache>
                <c:formatCode>General</c:formatCode>
                <c:ptCount val="13"/>
                <c:pt idx="0">
                  <c:v>45.5</c:v>
                </c:pt>
                <c:pt idx="1">
                  <c:v>39.3</c:v>
                </c:pt>
                <c:pt idx="2">
                  <c:v>42.9</c:v>
                </c:pt>
                <c:pt idx="3">
                  <c:v>37.8</c:v>
                </c:pt>
                <c:pt idx="4">
                  <c:v>29.5</c:v>
                </c:pt>
                <c:pt idx="5">
                  <c:v>34.3</c:v>
                </c:pt>
                <c:pt idx="6">
                  <c:v>43.0</c:v>
                </c:pt>
                <c:pt idx="7">
                  <c:v>46.5</c:v>
                </c:pt>
                <c:pt idx="8">
                  <c:v>39.9</c:v>
                </c:pt>
                <c:pt idx="9">
                  <c:v>40.5</c:v>
                </c:pt>
                <c:pt idx="10">
                  <c:v>44.8</c:v>
                </c:pt>
                <c:pt idx="11">
                  <c:v>50.7</c:v>
                </c:pt>
                <c:pt idx="12">
                  <c:v>56.4</c:v>
                </c:pt>
              </c:numCache>
            </c:numRef>
          </c:val>
        </c:ser>
        <c:ser>
          <c:idx val="2"/>
          <c:order val="2"/>
          <c:tx>
            <c:strRef>
              <c:f>'OfficialReview - Graphs'!$D$18</c:f>
              <c:strCache>
                <c:ptCount val="1"/>
                <c:pt idx="0">
                  <c:v>Good Percent - Female</c:v>
                </c:pt>
              </c:strCache>
            </c:strRef>
          </c:tx>
          <c:invertIfNegative val="0"/>
          <c:cat>
            <c:strRef>
              <c:f>'OfficialReview - Graphs'!$A$19:$A$31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Graphs'!$D$19:$D$31</c:f>
              <c:numCache>
                <c:formatCode>General</c:formatCode>
                <c:ptCount val="13"/>
                <c:pt idx="0">
                  <c:v>57.6</c:v>
                </c:pt>
                <c:pt idx="1">
                  <c:v>66.7</c:v>
                </c:pt>
                <c:pt idx="2">
                  <c:v>58.6</c:v>
                </c:pt>
                <c:pt idx="3">
                  <c:v>67.8</c:v>
                </c:pt>
                <c:pt idx="4">
                  <c:v>68.8</c:v>
                </c:pt>
                <c:pt idx="5">
                  <c:v>62.4</c:v>
                </c:pt>
                <c:pt idx="6">
                  <c:v>52.4</c:v>
                </c:pt>
                <c:pt idx="7">
                  <c:v>57.1</c:v>
                </c:pt>
                <c:pt idx="8">
                  <c:v>61.5</c:v>
                </c:pt>
                <c:pt idx="9">
                  <c:v>60.1</c:v>
                </c:pt>
                <c:pt idx="10">
                  <c:v>48.9</c:v>
                </c:pt>
                <c:pt idx="11">
                  <c:v>54.7</c:v>
                </c:pt>
                <c:pt idx="12">
                  <c:v>45.4</c:v>
                </c:pt>
              </c:numCache>
            </c:numRef>
          </c:val>
        </c:ser>
        <c:ser>
          <c:idx val="3"/>
          <c:order val="3"/>
          <c:tx>
            <c:strRef>
              <c:f>'OfficialReview - Graphs'!$E$18</c:f>
              <c:strCache>
                <c:ptCount val="1"/>
                <c:pt idx="0">
                  <c:v>Average Percent - Female</c:v>
                </c:pt>
              </c:strCache>
            </c:strRef>
          </c:tx>
          <c:invertIfNegative val="0"/>
          <c:cat>
            <c:strRef>
              <c:f>'OfficialReview - Graphs'!$A$19:$A$31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Graphs'!$E$19:$E$31</c:f>
              <c:numCache>
                <c:formatCode>General</c:formatCode>
                <c:ptCount val="13"/>
                <c:pt idx="0">
                  <c:v>40.4</c:v>
                </c:pt>
                <c:pt idx="1">
                  <c:v>30.7</c:v>
                </c:pt>
                <c:pt idx="2">
                  <c:v>39.7</c:v>
                </c:pt>
                <c:pt idx="3">
                  <c:v>29.5</c:v>
                </c:pt>
                <c:pt idx="4">
                  <c:v>26.8</c:v>
                </c:pt>
                <c:pt idx="5">
                  <c:v>31.3</c:v>
                </c:pt>
                <c:pt idx="6">
                  <c:v>43.6</c:v>
                </c:pt>
                <c:pt idx="7">
                  <c:v>40.9</c:v>
                </c:pt>
                <c:pt idx="8">
                  <c:v>34.9</c:v>
                </c:pt>
                <c:pt idx="9">
                  <c:v>35.1</c:v>
                </c:pt>
                <c:pt idx="10">
                  <c:v>46.1</c:v>
                </c:pt>
                <c:pt idx="11">
                  <c:v>42.8</c:v>
                </c:pt>
                <c:pt idx="12">
                  <c:v>45.4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27144984"/>
        <c:axId val="-2125136120"/>
      </c:barChart>
      <c:catAx>
        <c:axId val="-2127144984"/>
        <c:scaling>
          <c:orientation val="minMax"/>
        </c:scaling>
        <c:delete val="0"/>
        <c:axPos val="l"/>
        <c:majorTickMark val="out"/>
        <c:minorTickMark val="none"/>
        <c:tickLblPos val="nextTo"/>
        <c:crossAx val="-2125136120"/>
        <c:crosses val="autoZero"/>
        <c:auto val="1"/>
        <c:lblAlgn val="ctr"/>
        <c:lblOffset val="100"/>
        <c:noMultiLvlLbl val="0"/>
      </c:catAx>
      <c:valAx>
        <c:axId val="-2125136120"/>
        <c:scaling>
          <c:orientation val="minMax"/>
          <c:max val="70.0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-2127144984"/>
        <c:crosses val="autoZero"/>
        <c:crossBetween val="between"/>
        <c:majorUnit val="14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Survey 2 Good and Average Numbers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'OfficialReview - Graphs'!$B$35</c:f>
              <c:strCache>
                <c:ptCount val="1"/>
                <c:pt idx="0">
                  <c:v>Good Number - Male</c:v>
                </c:pt>
              </c:strCache>
            </c:strRef>
          </c:tx>
          <c:invertIfNegative val="0"/>
          <c:cat>
            <c:strRef>
              <c:f>'OfficialReview - Graphs'!$A$36:$A$48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Graphs'!$B$36:$B$48</c:f>
              <c:numCache>
                <c:formatCode>General</c:formatCode>
                <c:ptCount val="13"/>
                <c:pt idx="0">
                  <c:v>105.0</c:v>
                </c:pt>
                <c:pt idx="1">
                  <c:v>39.0</c:v>
                </c:pt>
                <c:pt idx="2">
                  <c:v>210.0</c:v>
                </c:pt>
                <c:pt idx="3">
                  <c:v>171.0</c:v>
                </c:pt>
                <c:pt idx="4">
                  <c:v>2197.0</c:v>
                </c:pt>
                <c:pt idx="5">
                  <c:v>3042.0</c:v>
                </c:pt>
                <c:pt idx="6">
                  <c:v>242.0</c:v>
                </c:pt>
                <c:pt idx="7">
                  <c:v>201.0</c:v>
                </c:pt>
                <c:pt idx="8">
                  <c:v>908.0</c:v>
                </c:pt>
                <c:pt idx="9">
                  <c:v>995.0</c:v>
                </c:pt>
                <c:pt idx="10">
                  <c:v>8.0</c:v>
                </c:pt>
                <c:pt idx="11">
                  <c:v>7.0</c:v>
                </c:pt>
                <c:pt idx="12">
                  <c:v>5.0</c:v>
                </c:pt>
              </c:numCache>
            </c:numRef>
          </c:val>
        </c:ser>
        <c:ser>
          <c:idx val="1"/>
          <c:order val="1"/>
          <c:tx>
            <c:strRef>
              <c:f>'OfficialReview - Graphs'!$C$35</c:f>
              <c:strCache>
                <c:ptCount val="1"/>
                <c:pt idx="0">
                  <c:v>Average Numbers - Male</c:v>
                </c:pt>
              </c:strCache>
            </c:strRef>
          </c:tx>
          <c:invertIfNegative val="0"/>
          <c:cat>
            <c:strRef>
              <c:f>'OfficialReview - Graphs'!$A$36:$A$48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Graphs'!$C$36:$C$48</c:f>
              <c:numCache>
                <c:formatCode>General</c:formatCode>
                <c:ptCount val="13"/>
                <c:pt idx="0">
                  <c:v>81.0</c:v>
                </c:pt>
                <c:pt idx="1">
                  <c:v>15.0</c:v>
                </c:pt>
                <c:pt idx="2">
                  <c:v>124.0</c:v>
                </c:pt>
                <c:pt idx="3">
                  <c:v>104.0</c:v>
                </c:pt>
                <c:pt idx="4">
                  <c:v>784.0</c:v>
                </c:pt>
                <c:pt idx="5">
                  <c:v>1387.0</c:v>
                </c:pt>
                <c:pt idx="6">
                  <c:v>198.0</c:v>
                </c:pt>
                <c:pt idx="7">
                  <c:v>182.0</c:v>
                </c:pt>
                <c:pt idx="8">
                  <c:v>561.0</c:v>
                </c:pt>
                <c:pt idx="9">
                  <c:v>630.0</c:v>
                </c:pt>
                <c:pt idx="10">
                  <c:v>5.0</c:v>
                </c:pt>
                <c:pt idx="11">
                  <c:v>9.0</c:v>
                </c:pt>
                <c:pt idx="12">
                  <c:v>7.0</c:v>
                </c:pt>
              </c:numCache>
            </c:numRef>
          </c:val>
        </c:ser>
        <c:ser>
          <c:idx val="2"/>
          <c:order val="2"/>
          <c:tx>
            <c:strRef>
              <c:f>'OfficialReview - Graphs'!$D$35</c:f>
              <c:strCache>
                <c:ptCount val="1"/>
                <c:pt idx="0">
                  <c:v>Good Number - Female</c:v>
                </c:pt>
              </c:strCache>
            </c:strRef>
          </c:tx>
          <c:invertIfNegative val="0"/>
          <c:cat>
            <c:strRef>
              <c:f>'OfficialReview - Graphs'!$A$36:$A$48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Graphs'!$D$36:$D$48</c:f>
              <c:numCache>
                <c:formatCode>General</c:formatCode>
                <c:ptCount val="13"/>
                <c:pt idx="0">
                  <c:v>117.0</c:v>
                </c:pt>
                <c:pt idx="1">
                  <c:v>41.0</c:v>
                </c:pt>
                <c:pt idx="2">
                  <c:v>243.0</c:v>
                </c:pt>
                <c:pt idx="3">
                  <c:v>205.0</c:v>
                </c:pt>
                <c:pt idx="4">
                  <c:v>2229.0</c:v>
                </c:pt>
                <c:pt idx="5">
                  <c:v>3136.0</c:v>
                </c:pt>
                <c:pt idx="6">
                  <c:v>239.0</c:v>
                </c:pt>
                <c:pt idx="7">
                  <c:v>224.0</c:v>
                </c:pt>
                <c:pt idx="8">
                  <c:v>918.0</c:v>
                </c:pt>
                <c:pt idx="9">
                  <c:v>1152.0</c:v>
                </c:pt>
                <c:pt idx="10">
                  <c:v>7.0</c:v>
                </c:pt>
                <c:pt idx="11">
                  <c:v>7.0</c:v>
                </c:pt>
                <c:pt idx="12">
                  <c:v>5.0</c:v>
                </c:pt>
              </c:numCache>
            </c:numRef>
          </c:val>
        </c:ser>
        <c:ser>
          <c:idx val="3"/>
          <c:order val="3"/>
          <c:tx>
            <c:strRef>
              <c:f>'OfficialReview - Graphs'!$E$35</c:f>
              <c:strCache>
                <c:ptCount val="1"/>
                <c:pt idx="0">
                  <c:v>Average Numbers - Female</c:v>
                </c:pt>
              </c:strCache>
            </c:strRef>
          </c:tx>
          <c:invertIfNegative val="0"/>
          <c:cat>
            <c:strRef>
              <c:f>'OfficialReview - Graphs'!$A$36:$A$48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Graphs'!$E$36:$E$48</c:f>
              <c:numCache>
                <c:formatCode>General</c:formatCode>
                <c:ptCount val="13"/>
                <c:pt idx="0">
                  <c:v>72.0</c:v>
                </c:pt>
                <c:pt idx="1">
                  <c:v>15.0</c:v>
                </c:pt>
                <c:pt idx="2">
                  <c:v>116.0</c:v>
                </c:pt>
                <c:pt idx="3">
                  <c:v>75.0</c:v>
                </c:pt>
                <c:pt idx="4">
                  <c:v>726.0</c:v>
                </c:pt>
                <c:pt idx="5">
                  <c:v>1293.0</c:v>
                </c:pt>
                <c:pt idx="6">
                  <c:v>210.0</c:v>
                </c:pt>
                <c:pt idx="7">
                  <c:v>161.0</c:v>
                </c:pt>
                <c:pt idx="8">
                  <c:v>456.0</c:v>
                </c:pt>
                <c:pt idx="9">
                  <c:v>504.0</c:v>
                </c:pt>
                <c:pt idx="10">
                  <c:v>6.0</c:v>
                </c:pt>
                <c:pt idx="11">
                  <c:v>7.0</c:v>
                </c:pt>
                <c:pt idx="12">
                  <c:v>6.0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25092936"/>
        <c:axId val="-2125147096"/>
      </c:barChart>
      <c:catAx>
        <c:axId val="-21250929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25147096"/>
        <c:crosses val="autoZero"/>
        <c:auto val="1"/>
        <c:lblAlgn val="ctr"/>
        <c:lblOffset val="100"/>
        <c:noMultiLvlLbl val="0"/>
      </c:catAx>
      <c:valAx>
        <c:axId val="-2125147096"/>
        <c:scaling>
          <c:orientation val="minMax"/>
          <c:max val="32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Numbers (in thousands)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25092936"/>
        <c:crosses val="autoZero"/>
        <c:crossBetween val="between"/>
        <c:majorUnit val="800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Survey 2 Good and Average Percentages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'OfficialReview - Graphs'!$B$50</c:f>
              <c:strCache>
                <c:ptCount val="1"/>
                <c:pt idx="0">
                  <c:v>Good Percent - Male</c:v>
                </c:pt>
              </c:strCache>
            </c:strRef>
          </c:tx>
          <c:invertIfNegative val="0"/>
          <c:cat>
            <c:strRef>
              <c:f>'OfficialReview - Graphs'!$A$51:$A$63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Graphs'!$B$51:$B$63</c:f>
              <c:numCache>
                <c:formatCode>General</c:formatCode>
                <c:ptCount val="13"/>
                <c:pt idx="0">
                  <c:v>50.2</c:v>
                </c:pt>
                <c:pt idx="1">
                  <c:v>66.5</c:v>
                </c:pt>
                <c:pt idx="2">
                  <c:v>54.6</c:v>
                </c:pt>
                <c:pt idx="3">
                  <c:v>55.4</c:v>
                </c:pt>
                <c:pt idx="4">
                  <c:v>65.2</c:v>
                </c:pt>
                <c:pt idx="5">
                  <c:v>54.4</c:v>
                </c:pt>
                <c:pt idx="6">
                  <c:v>46.8</c:v>
                </c:pt>
                <c:pt idx="7">
                  <c:v>45.1</c:v>
                </c:pt>
                <c:pt idx="8">
                  <c:v>53.5</c:v>
                </c:pt>
                <c:pt idx="9">
                  <c:v>50.7</c:v>
                </c:pt>
                <c:pt idx="10">
                  <c:v>52.8</c:v>
                </c:pt>
                <c:pt idx="11">
                  <c:v>39.9</c:v>
                </c:pt>
                <c:pt idx="12">
                  <c:v>40.4</c:v>
                </c:pt>
              </c:numCache>
            </c:numRef>
          </c:val>
        </c:ser>
        <c:ser>
          <c:idx val="1"/>
          <c:order val="1"/>
          <c:tx>
            <c:strRef>
              <c:f>'OfficialReview - Graphs'!$C$50</c:f>
              <c:strCache>
                <c:ptCount val="1"/>
                <c:pt idx="0">
                  <c:v>Average Percent - Male</c:v>
                </c:pt>
              </c:strCache>
            </c:strRef>
          </c:tx>
          <c:invertIfNegative val="0"/>
          <c:cat>
            <c:strRef>
              <c:f>'OfficialReview - Graphs'!$A$51:$A$63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Graphs'!$C$51:$C$63</c:f>
              <c:numCache>
                <c:formatCode>General</c:formatCode>
                <c:ptCount val="13"/>
                <c:pt idx="0">
                  <c:v>38.6</c:v>
                </c:pt>
                <c:pt idx="1">
                  <c:v>24.9</c:v>
                </c:pt>
                <c:pt idx="2">
                  <c:v>32.3</c:v>
                </c:pt>
                <c:pt idx="3">
                  <c:v>33.7</c:v>
                </c:pt>
                <c:pt idx="4">
                  <c:v>23.3</c:v>
                </c:pt>
                <c:pt idx="5">
                  <c:v>24.8</c:v>
                </c:pt>
                <c:pt idx="6">
                  <c:v>38.4</c:v>
                </c:pt>
                <c:pt idx="7">
                  <c:v>40.9</c:v>
                </c:pt>
                <c:pt idx="8">
                  <c:v>33.1</c:v>
                </c:pt>
                <c:pt idx="9">
                  <c:v>32.1</c:v>
                </c:pt>
                <c:pt idx="10">
                  <c:v>34.7</c:v>
                </c:pt>
                <c:pt idx="11">
                  <c:v>52.5</c:v>
                </c:pt>
                <c:pt idx="12">
                  <c:v>52.8</c:v>
                </c:pt>
              </c:numCache>
            </c:numRef>
          </c:val>
        </c:ser>
        <c:ser>
          <c:idx val="2"/>
          <c:order val="2"/>
          <c:tx>
            <c:strRef>
              <c:f>'OfficialReview - Graphs'!$D$50</c:f>
              <c:strCache>
                <c:ptCount val="1"/>
                <c:pt idx="0">
                  <c:v>Good Percent - Female</c:v>
                </c:pt>
              </c:strCache>
            </c:strRef>
          </c:tx>
          <c:invertIfNegative val="0"/>
          <c:cat>
            <c:strRef>
              <c:f>'OfficialReview - Graphs'!$A$51:$A$63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Graphs'!$D$51:$D$63</c:f>
              <c:numCache>
                <c:formatCode>General</c:formatCode>
                <c:ptCount val="13"/>
                <c:pt idx="0">
                  <c:v>53.2</c:v>
                </c:pt>
                <c:pt idx="1">
                  <c:v>65.4</c:v>
                </c:pt>
                <c:pt idx="2">
                  <c:v>59.0</c:v>
                </c:pt>
                <c:pt idx="3">
                  <c:v>63.3</c:v>
                </c:pt>
                <c:pt idx="4">
                  <c:v>65.1</c:v>
                </c:pt>
                <c:pt idx="5">
                  <c:v>53.8</c:v>
                </c:pt>
                <c:pt idx="6">
                  <c:v>45.8</c:v>
                </c:pt>
                <c:pt idx="7">
                  <c:v>50.4</c:v>
                </c:pt>
                <c:pt idx="8">
                  <c:v>56.4</c:v>
                </c:pt>
                <c:pt idx="9">
                  <c:v>57.0</c:v>
                </c:pt>
                <c:pt idx="10">
                  <c:v>43.4</c:v>
                </c:pt>
                <c:pt idx="11">
                  <c:v>43.1</c:v>
                </c:pt>
                <c:pt idx="12">
                  <c:v>41.8</c:v>
                </c:pt>
              </c:numCache>
            </c:numRef>
          </c:val>
        </c:ser>
        <c:ser>
          <c:idx val="3"/>
          <c:order val="3"/>
          <c:tx>
            <c:strRef>
              <c:f>'OfficialReview - Graphs'!$E$50</c:f>
              <c:strCache>
                <c:ptCount val="1"/>
                <c:pt idx="0">
                  <c:v>Average Percent - Female</c:v>
                </c:pt>
              </c:strCache>
            </c:strRef>
          </c:tx>
          <c:invertIfNegative val="0"/>
          <c:cat>
            <c:strRef>
              <c:f>'OfficialReview - Graphs'!$A$51:$A$63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Graphs'!$E$51:$E$63</c:f>
              <c:numCache>
                <c:formatCode>General</c:formatCode>
                <c:ptCount val="13"/>
                <c:pt idx="0">
                  <c:v>32.9</c:v>
                </c:pt>
                <c:pt idx="1">
                  <c:v>24.0</c:v>
                </c:pt>
                <c:pt idx="2">
                  <c:v>28.3</c:v>
                </c:pt>
                <c:pt idx="3">
                  <c:v>23.2</c:v>
                </c:pt>
                <c:pt idx="4">
                  <c:v>21.2</c:v>
                </c:pt>
                <c:pt idx="5">
                  <c:v>22.2</c:v>
                </c:pt>
                <c:pt idx="6">
                  <c:v>40.2</c:v>
                </c:pt>
                <c:pt idx="7">
                  <c:v>36.3</c:v>
                </c:pt>
                <c:pt idx="8">
                  <c:v>28.0</c:v>
                </c:pt>
                <c:pt idx="9">
                  <c:v>25.0</c:v>
                </c:pt>
                <c:pt idx="10">
                  <c:v>39.9</c:v>
                </c:pt>
                <c:pt idx="11">
                  <c:v>45.5</c:v>
                </c:pt>
                <c:pt idx="12">
                  <c:v>48.9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25175320"/>
        <c:axId val="-2125172296"/>
      </c:barChart>
      <c:catAx>
        <c:axId val="-2125175320"/>
        <c:scaling>
          <c:orientation val="minMax"/>
        </c:scaling>
        <c:delete val="0"/>
        <c:axPos val="l"/>
        <c:majorTickMark val="out"/>
        <c:minorTickMark val="none"/>
        <c:tickLblPos val="nextTo"/>
        <c:crossAx val="-2125172296"/>
        <c:crosses val="autoZero"/>
        <c:auto val="1"/>
        <c:lblAlgn val="ctr"/>
        <c:lblOffset val="100"/>
        <c:noMultiLvlLbl val="0"/>
      </c:catAx>
      <c:valAx>
        <c:axId val="-2125172296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-2125175320"/>
        <c:crosses val="autoZero"/>
        <c:crossBetween val="between"/>
        <c:majorUnit val="14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8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 sz="1800" b="1" i="0" baseline="0">
                <a:effectLst/>
              </a:rPr>
              <a:t>Survey 3 Good and Average Numbers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'OfficialReview - Graphs'!$B$67</c:f>
              <c:strCache>
                <c:ptCount val="1"/>
                <c:pt idx="0">
                  <c:v>Good Number - Male</c:v>
                </c:pt>
              </c:strCache>
            </c:strRef>
          </c:tx>
          <c:invertIfNegative val="0"/>
          <c:cat>
            <c:strRef>
              <c:f>'OfficialReview - Graphs'!$A$68:$A$80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Graphs'!$B$68:$B$80</c:f>
              <c:numCache>
                <c:formatCode>General</c:formatCode>
                <c:ptCount val="13"/>
                <c:pt idx="0">
                  <c:v>154.0</c:v>
                </c:pt>
                <c:pt idx="1">
                  <c:v>45.0</c:v>
                </c:pt>
                <c:pt idx="2">
                  <c:v>269.0</c:v>
                </c:pt>
                <c:pt idx="3">
                  <c:v>211.0</c:v>
                </c:pt>
                <c:pt idx="4">
                  <c:v>2121.0</c:v>
                </c:pt>
                <c:pt idx="5">
                  <c:v>3686.0</c:v>
                </c:pt>
                <c:pt idx="6">
                  <c:v>324.0</c:v>
                </c:pt>
                <c:pt idx="7">
                  <c:v>286.0</c:v>
                </c:pt>
                <c:pt idx="8">
                  <c:v>1100.0</c:v>
                </c:pt>
                <c:pt idx="9">
                  <c:v>1330.0</c:v>
                </c:pt>
                <c:pt idx="10">
                  <c:v>10.0</c:v>
                </c:pt>
                <c:pt idx="11">
                  <c:v>11.0</c:v>
                </c:pt>
                <c:pt idx="12">
                  <c:v>8.0</c:v>
                </c:pt>
              </c:numCache>
            </c:numRef>
          </c:val>
        </c:ser>
        <c:ser>
          <c:idx val="1"/>
          <c:order val="1"/>
          <c:tx>
            <c:strRef>
              <c:f>'OfficialReview - Graphs'!$C$67</c:f>
              <c:strCache>
                <c:ptCount val="1"/>
                <c:pt idx="0">
                  <c:v>Average Numbers - Male</c:v>
                </c:pt>
              </c:strCache>
            </c:strRef>
          </c:tx>
          <c:invertIfNegative val="0"/>
          <c:cat>
            <c:strRef>
              <c:f>'OfficialReview - Graphs'!$A$68:$A$80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Graphs'!$C$68:$C$80</c:f>
              <c:numCache>
                <c:formatCode>General</c:formatCode>
                <c:ptCount val="13"/>
                <c:pt idx="0">
                  <c:v>43.0</c:v>
                </c:pt>
                <c:pt idx="1">
                  <c:v>10.0</c:v>
                </c:pt>
                <c:pt idx="2">
                  <c:v>99.0</c:v>
                </c:pt>
                <c:pt idx="3">
                  <c:v>81.0</c:v>
                </c:pt>
                <c:pt idx="4">
                  <c:v>971.0</c:v>
                </c:pt>
                <c:pt idx="5">
                  <c:v>1443.0</c:v>
                </c:pt>
                <c:pt idx="6">
                  <c:v>150.0</c:v>
                </c:pt>
                <c:pt idx="7">
                  <c:v>135.0</c:v>
                </c:pt>
                <c:pt idx="8">
                  <c:v>509.0</c:v>
                </c:pt>
                <c:pt idx="9">
                  <c:v>490.0</c:v>
                </c:pt>
                <c:pt idx="10">
                  <c:v>4.0</c:v>
                </c:pt>
                <c:pt idx="11">
                  <c:v>5.0</c:v>
                </c:pt>
                <c:pt idx="12">
                  <c:v>4.0</c:v>
                </c:pt>
              </c:numCache>
            </c:numRef>
          </c:val>
        </c:ser>
        <c:ser>
          <c:idx val="2"/>
          <c:order val="2"/>
          <c:tx>
            <c:strRef>
              <c:f>'OfficialReview - Graphs'!$D$67</c:f>
              <c:strCache>
                <c:ptCount val="1"/>
                <c:pt idx="0">
                  <c:v>Good Number - Female</c:v>
                </c:pt>
              </c:strCache>
            </c:strRef>
          </c:tx>
          <c:invertIfNegative val="0"/>
          <c:cat>
            <c:strRef>
              <c:f>'OfficialReview - Graphs'!$A$68:$A$80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Graphs'!$D$68:$D$80</c:f>
              <c:numCache>
                <c:formatCode>General</c:formatCode>
                <c:ptCount val="13"/>
                <c:pt idx="0">
                  <c:v>165.0</c:v>
                </c:pt>
                <c:pt idx="1">
                  <c:v>47.0</c:v>
                </c:pt>
                <c:pt idx="2">
                  <c:v>299.0</c:v>
                </c:pt>
                <c:pt idx="3">
                  <c:v>242.0</c:v>
                </c:pt>
                <c:pt idx="4">
                  <c:v>2241.0</c:v>
                </c:pt>
                <c:pt idx="5">
                  <c:v>3769.0</c:v>
                </c:pt>
                <c:pt idx="6">
                  <c:v>350.0</c:v>
                </c:pt>
                <c:pt idx="7">
                  <c:v>316.0</c:v>
                </c:pt>
                <c:pt idx="8">
                  <c:v>1110.0</c:v>
                </c:pt>
                <c:pt idx="9">
                  <c:v>1322.0</c:v>
                </c:pt>
                <c:pt idx="10">
                  <c:v>9.0</c:v>
                </c:pt>
                <c:pt idx="11">
                  <c:v>11.0</c:v>
                </c:pt>
                <c:pt idx="12">
                  <c:v>7.0</c:v>
                </c:pt>
              </c:numCache>
            </c:numRef>
          </c:val>
        </c:ser>
        <c:ser>
          <c:idx val="3"/>
          <c:order val="3"/>
          <c:tx>
            <c:strRef>
              <c:f>'OfficialReview - Graphs'!$E$67</c:f>
              <c:strCache>
                <c:ptCount val="1"/>
                <c:pt idx="0">
                  <c:v>Average Numbers - Female</c:v>
                </c:pt>
              </c:strCache>
            </c:strRef>
          </c:tx>
          <c:invertIfNegative val="0"/>
          <c:cat>
            <c:strRef>
              <c:f>'OfficialReview - Graphs'!$A$68:$A$80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Graphs'!$E$68:$E$80</c:f>
              <c:numCache>
                <c:formatCode>General</c:formatCode>
                <c:ptCount val="13"/>
                <c:pt idx="0">
                  <c:v>39.0</c:v>
                </c:pt>
                <c:pt idx="1">
                  <c:v>12.0</c:v>
                </c:pt>
                <c:pt idx="2">
                  <c:v>92.0</c:v>
                </c:pt>
                <c:pt idx="3">
                  <c:v>59.0</c:v>
                </c:pt>
                <c:pt idx="4">
                  <c:v>786.0</c:v>
                </c:pt>
                <c:pt idx="5">
                  <c:v>1323.0</c:v>
                </c:pt>
                <c:pt idx="6">
                  <c:v>128.0</c:v>
                </c:pt>
                <c:pt idx="7">
                  <c:v>97.0</c:v>
                </c:pt>
                <c:pt idx="8">
                  <c:v>379.0</c:v>
                </c:pt>
                <c:pt idx="9">
                  <c:v>481.0</c:v>
                </c:pt>
                <c:pt idx="10">
                  <c:v>5.0</c:v>
                </c:pt>
                <c:pt idx="11">
                  <c:v>5.0</c:v>
                </c:pt>
                <c:pt idx="12">
                  <c:v>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29014536"/>
        <c:axId val="-2127225272"/>
      </c:barChart>
      <c:catAx>
        <c:axId val="-21290145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27225272"/>
        <c:crosses val="autoZero"/>
        <c:auto val="1"/>
        <c:lblAlgn val="ctr"/>
        <c:lblOffset val="100"/>
        <c:noMultiLvlLbl val="0"/>
      </c:catAx>
      <c:valAx>
        <c:axId val="-2127225272"/>
        <c:scaling>
          <c:orientation val="minMax"/>
          <c:max val="4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Numbers (in thousands)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2901453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Survey 3 Good and Average Percentages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'OfficialReview - Graphs'!$B$82</c:f>
              <c:strCache>
                <c:ptCount val="1"/>
                <c:pt idx="0">
                  <c:v>Good Percent - Male</c:v>
                </c:pt>
              </c:strCache>
            </c:strRef>
          </c:tx>
          <c:invertIfNegative val="0"/>
          <c:cat>
            <c:strRef>
              <c:f>'OfficialReview - Graphs'!$A$83:$A$95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Graphs'!$B$83:$B$95</c:f>
              <c:numCache>
                <c:formatCode>General</c:formatCode>
                <c:ptCount val="13"/>
                <c:pt idx="0">
                  <c:v>73.7</c:v>
                </c:pt>
                <c:pt idx="1">
                  <c:v>76.5</c:v>
                </c:pt>
                <c:pt idx="2">
                  <c:v>70.0</c:v>
                </c:pt>
                <c:pt idx="3">
                  <c:v>68.4</c:v>
                </c:pt>
                <c:pt idx="4">
                  <c:v>63.0</c:v>
                </c:pt>
                <c:pt idx="5">
                  <c:v>65.9</c:v>
                </c:pt>
                <c:pt idx="6">
                  <c:v>62.8</c:v>
                </c:pt>
                <c:pt idx="7">
                  <c:v>64.2</c:v>
                </c:pt>
                <c:pt idx="8">
                  <c:v>64.8</c:v>
                </c:pt>
                <c:pt idx="9">
                  <c:v>67.8</c:v>
                </c:pt>
                <c:pt idx="10">
                  <c:v>68.4</c:v>
                </c:pt>
                <c:pt idx="11">
                  <c:v>63.2</c:v>
                </c:pt>
                <c:pt idx="12">
                  <c:v>64.6</c:v>
                </c:pt>
              </c:numCache>
            </c:numRef>
          </c:val>
        </c:ser>
        <c:ser>
          <c:idx val="1"/>
          <c:order val="1"/>
          <c:tx>
            <c:strRef>
              <c:f>'OfficialReview - Graphs'!$C$82</c:f>
              <c:strCache>
                <c:ptCount val="1"/>
                <c:pt idx="0">
                  <c:v>Average Percent - Male</c:v>
                </c:pt>
              </c:strCache>
            </c:strRef>
          </c:tx>
          <c:invertIfNegative val="0"/>
          <c:cat>
            <c:strRef>
              <c:f>'OfficialReview - Graphs'!$A$83:$A$95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Graphs'!$C$83:$C$95</c:f>
              <c:numCache>
                <c:formatCode>General</c:formatCode>
                <c:ptCount val="13"/>
                <c:pt idx="0">
                  <c:v>20.5</c:v>
                </c:pt>
                <c:pt idx="1">
                  <c:v>17.7</c:v>
                </c:pt>
                <c:pt idx="2">
                  <c:v>25.9</c:v>
                </c:pt>
                <c:pt idx="3">
                  <c:v>26.3</c:v>
                </c:pt>
                <c:pt idx="4">
                  <c:v>28.8</c:v>
                </c:pt>
                <c:pt idx="5">
                  <c:v>25.8</c:v>
                </c:pt>
                <c:pt idx="6">
                  <c:v>29.2</c:v>
                </c:pt>
                <c:pt idx="7">
                  <c:v>30.4</c:v>
                </c:pt>
                <c:pt idx="8">
                  <c:v>30.0</c:v>
                </c:pt>
                <c:pt idx="9">
                  <c:v>25.0</c:v>
                </c:pt>
                <c:pt idx="10">
                  <c:v>26.0</c:v>
                </c:pt>
                <c:pt idx="11">
                  <c:v>30.6</c:v>
                </c:pt>
                <c:pt idx="12">
                  <c:v>34.2</c:v>
                </c:pt>
              </c:numCache>
            </c:numRef>
          </c:val>
        </c:ser>
        <c:ser>
          <c:idx val="2"/>
          <c:order val="2"/>
          <c:tx>
            <c:strRef>
              <c:f>'OfficialReview - Graphs'!$D$82</c:f>
              <c:strCache>
                <c:ptCount val="1"/>
                <c:pt idx="0">
                  <c:v>Good Percent - Female</c:v>
                </c:pt>
              </c:strCache>
            </c:strRef>
          </c:tx>
          <c:invertIfNegative val="0"/>
          <c:cat>
            <c:strRef>
              <c:f>'OfficialReview - Graphs'!$A$83:$A$95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Graphs'!$D$83:$D$95</c:f>
              <c:numCache>
                <c:formatCode>General</c:formatCode>
                <c:ptCount val="13"/>
                <c:pt idx="0">
                  <c:v>75.0</c:v>
                </c:pt>
                <c:pt idx="1">
                  <c:v>75.0</c:v>
                </c:pt>
                <c:pt idx="2">
                  <c:v>72.6</c:v>
                </c:pt>
                <c:pt idx="3">
                  <c:v>74.7</c:v>
                </c:pt>
                <c:pt idx="4">
                  <c:v>65.4</c:v>
                </c:pt>
                <c:pt idx="5">
                  <c:v>64.7</c:v>
                </c:pt>
                <c:pt idx="6">
                  <c:v>66.9</c:v>
                </c:pt>
                <c:pt idx="7">
                  <c:v>71.3</c:v>
                </c:pt>
                <c:pt idx="8">
                  <c:v>68.1</c:v>
                </c:pt>
                <c:pt idx="9">
                  <c:v>65.4</c:v>
                </c:pt>
                <c:pt idx="10">
                  <c:v>62.8</c:v>
                </c:pt>
                <c:pt idx="11">
                  <c:v>66.6</c:v>
                </c:pt>
                <c:pt idx="12">
                  <c:v>58.6</c:v>
                </c:pt>
              </c:numCache>
            </c:numRef>
          </c:val>
        </c:ser>
        <c:ser>
          <c:idx val="3"/>
          <c:order val="3"/>
          <c:tx>
            <c:strRef>
              <c:f>'OfficialReview - Graphs'!$E$82</c:f>
              <c:strCache>
                <c:ptCount val="1"/>
                <c:pt idx="0">
                  <c:v>Average Percent - Female</c:v>
                </c:pt>
              </c:strCache>
            </c:strRef>
          </c:tx>
          <c:invertIfNegative val="0"/>
          <c:cat>
            <c:strRef>
              <c:f>'OfficialReview - Graphs'!$A$83:$A$95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Graphs'!$E$83:$E$95</c:f>
              <c:numCache>
                <c:formatCode>General</c:formatCode>
                <c:ptCount val="13"/>
                <c:pt idx="0">
                  <c:v>17.8</c:v>
                </c:pt>
                <c:pt idx="1">
                  <c:v>18.5</c:v>
                </c:pt>
                <c:pt idx="2">
                  <c:v>22.3</c:v>
                </c:pt>
                <c:pt idx="3">
                  <c:v>18.2</c:v>
                </c:pt>
                <c:pt idx="4">
                  <c:v>22.9</c:v>
                </c:pt>
                <c:pt idx="5">
                  <c:v>22.7</c:v>
                </c:pt>
                <c:pt idx="6">
                  <c:v>24.6</c:v>
                </c:pt>
                <c:pt idx="7">
                  <c:v>21.8</c:v>
                </c:pt>
                <c:pt idx="8">
                  <c:v>23.3</c:v>
                </c:pt>
                <c:pt idx="9">
                  <c:v>23.8</c:v>
                </c:pt>
                <c:pt idx="10">
                  <c:v>30.5</c:v>
                </c:pt>
                <c:pt idx="11">
                  <c:v>28.0</c:v>
                </c:pt>
                <c:pt idx="12">
                  <c:v>31.7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28868888"/>
        <c:axId val="-2126697688"/>
      </c:barChart>
      <c:catAx>
        <c:axId val="-2128868888"/>
        <c:scaling>
          <c:orientation val="minMax"/>
        </c:scaling>
        <c:delete val="0"/>
        <c:axPos val="l"/>
        <c:majorTickMark val="out"/>
        <c:minorTickMark val="none"/>
        <c:tickLblPos val="nextTo"/>
        <c:crossAx val="-2126697688"/>
        <c:crosses val="autoZero"/>
        <c:auto val="1"/>
        <c:lblAlgn val="ctr"/>
        <c:lblOffset val="100"/>
        <c:noMultiLvlLbl val="0"/>
      </c:catAx>
      <c:valAx>
        <c:axId val="-2126697688"/>
        <c:scaling>
          <c:orientation val="minMax"/>
          <c:max val="80.0"/>
          <c:min val="0.0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-2128868888"/>
        <c:crosses val="autoZero"/>
        <c:crossBetween val="between"/>
        <c:majorUnit val="16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Survey 4 Good and Average Numbers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'OfficialReview - Graphs'!$B$99</c:f>
              <c:strCache>
                <c:ptCount val="1"/>
                <c:pt idx="0">
                  <c:v>Good Number - Male</c:v>
                </c:pt>
              </c:strCache>
            </c:strRef>
          </c:tx>
          <c:invertIfNegative val="0"/>
          <c:cat>
            <c:strRef>
              <c:f>'OfficialReview - Graphs'!$A$100:$A$112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Graphs'!$B$100:$B$112</c:f>
              <c:numCache>
                <c:formatCode>General</c:formatCode>
                <c:ptCount val="13"/>
                <c:pt idx="0">
                  <c:v>125.0</c:v>
                </c:pt>
                <c:pt idx="1">
                  <c:v>35.0</c:v>
                </c:pt>
                <c:pt idx="2">
                  <c:v>202.0</c:v>
                </c:pt>
                <c:pt idx="3">
                  <c:v>178.0</c:v>
                </c:pt>
                <c:pt idx="4">
                  <c:v>1976.0</c:v>
                </c:pt>
                <c:pt idx="5">
                  <c:v>2974.0</c:v>
                </c:pt>
                <c:pt idx="6">
                  <c:v>255.0</c:v>
                </c:pt>
                <c:pt idx="7">
                  <c:v>233.0</c:v>
                </c:pt>
                <c:pt idx="8">
                  <c:v>948.0</c:v>
                </c:pt>
                <c:pt idx="9">
                  <c:v>1012.0</c:v>
                </c:pt>
                <c:pt idx="10">
                  <c:v>7.0</c:v>
                </c:pt>
                <c:pt idx="11">
                  <c:v>7.0</c:v>
                </c:pt>
                <c:pt idx="12">
                  <c:v>5.0</c:v>
                </c:pt>
              </c:numCache>
            </c:numRef>
          </c:val>
        </c:ser>
        <c:ser>
          <c:idx val="1"/>
          <c:order val="1"/>
          <c:tx>
            <c:strRef>
              <c:f>'OfficialReview - Graphs'!$C$99</c:f>
              <c:strCache>
                <c:ptCount val="1"/>
                <c:pt idx="0">
                  <c:v>Average Numbers - Male</c:v>
                </c:pt>
              </c:strCache>
            </c:strRef>
          </c:tx>
          <c:invertIfNegative val="0"/>
          <c:cat>
            <c:strRef>
              <c:f>'OfficialReview - Graphs'!$A$100:$A$112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Graphs'!$C$100:$C$112</c:f>
              <c:numCache>
                <c:formatCode>General</c:formatCode>
                <c:ptCount val="13"/>
                <c:pt idx="0">
                  <c:v>75.0</c:v>
                </c:pt>
                <c:pt idx="1">
                  <c:v>20.0</c:v>
                </c:pt>
                <c:pt idx="2">
                  <c:v>159.0</c:v>
                </c:pt>
                <c:pt idx="3">
                  <c:v>115.0</c:v>
                </c:pt>
                <c:pt idx="4">
                  <c:v>1073.0</c:v>
                </c:pt>
                <c:pt idx="5">
                  <c:v>1937.0</c:v>
                </c:pt>
                <c:pt idx="6">
                  <c:v>198.0</c:v>
                </c:pt>
                <c:pt idx="7">
                  <c:v>176.0</c:v>
                </c:pt>
                <c:pt idx="8">
                  <c:v>638.0</c:v>
                </c:pt>
                <c:pt idx="9">
                  <c:v>775.0</c:v>
                </c:pt>
                <c:pt idx="10">
                  <c:v>7.0</c:v>
                </c:pt>
                <c:pt idx="11">
                  <c:v>9.0</c:v>
                </c:pt>
                <c:pt idx="12">
                  <c:v>7.0</c:v>
                </c:pt>
              </c:numCache>
            </c:numRef>
          </c:val>
        </c:ser>
        <c:ser>
          <c:idx val="2"/>
          <c:order val="2"/>
          <c:tx>
            <c:strRef>
              <c:f>'OfficialReview - Graphs'!$D$99</c:f>
              <c:strCache>
                <c:ptCount val="1"/>
                <c:pt idx="0">
                  <c:v>Good Number - Female</c:v>
                </c:pt>
              </c:strCache>
            </c:strRef>
          </c:tx>
          <c:invertIfNegative val="0"/>
          <c:cat>
            <c:strRef>
              <c:f>'OfficialReview - Graphs'!$A$100:$A$112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Graphs'!$D$100:$D$112</c:f>
              <c:numCache>
                <c:formatCode>General</c:formatCode>
                <c:ptCount val="13"/>
                <c:pt idx="0">
                  <c:v>138.0</c:v>
                </c:pt>
                <c:pt idx="1">
                  <c:v>40.0</c:v>
                </c:pt>
                <c:pt idx="2">
                  <c:v>244.0</c:v>
                </c:pt>
                <c:pt idx="3">
                  <c:v>199.0</c:v>
                </c:pt>
                <c:pt idx="4">
                  <c:v>2027.0</c:v>
                </c:pt>
                <c:pt idx="5">
                  <c:v>3185.0</c:v>
                </c:pt>
                <c:pt idx="6">
                  <c:v>285.0</c:v>
                </c:pt>
                <c:pt idx="7">
                  <c:v>235.0</c:v>
                </c:pt>
                <c:pt idx="8">
                  <c:v>948.0</c:v>
                </c:pt>
                <c:pt idx="9">
                  <c:v>1088.0</c:v>
                </c:pt>
                <c:pt idx="10">
                  <c:v>6.0</c:v>
                </c:pt>
                <c:pt idx="11">
                  <c:v>7.0</c:v>
                </c:pt>
                <c:pt idx="12">
                  <c:v>5.0</c:v>
                </c:pt>
              </c:numCache>
            </c:numRef>
          </c:val>
        </c:ser>
        <c:ser>
          <c:idx val="3"/>
          <c:order val="3"/>
          <c:tx>
            <c:strRef>
              <c:f>'OfficialReview - Graphs'!$E$99</c:f>
              <c:strCache>
                <c:ptCount val="1"/>
                <c:pt idx="0">
                  <c:v>Average Numbers - Female</c:v>
                </c:pt>
              </c:strCache>
            </c:strRef>
          </c:tx>
          <c:invertIfNegative val="0"/>
          <c:cat>
            <c:strRef>
              <c:f>'OfficialReview - Graphs'!$A$100:$A$112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Graphs'!$E$100:$E$112</c:f>
              <c:numCache>
                <c:formatCode>General</c:formatCode>
                <c:ptCount val="13"/>
                <c:pt idx="0">
                  <c:v>66.0</c:v>
                </c:pt>
                <c:pt idx="1">
                  <c:v>19.0</c:v>
                </c:pt>
                <c:pt idx="2">
                  <c:v>145.0</c:v>
                </c:pt>
                <c:pt idx="3">
                  <c:v>106.0</c:v>
                </c:pt>
                <c:pt idx="4">
                  <c:v>1013.0</c:v>
                </c:pt>
                <c:pt idx="5">
                  <c:v>1952.0</c:v>
                </c:pt>
                <c:pt idx="6">
                  <c:v>205.0</c:v>
                </c:pt>
                <c:pt idx="7">
                  <c:v>169.0</c:v>
                </c:pt>
                <c:pt idx="8">
                  <c:v>556.0</c:v>
                </c:pt>
                <c:pt idx="9">
                  <c:v>712.0</c:v>
                </c:pt>
                <c:pt idx="10">
                  <c:v>7.0</c:v>
                </c:pt>
                <c:pt idx="11">
                  <c:v>8.0</c:v>
                </c:pt>
                <c:pt idx="12">
                  <c:v>6.0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19625656"/>
        <c:axId val="2134932616"/>
      </c:barChart>
      <c:catAx>
        <c:axId val="-2119625656"/>
        <c:scaling>
          <c:orientation val="minMax"/>
        </c:scaling>
        <c:delete val="0"/>
        <c:axPos val="b"/>
        <c:majorTickMark val="out"/>
        <c:minorTickMark val="none"/>
        <c:tickLblPos val="nextTo"/>
        <c:crossAx val="2134932616"/>
        <c:crosses val="autoZero"/>
        <c:auto val="1"/>
        <c:lblAlgn val="ctr"/>
        <c:lblOffset val="100"/>
        <c:noMultiLvlLbl val="0"/>
      </c:catAx>
      <c:valAx>
        <c:axId val="2134932616"/>
        <c:scaling>
          <c:orientation val="minMax"/>
          <c:max val="35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 (in</a:t>
                </a:r>
                <a:r>
                  <a:rPr lang="en-US" baseline="0"/>
                  <a:t> thousands)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19625656"/>
        <c:crosses val="autoZero"/>
        <c:crossBetween val="between"/>
        <c:majorUnit val="700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Survey 4 Good and Average Percentages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'OfficialReview - Graphs'!$B$114</c:f>
              <c:strCache>
                <c:ptCount val="1"/>
                <c:pt idx="0">
                  <c:v>Good Percent - Male</c:v>
                </c:pt>
              </c:strCache>
            </c:strRef>
          </c:tx>
          <c:invertIfNegative val="0"/>
          <c:cat>
            <c:strRef>
              <c:f>'OfficialReview - Graphs'!$A$115:$A$127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Graphs'!$B$115:$B$127</c:f>
              <c:numCache>
                <c:formatCode>General</c:formatCode>
                <c:ptCount val="13"/>
                <c:pt idx="0">
                  <c:v>59.7</c:v>
                </c:pt>
                <c:pt idx="1">
                  <c:v>59.9</c:v>
                </c:pt>
                <c:pt idx="2">
                  <c:v>52.7</c:v>
                </c:pt>
                <c:pt idx="3">
                  <c:v>57.8</c:v>
                </c:pt>
                <c:pt idx="4">
                  <c:v>58.7</c:v>
                </c:pt>
                <c:pt idx="5">
                  <c:v>53.2</c:v>
                </c:pt>
                <c:pt idx="6">
                  <c:v>49.4</c:v>
                </c:pt>
                <c:pt idx="7">
                  <c:v>52.4</c:v>
                </c:pt>
                <c:pt idx="8">
                  <c:v>55.8</c:v>
                </c:pt>
                <c:pt idx="9">
                  <c:v>51.6</c:v>
                </c:pt>
                <c:pt idx="10">
                  <c:v>46.6</c:v>
                </c:pt>
                <c:pt idx="11">
                  <c:v>41.7</c:v>
                </c:pt>
                <c:pt idx="12">
                  <c:v>41.5</c:v>
                </c:pt>
              </c:numCache>
            </c:numRef>
          </c:val>
        </c:ser>
        <c:ser>
          <c:idx val="1"/>
          <c:order val="1"/>
          <c:tx>
            <c:strRef>
              <c:f>'OfficialReview - Graphs'!$C$114</c:f>
              <c:strCache>
                <c:ptCount val="1"/>
                <c:pt idx="0">
                  <c:v>Average Percent - Male</c:v>
                </c:pt>
              </c:strCache>
            </c:strRef>
          </c:tx>
          <c:invertIfNegative val="0"/>
          <c:cat>
            <c:strRef>
              <c:f>'OfficialReview - Graphs'!$A$115:$A$127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Graphs'!$C$115:$C$127</c:f>
              <c:numCache>
                <c:formatCode>General</c:formatCode>
                <c:ptCount val="13"/>
                <c:pt idx="0">
                  <c:v>36.1</c:v>
                </c:pt>
                <c:pt idx="1">
                  <c:v>34.4</c:v>
                </c:pt>
                <c:pt idx="2">
                  <c:v>41.3</c:v>
                </c:pt>
                <c:pt idx="3">
                  <c:v>37.3</c:v>
                </c:pt>
                <c:pt idx="4">
                  <c:v>31.9</c:v>
                </c:pt>
                <c:pt idx="5">
                  <c:v>34.6</c:v>
                </c:pt>
                <c:pt idx="6">
                  <c:v>38.3</c:v>
                </c:pt>
                <c:pt idx="7">
                  <c:v>39.6</c:v>
                </c:pt>
                <c:pt idx="8">
                  <c:v>37.6</c:v>
                </c:pt>
                <c:pt idx="9">
                  <c:v>39.5</c:v>
                </c:pt>
                <c:pt idx="10">
                  <c:v>44.4</c:v>
                </c:pt>
                <c:pt idx="11">
                  <c:v>50.6</c:v>
                </c:pt>
                <c:pt idx="12">
                  <c:v>52.7</c:v>
                </c:pt>
              </c:numCache>
            </c:numRef>
          </c:val>
        </c:ser>
        <c:ser>
          <c:idx val="2"/>
          <c:order val="2"/>
          <c:tx>
            <c:strRef>
              <c:f>'OfficialReview - Graphs'!$D$114</c:f>
              <c:strCache>
                <c:ptCount val="1"/>
                <c:pt idx="0">
                  <c:v>Good Percent - Female</c:v>
                </c:pt>
              </c:strCache>
            </c:strRef>
          </c:tx>
          <c:invertIfNegative val="0"/>
          <c:cat>
            <c:strRef>
              <c:f>'OfficialReview - Graphs'!$A$115:$A$127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Graphs'!$D$115:$D$127</c:f>
              <c:numCache>
                <c:formatCode>General</c:formatCode>
                <c:ptCount val="13"/>
                <c:pt idx="0">
                  <c:v>62.8</c:v>
                </c:pt>
                <c:pt idx="1">
                  <c:v>62.9</c:v>
                </c:pt>
                <c:pt idx="2">
                  <c:v>59.1</c:v>
                </c:pt>
                <c:pt idx="3">
                  <c:v>61.6</c:v>
                </c:pt>
                <c:pt idx="4">
                  <c:v>59.1</c:v>
                </c:pt>
                <c:pt idx="5">
                  <c:v>54.7</c:v>
                </c:pt>
                <c:pt idx="6">
                  <c:v>54.6</c:v>
                </c:pt>
                <c:pt idx="7">
                  <c:v>52.8</c:v>
                </c:pt>
                <c:pt idx="8">
                  <c:v>58.2</c:v>
                </c:pt>
                <c:pt idx="9">
                  <c:v>53.8</c:v>
                </c:pt>
                <c:pt idx="10">
                  <c:v>38.9</c:v>
                </c:pt>
                <c:pt idx="11">
                  <c:v>42.8</c:v>
                </c:pt>
                <c:pt idx="12">
                  <c:v>40.1</c:v>
                </c:pt>
              </c:numCache>
            </c:numRef>
          </c:val>
        </c:ser>
        <c:ser>
          <c:idx val="3"/>
          <c:order val="3"/>
          <c:tx>
            <c:strRef>
              <c:f>'OfficialReview - Graphs'!$E$114</c:f>
              <c:strCache>
                <c:ptCount val="1"/>
                <c:pt idx="0">
                  <c:v>Average Percent - Female</c:v>
                </c:pt>
              </c:strCache>
            </c:strRef>
          </c:tx>
          <c:invertIfNegative val="0"/>
          <c:cat>
            <c:strRef>
              <c:f>'OfficialReview - Graphs'!$A$115:$A$127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Graphs'!$E$115:$E$127</c:f>
              <c:numCache>
                <c:formatCode>General</c:formatCode>
                <c:ptCount val="13"/>
                <c:pt idx="0">
                  <c:v>30.1</c:v>
                </c:pt>
                <c:pt idx="1">
                  <c:v>30.9</c:v>
                </c:pt>
                <c:pt idx="2">
                  <c:v>35.1</c:v>
                </c:pt>
                <c:pt idx="3">
                  <c:v>32.8</c:v>
                </c:pt>
                <c:pt idx="4">
                  <c:v>29.5</c:v>
                </c:pt>
                <c:pt idx="5">
                  <c:v>33.5</c:v>
                </c:pt>
                <c:pt idx="6">
                  <c:v>39.3</c:v>
                </c:pt>
                <c:pt idx="7">
                  <c:v>38.1</c:v>
                </c:pt>
                <c:pt idx="8">
                  <c:v>34.1</c:v>
                </c:pt>
                <c:pt idx="9">
                  <c:v>35.3</c:v>
                </c:pt>
                <c:pt idx="10">
                  <c:v>47.5</c:v>
                </c:pt>
                <c:pt idx="11">
                  <c:v>52.5</c:v>
                </c:pt>
                <c:pt idx="12">
                  <c:v>50.9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24539368"/>
        <c:axId val="-2124954920"/>
      </c:barChart>
      <c:catAx>
        <c:axId val="-2124539368"/>
        <c:scaling>
          <c:orientation val="minMax"/>
        </c:scaling>
        <c:delete val="0"/>
        <c:axPos val="l"/>
        <c:majorTickMark val="out"/>
        <c:minorTickMark val="none"/>
        <c:tickLblPos val="nextTo"/>
        <c:crossAx val="-2124954920"/>
        <c:crosses val="autoZero"/>
        <c:auto val="1"/>
        <c:lblAlgn val="ctr"/>
        <c:lblOffset val="100"/>
        <c:noMultiLvlLbl val="0"/>
      </c:catAx>
      <c:valAx>
        <c:axId val="-2124954920"/>
        <c:scaling>
          <c:orientation val="minMax"/>
          <c:max val="65.0"/>
          <c:min val="0.0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-2124539368"/>
        <c:crosses val="autoZero"/>
        <c:crossBetween val="between"/>
        <c:majorUnit val="13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Survey 5 Good and Average Numbers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'OfficialReview - Graphs'!$B$131</c:f>
              <c:strCache>
                <c:ptCount val="1"/>
                <c:pt idx="0">
                  <c:v>Good Number - Male</c:v>
                </c:pt>
              </c:strCache>
            </c:strRef>
          </c:tx>
          <c:invertIfNegative val="0"/>
          <c:cat>
            <c:strRef>
              <c:f>'OfficialReview - Graphs'!$A$132:$A$144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Graphs'!$B$132:$B$144</c:f>
              <c:numCache>
                <c:formatCode>General</c:formatCode>
                <c:ptCount val="13"/>
                <c:pt idx="0">
                  <c:v>139.0</c:v>
                </c:pt>
                <c:pt idx="1">
                  <c:v>41.0</c:v>
                </c:pt>
                <c:pt idx="2">
                  <c:v>250.0</c:v>
                </c:pt>
                <c:pt idx="3">
                  <c:v>215.0</c:v>
                </c:pt>
                <c:pt idx="4">
                  <c:v>2451.0</c:v>
                </c:pt>
                <c:pt idx="5">
                  <c:v>3753.0</c:v>
                </c:pt>
                <c:pt idx="6">
                  <c:v>313.0</c:v>
                </c:pt>
                <c:pt idx="7">
                  <c:v>260.0</c:v>
                </c:pt>
                <c:pt idx="8">
                  <c:v>1081.0</c:v>
                </c:pt>
                <c:pt idx="9">
                  <c:v>1225.0</c:v>
                </c:pt>
                <c:pt idx="10">
                  <c:v>10.0</c:v>
                </c:pt>
                <c:pt idx="11">
                  <c:v>10.0</c:v>
                </c:pt>
                <c:pt idx="12">
                  <c:v>8.0</c:v>
                </c:pt>
              </c:numCache>
            </c:numRef>
          </c:val>
        </c:ser>
        <c:ser>
          <c:idx val="1"/>
          <c:order val="1"/>
          <c:tx>
            <c:strRef>
              <c:f>'OfficialReview - Graphs'!$C$131</c:f>
              <c:strCache>
                <c:ptCount val="1"/>
                <c:pt idx="0">
                  <c:v>Average Numbers - Male</c:v>
                </c:pt>
              </c:strCache>
            </c:strRef>
          </c:tx>
          <c:invertIfNegative val="0"/>
          <c:cat>
            <c:strRef>
              <c:f>'OfficialReview - Graphs'!$A$132:$A$144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Graphs'!$C$132:$C$144</c:f>
              <c:numCache>
                <c:formatCode>General</c:formatCode>
                <c:ptCount val="13"/>
                <c:pt idx="0">
                  <c:v>66.0</c:v>
                </c:pt>
                <c:pt idx="1">
                  <c:v>16.0</c:v>
                </c:pt>
                <c:pt idx="2">
                  <c:v>124.0</c:v>
                </c:pt>
                <c:pt idx="3">
                  <c:v>86.0</c:v>
                </c:pt>
                <c:pt idx="4">
                  <c:v>795.0</c:v>
                </c:pt>
                <c:pt idx="5">
                  <c:v>1578.0</c:v>
                </c:pt>
                <c:pt idx="6">
                  <c:v>180.0</c:v>
                </c:pt>
                <c:pt idx="7">
                  <c:v>166.0</c:v>
                </c:pt>
                <c:pt idx="8">
                  <c:v>549.0</c:v>
                </c:pt>
                <c:pt idx="9">
                  <c:v>618.0</c:v>
                </c:pt>
                <c:pt idx="10">
                  <c:v>5.0</c:v>
                </c:pt>
                <c:pt idx="11">
                  <c:v>7.0</c:v>
                </c:pt>
                <c:pt idx="12">
                  <c:v>5.0</c:v>
                </c:pt>
              </c:numCache>
            </c:numRef>
          </c:val>
        </c:ser>
        <c:ser>
          <c:idx val="2"/>
          <c:order val="2"/>
          <c:tx>
            <c:strRef>
              <c:f>'OfficialReview - Graphs'!$D$131</c:f>
              <c:strCache>
                <c:ptCount val="1"/>
                <c:pt idx="0">
                  <c:v>Good Number - Female</c:v>
                </c:pt>
              </c:strCache>
            </c:strRef>
          </c:tx>
          <c:invertIfNegative val="0"/>
          <c:cat>
            <c:strRef>
              <c:f>'OfficialReview - Graphs'!$A$132:$A$144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Graphs'!$D$132:$D$144</c:f>
              <c:numCache>
                <c:formatCode>General</c:formatCode>
                <c:ptCount val="13"/>
                <c:pt idx="0">
                  <c:v>142.0</c:v>
                </c:pt>
                <c:pt idx="1">
                  <c:v>44.0</c:v>
                </c:pt>
                <c:pt idx="2">
                  <c:v>276.0</c:v>
                </c:pt>
                <c:pt idx="3">
                  <c:v>232.0</c:v>
                </c:pt>
                <c:pt idx="4">
                  <c:v>2504.0</c:v>
                </c:pt>
                <c:pt idx="5">
                  <c:v>3753.0</c:v>
                </c:pt>
                <c:pt idx="6">
                  <c:v>317.0</c:v>
                </c:pt>
                <c:pt idx="7">
                  <c:v>274.0</c:v>
                </c:pt>
                <c:pt idx="8">
                  <c:v>1054.0</c:v>
                </c:pt>
                <c:pt idx="9">
                  <c:v>1281.0</c:v>
                </c:pt>
                <c:pt idx="10">
                  <c:v>8.0</c:v>
                </c:pt>
                <c:pt idx="11">
                  <c:v>9.0</c:v>
                </c:pt>
                <c:pt idx="12">
                  <c:v>7.0</c:v>
                </c:pt>
              </c:numCache>
            </c:numRef>
          </c:val>
        </c:ser>
        <c:ser>
          <c:idx val="3"/>
          <c:order val="3"/>
          <c:tx>
            <c:strRef>
              <c:f>'OfficialReview - Graphs'!$E$131</c:f>
              <c:strCache>
                <c:ptCount val="1"/>
                <c:pt idx="0">
                  <c:v>Average Numbers - Female</c:v>
                </c:pt>
              </c:strCache>
            </c:strRef>
          </c:tx>
          <c:invertIfNegative val="0"/>
          <c:cat>
            <c:strRef>
              <c:f>'OfficialReview - Graphs'!$A$132:$A$144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Graphs'!$E$132:$E$144</c:f>
              <c:numCache>
                <c:formatCode>General</c:formatCode>
                <c:ptCount val="13"/>
                <c:pt idx="0">
                  <c:v>71.0</c:v>
                </c:pt>
                <c:pt idx="1">
                  <c:v>17.0</c:v>
                </c:pt>
                <c:pt idx="2">
                  <c:v>125.0</c:v>
                </c:pt>
                <c:pt idx="3">
                  <c:v>84.0</c:v>
                </c:pt>
                <c:pt idx="4">
                  <c:v>749.0</c:v>
                </c:pt>
                <c:pt idx="5">
                  <c:v>1639.0</c:v>
                </c:pt>
                <c:pt idx="6">
                  <c:v>180.0</c:v>
                </c:pt>
                <c:pt idx="7">
                  <c:v>153.0</c:v>
                </c:pt>
                <c:pt idx="8">
                  <c:v>505.0</c:v>
                </c:pt>
                <c:pt idx="9">
                  <c:v>619.0</c:v>
                </c:pt>
                <c:pt idx="10">
                  <c:v>6.0</c:v>
                </c:pt>
                <c:pt idx="11">
                  <c:v>7.0</c:v>
                </c:pt>
                <c:pt idx="12">
                  <c:v>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20614808"/>
        <c:axId val="-2120611688"/>
      </c:barChart>
      <c:catAx>
        <c:axId val="-212061480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20611688"/>
        <c:crosses val="autoZero"/>
        <c:auto val="1"/>
        <c:lblAlgn val="ctr"/>
        <c:lblOffset val="100"/>
        <c:noMultiLvlLbl val="0"/>
      </c:catAx>
      <c:valAx>
        <c:axId val="-2120611688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Numbers (in thousands)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20614808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Survey 5 Good and Average Percentages</a:t>
            </a: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'OfficialReview - Graphs'!$B$146</c:f>
              <c:strCache>
                <c:ptCount val="1"/>
                <c:pt idx="0">
                  <c:v>Good Percent - Male</c:v>
                </c:pt>
              </c:strCache>
            </c:strRef>
          </c:tx>
          <c:invertIfNegative val="0"/>
          <c:cat>
            <c:strRef>
              <c:f>'OfficialReview - Graphs'!$A$147:$A$159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Graphs'!$B$147:$B$159</c:f>
              <c:numCache>
                <c:formatCode>General</c:formatCode>
                <c:ptCount val="13"/>
                <c:pt idx="0">
                  <c:v>66.6</c:v>
                </c:pt>
                <c:pt idx="1">
                  <c:v>70.0</c:v>
                </c:pt>
                <c:pt idx="2">
                  <c:v>65.2</c:v>
                </c:pt>
                <c:pt idx="3">
                  <c:v>69.7</c:v>
                </c:pt>
                <c:pt idx="4">
                  <c:v>72.8</c:v>
                </c:pt>
                <c:pt idx="5">
                  <c:v>67.1</c:v>
                </c:pt>
                <c:pt idx="6">
                  <c:v>60.7</c:v>
                </c:pt>
                <c:pt idx="7">
                  <c:v>58.4</c:v>
                </c:pt>
                <c:pt idx="8">
                  <c:v>63.7</c:v>
                </c:pt>
                <c:pt idx="9">
                  <c:v>62.5</c:v>
                </c:pt>
                <c:pt idx="10">
                  <c:v>64.0</c:v>
                </c:pt>
                <c:pt idx="11">
                  <c:v>57.7</c:v>
                </c:pt>
                <c:pt idx="12">
                  <c:v>59.4</c:v>
                </c:pt>
              </c:numCache>
            </c:numRef>
          </c:val>
        </c:ser>
        <c:ser>
          <c:idx val="1"/>
          <c:order val="1"/>
          <c:tx>
            <c:strRef>
              <c:f>'OfficialReview - Graphs'!$C$146</c:f>
              <c:strCache>
                <c:ptCount val="1"/>
                <c:pt idx="0">
                  <c:v>Average Percent - Male</c:v>
                </c:pt>
              </c:strCache>
            </c:strRef>
          </c:tx>
          <c:invertIfNegative val="0"/>
          <c:cat>
            <c:strRef>
              <c:f>'OfficialReview - Graphs'!$A$147:$A$159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Graphs'!$C$147:$C$159</c:f>
              <c:numCache>
                <c:formatCode>General</c:formatCode>
                <c:ptCount val="13"/>
                <c:pt idx="0">
                  <c:v>31.7</c:v>
                </c:pt>
                <c:pt idx="1">
                  <c:v>27.9</c:v>
                </c:pt>
                <c:pt idx="2">
                  <c:v>32.4</c:v>
                </c:pt>
                <c:pt idx="3">
                  <c:v>27.9</c:v>
                </c:pt>
                <c:pt idx="4">
                  <c:v>23.6</c:v>
                </c:pt>
                <c:pt idx="5">
                  <c:v>28.2</c:v>
                </c:pt>
                <c:pt idx="6">
                  <c:v>35.0</c:v>
                </c:pt>
                <c:pt idx="7">
                  <c:v>37.3</c:v>
                </c:pt>
                <c:pt idx="8">
                  <c:v>32.4</c:v>
                </c:pt>
                <c:pt idx="9">
                  <c:v>31.5</c:v>
                </c:pt>
                <c:pt idx="10">
                  <c:v>30.4</c:v>
                </c:pt>
                <c:pt idx="11">
                  <c:v>40.7</c:v>
                </c:pt>
                <c:pt idx="12">
                  <c:v>39.2</c:v>
                </c:pt>
              </c:numCache>
            </c:numRef>
          </c:val>
        </c:ser>
        <c:ser>
          <c:idx val="2"/>
          <c:order val="2"/>
          <c:tx>
            <c:strRef>
              <c:f>'OfficialReview - Graphs'!$D$146</c:f>
              <c:strCache>
                <c:ptCount val="1"/>
                <c:pt idx="0">
                  <c:v>Good Percent - Female</c:v>
                </c:pt>
              </c:strCache>
            </c:strRef>
          </c:tx>
          <c:invertIfNegative val="0"/>
          <c:cat>
            <c:strRef>
              <c:f>'OfficialReview - Graphs'!$A$147:$A$159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Graphs'!$D$147:$D$159</c:f>
              <c:numCache>
                <c:formatCode>General</c:formatCode>
                <c:ptCount val="13"/>
                <c:pt idx="0">
                  <c:v>64.4</c:v>
                </c:pt>
                <c:pt idx="1">
                  <c:v>70.6</c:v>
                </c:pt>
                <c:pt idx="2">
                  <c:v>66.9</c:v>
                </c:pt>
                <c:pt idx="3">
                  <c:v>71.8</c:v>
                </c:pt>
                <c:pt idx="4">
                  <c:v>73.1</c:v>
                </c:pt>
                <c:pt idx="5">
                  <c:v>64.4</c:v>
                </c:pt>
                <c:pt idx="6">
                  <c:v>60.8</c:v>
                </c:pt>
                <c:pt idx="7">
                  <c:v>61.7</c:v>
                </c:pt>
                <c:pt idx="8">
                  <c:v>64.7</c:v>
                </c:pt>
                <c:pt idx="9">
                  <c:v>63.4</c:v>
                </c:pt>
                <c:pt idx="10">
                  <c:v>54.8</c:v>
                </c:pt>
                <c:pt idx="11">
                  <c:v>56.3</c:v>
                </c:pt>
                <c:pt idx="12">
                  <c:v>55.4</c:v>
                </c:pt>
              </c:numCache>
            </c:numRef>
          </c:val>
        </c:ser>
        <c:ser>
          <c:idx val="3"/>
          <c:order val="3"/>
          <c:tx>
            <c:strRef>
              <c:f>'OfficialReview - Graphs'!$E$146</c:f>
              <c:strCache>
                <c:ptCount val="1"/>
                <c:pt idx="0">
                  <c:v>Average Percent - Female</c:v>
                </c:pt>
              </c:strCache>
            </c:strRef>
          </c:tx>
          <c:invertIfNegative val="0"/>
          <c:cat>
            <c:strRef>
              <c:f>'OfficialReview - Graphs'!$A$147:$A$159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Graphs'!$E$147:$E$159</c:f>
              <c:numCache>
                <c:formatCode>General</c:formatCode>
                <c:ptCount val="13"/>
                <c:pt idx="0">
                  <c:v>32.3</c:v>
                </c:pt>
                <c:pt idx="1">
                  <c:v>26.6</c:v>
                </c:pt>
                <c:pt idx="2">
                  <c:v>30.4</c:v>
                </c:pt>
                <c:pt idx="3">
                  <c:v>25.8</c:v>
                </c:pt>
                <c:pt idx="4">
                  <c:v>21.9</c:v>
                </c:pt>
                <c:pt idx="5">
                  <c:v>28.1</c:v>
                </c:pt>
                <c:pt idx="6">
                  <c:v>34.5</c:v>
                </c:pt>
                <c:pt idx="7">
                  <c:v>34.5</c:v>
                </c:pt>
                <c:pt idx="8">
                  <c:v>31.0</c:v>
                </c:pt>
                <c:pt idx="9">
                  <c:v>30.7</c:v>
                </c:pt>
                <c:pt idx="10">
                  <c:v>39.6</c:v>
                </c:pt>
                <c:pt idx="11">
                  <c:v>40.3</c:v>
                </c:pt>
                <c:pt idx="12">
                  <c:v>35.5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20700040"/>
        <c:axId val="-2126650920"/>
      </c:barChart>
      <c:catAx>
        <c:axId val="-2120700040"/>
        <c:scaling>
          <c:orientation val="minMax"/>
        </c:scaling>
        <c:delete val="0"/>
        <c:axPos val="l"/>
        <c:majorTickMark val="out"/>
        <c:minorTickMark val="none"/>
        <c:tickLblPos val="nextTo"/>
        <c:crossAx val="-2126650920"/>
        <c:crosses val="autoZero"/>
        <c:auto val="1"/>
        <c:lblAlgn val="ctr"/>
        <c:lblOffset val="100"/>
        <c:noMultiLvlLbl val="0"/>
      </c:catAx>
      <c:valAx>
        <c:axId val="-2126650920"/>
        <c:scaling>
          <c:orientation val="minMax"/>
          <c:max val="75.0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-2120700040"/>
        <c:crosses val="autoZero"/>
        <c:crossBetween val="between"/>
        <c:majorUnit val="15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Survey 6 Good and Average Numbers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'OfficialReview - Graphs'!$B$163</c:f>
              <c:strCache>
                <c:ptCount val="1"/>
                <c:pt idx="0">
                  <c:v>Good Number - Male</c:v>
                </c:pt>
              </c:strCache>
            </c:strRef>
          </c:tx>
          <c:invertIfNegative val="0"/>
          <c:cat>
            <c:strRef>
              <c:f>'OfficialReview - Graphs'!$A$164:$A$176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Graphs'!$B$164:$B$176</c:f>
              <c:numCache>
                <c:formatCode>General</c:formatCode>
                <c:ptCount val="13"/>
                <c:pt idx="0">
                  <c:v>138.0</c:v>
                </c:pt>
                <c:pt idx="1">
                  <c:v>43.0</c:v>
                </c:pt>
                <c:pt idx="2">
                  <c:v>241.0</c:v>
                </c:pt>
                <c:pt idx="3">
                  <c:v>211.0</c:v>
                </c:pt>
                <c:pt idx="4">
                  <c:v>2305.0</c:v>
                </c:pt>
                <c:pt idx="5">
                  <c:v>3395.0</c:v>
                </c:pt>
                <c:pt idx="6">
                  <c:v>307.0</c:v>
                </c:pt>
                <c:pt idx="7">
                  <c:v>266.0</c:v>
                </c:pt>
                <c:pt idx="8">
                  <c:v>1002.0</c:v>
                </c:pt>
                <c:pt idx="9">
                  <c:v>1153.0</c:v>
                </c:pt>
                <c:pt idx="10">
                  <c:v>8.0</c:v>
                </c:pt>
                <c:pt idx="11">
                  <c:v>10.0</c:v>
                </c:pt>
                <c:pt idx="12">
                  <c:v>7.0</c:v>
                </c:pt>
              </c:numCache>
            </c:numRef>
          </c:val>
        </c:ser>
        <c:ser>
          <c:idx val="1"/>
          <c:order val="1"/>
          <c:tx>
            <c:strRef>
              <c:f>'OfficialReview - Graphs'!$C$163</c:f>
              <c:strCache>
                <c:ptCount val="1"/>
                <c:pt idx="0">
                  <c:v>Average Numbers - Male</c:v>
                </c:pt>
              </c:strCache>
            </c:strRef>
          </c:tx>
          <c:invertIfNegative val="0"/>
          <c:cat>
            <c:strRef>
              <c:f>'OfficialReview - Graphs'!$A$164:$A$176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Graphs'!$C$164:$C$176</c:f>
              <c:numCache>
                <c:formatCode>General</c:formatCode>
                <c:ptCount val="13"/>
                <c:pt idx="0">
                  <c:v>62.0</c:v>
                </c:pt>
                <c:pt idx="1">
                  <c:v>14.0</c:v>
                </c:pt>
                <c:pt idx="2">
                  <c:v>120.0</c:v>
                </c:pt>
                <c:pt idx="3">
                  <c:v>87.0</c:v>
                </c:pt>
                <c:pt idx="4">
                  <c:v>842.0</c:v>
                </c:pt>
                <c:pt idx="5">
                  <c:v>1668.0</c:v>
                </c:pt>
                <c:pt idx="6">
                  <c:v>171.0</c:v>
                </c:pt>
                <c:pt idx="7">
                  <c:v>162.0</c:v>
                </c:pt>
                <c:pt idx="8">
                  <c:v>592.0</c:v>
                </c:pt>
                <c:pt idx="9">
                  <c:v>670.0</c:v>
                </c:pt>
                <c:pt idx="10">
                  <c:v>6.0</c:v>
                </c:pt>
                <c:pt idx="11">
                  <c:v>7.0</c:v>
                </c:pt>
                <c:pt idx="12">
                  <c:v>6.0</c:v>
                </c:pt>
              </c:numCache>
            </c:numRef>
          </c:val>
        </c:ser>
        <c:ser>
          <c:idx val="2"/>
          <c:order val="2"/>
          <c:tx>
            <c:strRef>
              <c:f>'OfficialReview - Graphs'!$D$163</c:f>
              <c:strCache>
                <c:ptCount val="1"/>
                <c:pt idx="0">
                  <c:v>Good Number - Female</c:v>
                </c:pt>
              </c:strCache>
            </c:strRef>
          </c:tx>
          <c:invertIfNegative val="0"/>
          <c:cat>
            <c:strRef>
              <c:f>'OfficialReview - Graphs'!$A$164:$A$176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Graphs'!$D$164:$D$176</c:f>
              <c:numCache>
                <c:formatCode>General</c:formatCode>
                <c:ptCount val="13"/>
                <c:pt idx="0">
                  <c:v>146.0</c:v>
                </c:pt>
                <c:pt idx="1">
                  <c:v>45.0</c:v>
                </c:pt>
                <c:pt idx="2">
                  <c:v>260.0</c:v>
                </c:pt>
                <c:pt idx="3">
                  <c:v>223.0</c:v>
                </c:pt>
                <c:pt idx="4">
                  <c:v>2339.0</c:v>
                </c:pt>
                <c:pt idx="5">
                  <c:v>3352.0</c:v>
                </c:pt>
                <c:pt idx="6">
                  <c:v>295.0</c:v>
                </c:pt>
                <c:pt idx="7">
                  <c:v>262.0</c:v>
                </c:pt>
                <c:pt idx="8">
                  <c:v>1029.0</c:v>
                </c:pt>
                <c:pt idx="9">
                  <c:v>1204.0</c:v>
                </c:pt>
                <c:pt idx="10">
                  <c:v>7.0</c:v>
                </c:pt>
                <c:pt idx="11">
                  <c:v>8.0</c:v>
                </c:pt>
                <c:pt idx="12">
                  <c:v>6.0</c:v>
                </c:pt>
              </c:numCache>
            </c:numRef>
          </c:val>
        </c:ser>
        <c:ser>
          <c:idx val="3"/>
          <c:order val="3"/>
          <c:tx>
            <c:strRef>
              <c:f>'OfficialReview - Graphs'!$E$163</c:f>
              <c:strCache>
                <c:ptCount val="1"/>
                <c:pt idx="0">
                  <c:v>Average Numbers - Female</c:v>
                </c:pt>
              </c:strCache>
            </c:strRef>
          </c:tx>
          <c:invertIfNegative val="0"/>
          <c:cat>
            <c:strRef>
              <c:f>'OfficialReview - Graphs'!$A$164:$A$176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Graphs'!$E$164:$E$176</c:f>
              <c:numCache>
                <c:formatCode>General</c:formatCode>
                <c:ptCount val="13"/>
                <c:pt idx="0">
                  <c:v>60.0</c:v>
                </c:pt>
                <c:pt idx="1">
                  <c:v>14.0</c:v>
                </c:pt>
                <c:pt idx="2">
                  <c:v>128.0</c:v>
                </c:pt>
                <c:pt idx="3">
                  <c:v>79.0</c:v>
                </c:pt>
                <c:pt idx="4">
                  <c:v>733.0</c:v>
                </c:pt>
                <c:pt idx="5">
                  <c:v>1710.0</c:v>
                </c:pt>
                <c:pt idx="6">
                  <c:v>179.0</c:v>
                </c:pt>
                <c:pt idx="7">
                  <c:v>154.0</c:v>
                </c:pt>
                <c:pt idx="8">
                  <c:v>475.0</c:v>
                </c:pt>
                <c:pt idx="9">
                  <c:v>598.0</c:v>
                </c:pt>
                <c:pt idx="10">
                  <c:v>7.0</c:v>
                </c:pt>
                <c:pt idx="11">
                  <c:v>7.0</c:v>
                </c:pt>
                <c:pt idx="12">
                  <c:v>5.0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16013992"/>
        <c:axId val="-2115964088"/>
      </c:barChart>
      <c:catAx>
        <c:axId val="-211601399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5964088"/>
        <c:crosses val="autoZero"/>
        <c:auto val="1"/>
        <c:lblAlgn val="ctr"/>
        <c:lblOffset val="100"/>
        <c:noMultiLvlLbl val="0"/>
      </c:catAx>
      <c:valAx>
        <c:axId val="-2115964088"/>
        <c:scaling>
          <c:orientation val="minMax"/>
          <c:max val="35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 (in</a:t>
                </a:r>
                <a:r>
                  <a:rPr lang="en-US" baseline="0"/>
                  <a:t> thousands)</a:t>
                </a:r>
                <a:endParaRPr 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16013992"/>
        <c:crosses val="autoZero"/>
        <c:crossBetween val="between"/>
        <c:majorUnit val="700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Survey 6 Good and Average Percentages</a:t>
            </a: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'OfficialReview - Graphs'!$B$178</c:f>
              <c:strCache>
                <c:ptCount val="1"/>
                <c:pt idx="0">
                  <c:v>Good Percent - Male</c:v>
                </c:pt>
              </c:strCache>
            </c:strRef>
          </c:tx>
          <c:invertIfNegative val="0"/>
          <c:cat>
            <c:strRef>
              <c:f>'OfficialReview - Graphs'!$A$179:$A$191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Graphs'!$B$179:$B$191</c:f>
              <c:numCache>
                <c:formatCode>General</c:formatCode>
                <c:ptCount val="13"/>
                <c:pt idx="0">
                  <c:v>66.1</c:v>
                </c:pt>
                <c:pt idx="1">
                  <c:v>73.6</c:v>
                </c:pt>
                <c:pt idx="2">
                  <c:v>62.8</c:v>
                </c:pt>
                <c:pt idx="3">
                  <c:v>68.4</c:v>
                </c:pt>
                <c:pt idx="4">
                  <c:v>68.4</c:v>
                </c:pt>
                <c:pt idx="5">
                  <c:v>60.7</c:v>
                </c:pt>
                <c:pt idx="6">
                  <c:v>59.4</c:v>
                </c:pt>
                <c:pt idx="7">
                  <c:v>59.8</c:v>
                </c:pt>
                <c:pt idx="8">
                  <c:v>59.0</c:v>
                </c:pt>
                <c:pt idx="9">
                  <c:v>58.8</c:v>
                </c:pt>
                <c:pt idx="10">
                  <c:v>54.4</c:v>
                </c:pt>
                <c:pt idx="11">
                  <c:v>55.3</c:v>
                </c:pt>
                <c:pt idx="12">
                  <c:v>54.0</c:v>
                </c:pt>
              </c:numCache>
            </c:numRef>
          </c:val>
        </c:ser>
        <c:ser>
          <c:idx val="1"/>
          <c:order val="1"/>
          <c:tx>
            <c:strRef>
              <c:f>'OfficialReview - Graphs'!$C$178</c:f>
              <c:strCache>
                <c:ptCount val="1"/>
                <c:pt idx="0">
                  <c:v>Average Percent - Male</c:v>
                </c:pt>
              </c:strCache>
            </c:strRef>
          </c:tx>
          <c:invertIfNegative val="0"/>
          <c:cat>
            <c:strRef>
              <c:f>'OfficialReview - Graphs'!$A$179:$A$191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Graphs'!$C$179:$C$191</c:f>
              <c:numCache>
                <c:formatCode>General</c:formatCode>
                <c:ptCount val="13"/>
                <c:pt idx="0">
                  <c:v>29.8</c:v>
                </c:pt>
                <c:pt idx="1">
                  <c:v>23.4</c:v>
                </c:pt>
                <c:pt idx="2">
                  <c:v>31.3</c:v>
                </c:pt>
                <c:pt idx="3">
                  <c:v>28.4</c:v>
                </c:pt>
                <c:pt idx="4">
                  <c:v>25.0</c:v>
                </c:pt>
                <c:pt idx="5">
                  <c:v>29.8</c:v>
                </c:pt>
                <c:pt idx="6">
                  <c:v>33.2</c:v>
                </c:pt>
                <c:pt idx="7">
                  <c:v>36.3</c:v>
                </c:pt>
                <c:pt idx="8">
                  <c:v>34.9</c:v>
                </c:pt>
                <c:pt idx="9">
                  <c:v>34.2</c:v>
                </c:pt>
                <c:pt idx="10">
                  <c:v>39.5</c:v>
                </c:pt>
                <c:pt idx="11">
                  <c:v>41.0</c:v>
                </c:pt>
                <c:pt idx="12">
                  <c:v>43.8</c:v>
                </c:pt>
              </c:numCache>
            </c:numRef>
          </c:val>
        </c:ser>
        <c:ser>
          <c:idx val="2"/>
          <c:order val="2"/>
          <c:tx>
            <c:strRef>
              <c:f>'OfficialReview - Graphs'!$D$178</c:f>
              <c:strCache>
                <c:ptCount val="1"/>
                <c:pt idx="0">
                  <c:v>Good Percent - Female</c:v>
                </c:pt>
              </c:strCache>
            </c:strRef>
          </c:tx>
          <c:invertIfNegative val="0"/>
          <c:cat>
            <c:strRef>
              <c:f>'OfficialReview - Graphs'!$A$179:$A$191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Graphs'!$D$179:$D$191</c:f>
              <c:numCache>
                <c:formatCode>General</c:formatCode>
                <c:ptCount val="13"/>
                <c:pt idx="0">
                  <c:v>66.3</c:v>
                </c:pt>
                <c:pt idx="1">
                  <c:v>71.6</c:v>
                </c:pt>
                <c:pt idx="2">
                  <c:v>63.0</c:v>
                </c:pt>
                <c:pt idx="3">
                  <c:v>69.0</c:v>
                </c:pt>
                <c:pt idx="4">
                  <c:v>68.3</c:v>
                </c:pt>
                <c:pt idx="5">
                  <c:v>57.5</c:v>
                </c:pt>
                <c:pt idx="6">
                  <c:v>56.5</c:v>
                </c:pt>
                <c:pt idx="7">
                  <c:v>59.1</c:v>
                </c:pt>
                <c:pt idx="8">
                  <c:v>63.2</c:v>
                </c:pt>
                <c:pt idx="9">
                  <c:v>59.6</c:v>
                </c:pt>
                <c:pt idx="10">
                  <c:v>45.5</c:v>
                </c:pt>
                <c:pt idx="11">
                  <c:v>51.6</c:v>
                </c:pt>
                <c:pt idx="12">
                  <c:v>51.1</c:v>
                </c:pt>
              </c:numCache>
            </c:numRef>
          </c:val>
        </c:ser>
        <c:ser>
          <c:idx val="3"/>
          <c:order val="3"/>
          <c:tx>
            <c:strRef>
              <c:f>'OfficialReview - Graphs'!$E$178</c:f>
              <c:strCache>
                <c:ptCount val="1"/>
                <c:pt idx="0">
                  <c:v>Average Percent - Female</c:v>
                </c:pt>
              </c:strCache>
            </c:strRef>
          </c:tx>
          <c:invertIfNegative val="0"/>
          <c:cat>
            <c:strRef>
              <c:f>'OfficialReview - Graphs'!$A$179:$A$191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cat>
          <c:val>
            <c:numRef>
              <c:f>'OfficialReview - Graphs'!$E$179:$E$191</c:f>
              <c:numCache>
                <c:formatCode>General</c:formatCode>
                <c:ptCount val="13"/>
                <c:pt idx="0">
                  <c:v>27.1</c:v>
                </c:pt>
                <c:pt idx="1">
                  <c:v>22.8</c:v>
                </c:pt>
                <c:pt idx="2">
                  <c:v>31.0</c:v>
                </c:pt>
                <c:pt idx="3">
                  <c:v>24.5</c:v>
                </c:pt>
                <c:pt idx="4">
                  <c:v>21.4</c:v>
                </c:pt>
                <c:pt idx="5">
                  <c:v>29.4</c:v>
                </c:pt>
                <c:pt idx="6">
                  <c:v>34.2</c:v>
                </c:pt>
                <c:pt idx="7">
                  <c:v>34.6</c:v>
                </c:pt>
                <c:pt idx="8">
                  <c:v>29.2</c:v>
                </c:pt>
                <c:pt idx="9">
                  <c:v>29.6</c:v>
                </c:pt>
                <c:pt idx="10">
                  <c:v>45.6</c:v>
                </c:pt>
                <c:pt idx="11">
                  <c:v>44.1</c:v>
                </c:pt>
                <c:pt idx="12">
                  <c:v>40.7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15716456"/>
        <c:axId val="-2113881272"/>
      </c:barChart>
      <c:catAx>
        <c:axId val="-2115716456"/>
        <c:scaling>
          <c:orientation val="minMax"/>
        </c:scaling>
        <c:delete val="0"/>
        <c:axPos val="l"/>
        <c:majorTickMark val="out"/>
        <c:minorTickMark val="none"/>
        <c:tickLblPos val="nextTo"/>
        <c:crossAx val="-2113881272"/>
        <c:crosses val="autoZero"/>
        <c:auto val="1"/>
        <c:lblAlgn val="ctr"/>
        <c:lblOffset val="100"/>
        <c:noMultiLvlLbl val="0"/>
      </c:catAx>
      <c:valAx>
        <c:axId val="-2113881272"/>
        <c:scaling>
          <c:orientation val="minMax"/>
          <c:max val="75.0"/>
          <c:min val="0.0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-2115716456"/>
        <c:crosses val="autoZero"/>
        <c:crossBetween val="between"/>
        <c:majorUnit val="15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299</Words>
  <Characters>1709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</vt:lpstr>
    </vt:vector>
  </TitlesOfParts>
  <Company/>
  <LinksUpToDate>false</LinksUpToDate>
  <CharactersWithSpaces>2004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</dc:title>
  <dc:creator>Aaron Niecestro</dc:creator>
  <cp:lastModifiedBy>Aaron Niecestro</cp:lastModifiedBy>
  <cp:revision>21</cp:revision>
  <dcterms:created xsi:type="dcterms:W3CDTF">2017-05-05T03:25:00Z</dcterms:created>
  <dcterms:modified xsi:type="dcterms:W3CDTF">2017-05-05T18:39:00Z</dcterms:modified>
</cp:coreProperties>
</file>