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6EC" w:rsidRDefault="00DF02FD">
      <w:r>
        <w:t>Appendix</w:t>
      </w:r>
    </w:p>
    <w:p w:rsidR="00DF02FD" w:rsidRDefault="00DF02FD"/>
    <w:p w:rsidR="00DF02FD" w:rsidRDefault="00DF02FD">
      <w:r>
        <w:t>Scatterplots</w:t>
      </w:r>
    </w:p>
    <w:p w:rsidR="00DF02FD" w:rsidRDefault="00DF02FD"/>
    <w:p w:rsidR="00DF02FD" w:rsidRDefault="00DF02FD">
      <w:r>
        <w:t>Scatterplot 1 – Survey 1 Good and Average Numbers</w:t>
      </w:r>
    </w:p>
    <w:p w:rsidR="00DF02FD" w:rsidRDefault="00DF02FD"/>
    <w:p w:rsidR="00DF02FD" w:rsidRDefault="00DF02FD">
      <w:r>
        <w:rPr>
          <w:noProof/>
        </w:rPr>
        <w:drawing>
          <wp:inline distT="0" distB="0" distL="0" distR="0" wp14:anchorId="046F9B58" wp14:editId="508F195D">
            <wp:extent cx="4572000" cy="2743200"/>
            <wp:effectExtent l="0" t="0" r="25400" b="2540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sectPr w:rsidR="00DF02FD" w:rsidSect="003B72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2FD"/>
    <w:rsid w:val="003B7234"/>
    <w:rsid w:val="00BE76EC"/>
    <w:rsid w:val="00CC79BB"/>
    <w:rsid w:val="00DF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BD2565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2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02F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2F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2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02F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2F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hart" Target="charts/chart1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Spring%20Semester:Offical%20Data%202:OfficialReview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OfficialReview2.csv!$B$3</c:f>
              <c:strCache>
                <c:ptCount val="1"/>
                <c:pt idx="0">
                  <c:v>Good Number - Male</c:v>
                </c:pt>
              </c:strCache>
            </c:strRef>
          </c:tx>
          <c:spPr>
            <a:ln w="47625">
              <a:noFill/>
            </a:ln>
          </c:spPr>
          <c:xVal>
            <c:strRef>
              <c:f>OfficialReview2.csv!$A$4:$A$16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xVal>
          <c:yVal>
            <c:numRef>
              <c:f>OfficialReview2.csv!$B$4:$B$16</c:f>
              <c:numCache>
                <c:formatCode>General</c:formatCode>
                <c:ptCount val="13"/>
                <c:pt idx="0">
                  <c:v>112.0</c:v>
                </c:pt>
                <c:pt idx="1">
                  <c:v>36.0</c:v>
                </c:pt>
                <c:pt idx="2">
                  <c:v>214.0</c:v>
                </c:pt>
                <c:pt idx="3">
                  <c:v>189.0</c:v>
                </c:pt>
                <c:pt idx="4">
                  <c:v>2279.0</c:v>
                </c:pt>
                <c:pt idx="5">
                  <c:v>3433.0</c:v>
                </c:pt>
                <c:pt idx="6">
                  <c:v>273.0</c:v>
                </c:pt>
                <c:pt idx="7">
                  <c:v>227.0</c:v>
                </c:pt>
                <c:pt idx="8">
                  <c:v>970.0</c:v>
                </c:pt>
                <c:pt idx="9">
                  <c:v>1100.0</c:v>
                </c:pt>
                <c:pt idx="10">
                  <c:v>8.0</c:v>
                </c:pt>
                <c:pt idx="11">
                  <c:v>8.0</c:v>
                </c:pt>
                <c:pt idx="12">
                  <c:v>5.0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OfficialReview2.csv!$C$3</c:f>
              <c:strCache>
                <c:ptCount val="1"/>
                <c:pt idx="0">
                  <c:v>Average Numbers - Male</c:v>
                </c:pt>
              </c:strCache>
            </c:strRef>
          </c:tx>
          <c:spPr>
            <a:ln w="47625">
              <a:noFill/>
            </a:ln>
          </c:spPr>
          <c:xVal>
            <c:strRef>
              <c:f>OfficialReview2.csv!$A$4:$A$16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xVal>
          <c:yVal>
            <c:numRef>
              <c:f>OfficialReview2.csv!$C$4:$C$16</c:f>
              <c:numCache>
                <c:formatCode>General</c:formatCode>
                <c:ptCount val="13"/>
                <c:pt idx="0">
                  <c:v>95.0</c:v>
                </c:pt>
                <c:pt idx="1">
                  <c:v>23.0</c:v>
                </c:pt>
                <c:pt idx="2">
                  <c:v>165.0</c:v>
                </c:pt>
                <c:pt idx="3">
                  <c:v>116.0</c:v>
                </c:pt>
                <c:pt idx="4">
                  <c:v>994.0</c:v>
                </c:pt>
                <c:pt idx="5">
                  <c:v>1919.0</c:v>
                </c:pt>
                <c:pt idx="6">
                  <c:v>222.0</c:v>
                </c:pt>
                <c:pt idx="7">
                  <c:v>207.0</c:v>
                </c:pt>
                <c:pt idx="8">
                  <c:v>677.0</c:v>
                </c:pt>
                <c:pt idx="9">
                  <c:v>794.0</c:v>
                </c:pt>
                <c:pt idx="10">
                  <c:v>7.0</c:v>
                </c:pt>
                <c:pt idx="11">
                  <c:v>9.0</c:v>
                </c:pt>
                <c:pt idx="12">
                  <c:v>7.0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OfficialReview2.csv!$D$3</c:f>
              <c:strCache>
                <c:ptCount val="1"/>
                <c:pt idx="0">
                  <c:v>Good Number - Female</c:v>
                </c:pt>
              </c:strCache>
            </c:strRef>
          </c:tx>
          <c:spPr>
            <a:ln w="47625">
              <a:noFill/>
            </a:ln>
          </c:spPr>
          <c:xVal>
            <c:strRef>
              <c:f>OfficialReview2.csv!$A$4:$A$16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xVal>
          <c:yVal>
            <c:numRef>
              <c:f>OfficialReview2.csv!$D$4:$D$16</c:f>
              <c:numCache>
                <c:formatCode>General</c:formatCode>
                <c:ptCount val="13"/>
                <c:pt idx="0">
                  <c:v>127.0</c:v>
                </c:pt>
                <c:pt idx="1">
                  <c:v>42.0</c:v>
                </c:pt>
                <c:pt idx="2">
                  <c:v>242.0</c:v>
                </c:pt>
                <c:pt idx="3">
                  <c:v>219.0</c:v>
                </c:pt>
                <c:pt idx="4">
                  <c:v>2359.0</c:v>
                </c:pt>
                <c:pt idx="5">
                  <c:v>3633.0</c:v>
                </c:pt>
                <c:pt idx="6">
                  <c:v>274.0</c:v>
                </c:pt>
                <c:pt idx="7">
                  <c:v>253.0</c:v>
                </c:pt>
                <c:pt idx="8">
                  <c:v>1002.0</c:v>
                </c:pt>
                <c:pt idx="9">
                  <c:v>1215.0</c:v>
                </c:pt>
                <c:pt idx="10">
                  <c:v>7.0</c:v>
                </c:pt>
                <c:pt idx="11">
                  <c:v>9.0</c:v>
                </c:pt>
                <c:pt idx="12">
                  <c:v>6.0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OfficialReview2.csv!$E$3</c:f>
              <c:strCache>
                <c:ptCount val="1"/>
                <c:pt idx="0">
                  <c:v>Average Numbers - Female</c:v>
                </c:pt>
              </c:strCache>
            </c:strRef>
          </c:tx>
          <c:spPr>
            <a:ln w="47625">
              <a:noFill/>
            </a:ln>
          </c:spPr>
          <c:marker>
            <c:symbol val="circle"/>
            <c:size val="9"/>
          </c:marker>
          <c:xVal>
            <c:strRef>
              <c:f>OfficialReview2.csv!$A$4:$A$16</c:f>
              <c:strCache>
                <c:ptCount val="13"/>
                <c:pt idx="0">
                  <c:v>Newfoundland and Labrador</c:v>
                </c:pt>
                <c:pt idx="1">
                  <c:v>Prince Edward Island</c:v>
                </c:pt>
                <c:pt idx="2">
                  <c:v>Nova Scotia</c:v>
                </c:pt>
                <c:pt idx="3">
                  <c:v>New Brunswick</c:v>
                </c:pt>
                <c:pt idx="4">
                  <c:v>Quebec</c:v>
                </c:pt>
                <c:pt idx="5">
                  <c:v>Ontario</c:v>
                </c:pt>
                <c:pt idx="6">
                  <c:v>Manitoba</c:v>
                </c:pt>
                <c:pt idx="7">
                  <c:v>Saskatchewan</c:v>
                </c:pt>
                <c:pt idx="8">
                  <c:v>Alberta</c:v>
                </c:pt>
                <c:pt idx="9">
                  <c:v>British Columbia</c:v>
                </c:pt>
                <c:pt idx="10">
                  <c:v>Yukon</c:v>
                </c:pt>
                <c:pt idx="11">
                  <c:v>Northwest Territories</c:v>
                </c:pt>
                <c:pt idx="12">
                  <c:v>Nunavut</c:v>
                </c:pt>
              </c:strCache>
            </c:strRef>
          </c:xVal>
          <c:yVal>
            <c:numRef>
              <c:f>OfficialReview2.csv!$E$4:$E$16</c:f>
              <c:numCache>
                <c:formatCode>General</c:formatCode>
                <c:ptCount val="13"/>
                <c:pt idx="0">
                  <c:v>89.0</c:v>
                </c:pt>
                <c:pt idx="1">
                  <c:v>19.0</c:v>
                </c:pt>
                <c:pt idx="2">
                  <c:v>164.0</c:v>
                </c:pt>
                <c:pt idx="3">
                  <c:v>95.0</c:v>
                </c:pt>
                <c:pt idx="4">
                  <c:v>919.0</c:v>
                </c:pt>
                <c:pt idx="5">
                  <c:v>1821.0</c:v>
                </c:pt>
                <c:pt idx="6">
                  <c:v>228.0</c:v>
                </c:pt>
                <c:pt idx="7">
                  <c:v>182.0</c:v>
                </c:pt>
                <c:pt idx="8">
                  <c:v>569.0</c:v>
                </c:pt>
                <c:pt idx="9">
                  <c:v>709.0</c:v>
                </c:pt>
                <c:pt idx="10">
                  <c:v>7.0</c:v>
                </c:pt>
                <c:pt idx="11">
                  <c:v>7.0</c:v>
                </c:pt>
                <c:pt idx="12">
                  <c:v>6.0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1396904"/>
        <c:axId val="2131393416"/>
      </c:scatterChart>
      <c:valAx>
        <c:axId val="2131396904"/>
        <c:scaling>
          <c:orientation val="minMax"/>
        </c:scaling>
        <c:delete val="0"/>
        <c:axPos val="b"/>
        <c:majorTickMark val="out"/>
        <c:minorTickMark val="none"/>
        <c:tickLblPos val="nextTo"/>
        <c:crossAx val="2131393416"/>
        <c:crosses val="autoZero"/>
        <c:crossBetween val="midCat"/>
        <c:majorUnit val="1.0"/>
      </c:valAx>
      <c:valAx>
        <c:axId val="213139341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31396904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Macintosh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</cp:revision>
  <dcterms:created xsi:type="dcterms:W3CDTF">2017-05-05T02:15:00Z</dcterms:created>
  <dcterms:modified xsi:type="dcterms:W3CDTF">2017-05-05T03:34:00Z</dcterms:modified>
</cp:coreProperties>
</file>