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889D0" w14:textId="77777777" w:rsidR="00D50CEE" w:rsidRPr="00D50CEE" w:rsidRDefault="00D50CEE" w:rsidP="00D50CEE">
      <w:pPr>
        <w:contextualSpacing/>
        <w:jc w:val="center"/>
        <w:outlineLvl w:val="0"/>
        <w:rPr>
          <w:rFonts w:ascii="Times New Roman" w:eastAsia="Times New Roman" w:hAnsi="Times New Roman" w:cs="Times New Roman"/>
          <w:b/>
          <w:bCs/>
          <w:kern w:val="36"/>
          <w:sz w:val="24"/>
          <w:szCs w:val="24"/>
        </w:rPr>
      </w:pPr>
      <w:r w:rsidRPr="00D50CEE">
        <w:rPr>
          <w:rFonts w:ascii="Times New Roman" w:eastAsia="Times New Roman" w:hAnsi="Times New Roman" w:cs="Times New Roman"/>
          <w:b/>
          <w:bCs/>
          <w:kern w:val="36"/>
          <w:sz w:val="24"/>
          <w:szCs w:val="24"/>
        </w:rPr>
        <w:t>Salary Median Classification for U.S. Data Science Roles</w:t>
      </w:r>
    </w:p>
    <w:p w14:paraId="1E0BBDAB" w14:textId="77777777" w:rsidR="00D50CEE" w:rsidRPr="00D50CEE" w:rsidRDefault="00D50CEE" w:rsidP="00D50CEE">
      <w:pPr>
        <w:contextualSpacing/>
        <w:jc w:val="center"/>
        <w:outlineLvl w:val="2"/>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Executive Analytical Report</w:t>
      </w:r>
    </w:p>
    <w:p w14:paraId="4377F913" w14:textId="77777777" w:rsidR="00D50CEE" w:rsidRPr="00D50CEE" w:rsidRDefault="00D50CEE" w:rsidP="00D50CEE">
      <w:pPr>
        <w:contextualSpacing/>
        <w:jc w:val="center"/>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Prepared by:</w:t>
      </w:r>
      <w:r w:rsidRPr="00D50CEE">
        <w:rPr>
          <w:rFonts w:ascii="Times New Roman" w:eastAsia="Times New Roman" w:hAnsi="Times New Roman" w:cs="Times New Roman"/>
          <w:sz w:val="24"/>
          <w:szCs w:val="24"/>
        </w:rPr>
        <w:t xml:space="preserve"> Aaron Niecestro, Data Scientist</w:t>
      </w:r>
    </w:p>
    <w:p w14:paraId="1DAAEB41" w14:textId="77777777" w:rsidR="00D50CEE" w:rsidRDefault="00D50CEE" w:rsidP="00D50CEE">
      <w:pPr>
        <w:contextualSpacing/>
        <w:outlineLvl w:val="1"/>
        <w:rPr>
          <w:rFonts w:ascii="Times New Roman" w:eastAsia="Times New Roman" w:hAnsi="Times New Roman" w:cs="Times New Roman"/>
          <w:b/>
          <w:bCs/>
          <w:sz w:val="24"/>
          <w:szCs w:val="24"/>
        </w:rPr>
      </w:pPr>
    </w:p>
    <w:p w14:paraId="6C9B3154" w14:textId="3205A580" w:rsidR="00D50CEE" w:rsidRDefault="00D50CEE" w:rsidP="00D50CEE">
      <w:pPr>
        <w:contextualSpacing/>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Executive Summary</w:t>
      </w:r>
    </w:p>
    <w:p w14:paraId="6E2F921F" w14:textId="77777777" w:rsidR="00D50CEE" w:rsidRPr="00D50CEE" w:rsidRDefault="00D50CEE" w:rsidP="00D50CEE">
      <w:pPr>
        <w:contextualSpacing/>
        <w:outlineLvl w:val="1"/>
        <w:rPr>
          <w:rFonts w:ascii="Times New Roman" w:eastAsia="Times New Roman" w:hAnsi="Times New Roman" w:cs="Times New Roman"/>
          <w:b/>
          <w:bCs/>
          <w:sz w:val="24"/>
          <w:szCs w:val="24"/>
        </w:rPr>
      </w:pPr>
    </w:p>
    <w:p w14:paraId="18C06525" w14:textId="77777777"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This report presents a comprehensive analysis of salary patterns across 44,225 U.S. data</w:t>
      </w:r>
      <w:r w:rsidRPr="00D50CEE">
        <w:rPr>
          <w:rFonts w:ascii="Times New Roman" w:eastAsia="Times New Roman" w:hAnsi="Times New Roman" w:cs="Times New Roman"/>
          <w:sz w:val="24"/>
          <w:szCs w:val="24"/>
        </w:rPr>
        <w:noBreakHyphen/>
        <w:t>science and analytics roles and develops a supervised machine</w:t>
      </w:r>
      <w:r w:rsidRPr="00D50CEE">
        <w:rPr>
          <w:rFonts w:ascii="Times New Roman" w:eastAsia="Times New Roman" w:hAnsi="Times New Roman" w:cs="Times New Roman"/>
          <w:sz w:val="24"/>
          <w:szCs w:val="24"/>
        </w:rPr>
        <w:noBreakHyphen/>
        <w:t>learning classification model to predict whether an individual earns above or below the national median salary of $147,700. The analysis integrates exploratory data insights, model benchmarking, and interpretability techniques to provide leadership with a reliable, transparent, and operationally useful salary</w:t>
      </w:r>
      <w:r w:rsidRPr="00D50CEE">
        <w:rPr>
          <w:rFonts w:ascii="Times New Roman" w:eastAsia="Times New Roman" w:hAnsi="Times New Roman" w:cs="Times New Roman"/>
          <w:sz w:val="24"/>
          <w:szCs w:val="24"/>
        </w:rPr>
        <w:noBreakHyphen/>
        <w:t>classification framework. Gradient Boosting emerged as the strongest model across accuracy, recall, F1 score, and ROC</w:t>
      </w:r>
      <w:r w:rsidRPr="00D50CEE">
        <w:rPr>
          <w:rFonts w:ascii="Times New Roman" w:eastAsia="Times New Roman" w:hAnsi="Times New Roman" w:cs="Times New Roman"/>
          <w:sz w:val="24"/>
          <w:szCs w:val="24"/>
        </w:rPr>
        <w:noBreakHyphen/>
        <w:t>AUC, and its SHAP</w:t>
      </w:r>
      <w:r w:rsidRPr="00D50CEE">
        <w:rPr>
          <w:rFonts w:ascii="Times New Roman" w:eastAsia="Times New Roman" w:hAnsi="Times New Roman" w:cs="Times New Roman"/>
          <w:sz w:val="24"/>
          <w:szCs w:val="24"/>
        </w:rPr>
        <w:noBreakHyphen/>
        <w:t>based interpretability makes it suitable for compensation strategy, pay</w:t>
      </w:r>
      <w:r w:rsidRPr="00D50CEE">
        <w:rPr>
          <w:rFonts w:ascii="Times New Roman" w:eastAsia="Times New Roman" w:hAnsi="Times New Roman" w:cs="Times New Roman"/>
          <w:sz w:val="24"/>
          <w:szCs w:val="24"/>
        </w:rPr>
        <w:noBreakHyphen/>
        <w:t>equity reviews, and workforce planning. The findings confirm that experience level, job specialization, company size, and remote work flexibility are the most influential determinants of salary outcomes in the modern data</w:t>
      </w:r>
      <w:r w:rsidRPr="00D50CEE">
        <w:rPr>
          <w:rFonts w:ascii="Times New Roman" w:eastAsia="Times New Roman" w:hAnsi="Times New Roman" w:cs="Times New Roman"/>
          <w:sz w:val="24"/>
          <w:szCs w:val="24"/>
        </w:rPr>
        <w:noBreakHyphen/>
        <w:t>science labor market.</w:t>
      </w:r>
    </w:p>
    <w:p w14:paraId="08B68E3C" w14:textId="77777777" w:rsidR="00D50CEE" w:rsidRPr="00D50CEE" w:rsidRDefault="00D50CEE" w:rsidP="00D50CEE">
      <w:pPr>
        <w:contextualSpacing/>
        <w:rPr>
          <w:rFonts w:ascii="Times New Roman" w:eastAsia="Times New Roman" w:hAnsi="Times New Roman" w:cs="Times New Roman"/>
          <w:sz w:val="24"/>
          <w:szCs w:val="24"/>
        </w:rPr>
      </w:pPr>
    </w:p>
    <w:p w14:paraId="27F4F936" w14:textId="4AF28BB0"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Business Context and Objective</w:t>
      </w:r>
    </w:p>
    <w:p w14:paraId="0257BBED" w14:textId="77777777" w:rsidR="00D50CEE" w:rsidRPr="00D50CEE" w:rsidRDefault="00D50CEE" w:rsidP="00D50CEE">
      <w:pPr>
        <w:outlineLvl w:val="1"/>
        <w:rPr>
          <w:rFonts w:ascii="Times New Roman" w:eastAsia="Times New Roman" w:hAnsi="Times New Roman" w:cs="Times New Roman"/>
          <w:b/>
          <w:bCs/>
          <w:sz w:val="24"/>
          <w:szCs w:val="24"/>
        </w:rPr>
      </w:pPr>
    </w:p>
    <w:p w14:paraId="7C094C01" w14:textId="77777777"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Compensation for data</w:t>
      </w:r>
      <w:r w:rsidRPr="00D50CEE">
        <w:rPr>
          <w:rFonts w:ascii="Times New Roman" w:eastAsia="Times New Roman" w:hAnsi="Times New Roman" w:cs="Times New Roman"/>
          <w:sz w:val="24"/>
          <w:szCs w:val="24"/>
        </w:rPr>
        <w:noBreakHyphen/>
        <w:t>science professionals has become increasingly complex due to rapid specialization, remote work adoption, and evolving AI skill requirements. Organizations need data</w:t>
      </w:r>
      <w:r w:rsidRPr="00D50CEE">
        <w:rPr>
          <w:rFonts w:ascii="Times New Roman" w:eastAsia="Times New Roman" w:hAnsi="Times New Roman" w:cs="Times New Roman"/>
          <w:sz w:val="24"/>
          <w:szCs w:val="24"/>
        </w:rPr>
        <w:noBreakHyphen/>
        <w:t>driven tools that can reliably identify the structural drivers of salary variation and support equitable, competitive compensation strategies. The objective of this project is to build and evaluate supervised machine</w:t>
      </w:r>
      <w:r w:rsidRPr="00D50CEE">
        <w:rPr>
          <w:rFonts w:ascii="Times New Roman" w:eastAsia="Times New Roman" w:hAnsi="Times New Roman" w:cs="Times New Roman"/>
          <w:sz w:val="24"/>
          <w:szCs w:val="24"/>
        </w:rPr>
        <w:noBreakHyphen/>
        <w:t>learning classification models that predict whether a data</w:t>
      </w:r>
      <w:r w:rsidRPr="00D50CEE">
        <w:rPr>
          <w:rFonts w:ascii="Times New Roman" w:eastAsia="Times New Roman" w:hAnsi="Times New Roman" w:cs="Times New Roman"/>
          <w:sz w:val="24"/>
          <w:szCs w:val="24"/>
        </w:rPr>
        <w:noBreakHyphen/>
        <w:t>science professional earns above or below the median salary. The analysis also aims to determine which model performs best, assess interpretability, and provide actionable insights for senior leadership. As stated in the project overview, the intended outcome is “a reliable, interpretable salary</w:t>
      </w:r>
      <w:r w:rsidRPr="00D50CEE">
        <w:rPr>
          <w:rFonts w:ascii="Times New Roman" w:eastAsia="Times New Roman" w:hAnsi="Times New Roman" w:cs="Times New Roman"/>
          <w:sz w:val="24"/>
          <w:szCs w:val="24"/>
        </w:rPr>
        <w:noBreakHyphen/>
        <w:t>classification model that highlights the factors most strongly associated with higher compensation.”</w:t>
      </w:r>
    </w:p>
    <w:p w14:paraId="12D459CA" w14:textId="77777777" w:rsidR="00D50CEE" w:rsidRPr="00D50CEE" w:rsidRDefault="00D50CEE" w:rsidP="00D50CEE">
      <w:pPr>
        <w:contextualSpacing/>
        <w:rPr>
          <w:rFonts w:ascii="Times New Roman" w:eastAsia="Times New Roman" w:hAnsi="Times New Roman" w:cs="Times New Roman"/>
          <w:sz w:val="24"/>
          <w:szCs w:val="24"/>
        </w:rPr>
      </w:pPr>
    </w:p>
    <w:p w14:paraId="1A5AC9BE" w14:textId="6FB9F028"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Dataset Overview</w:t>
      </w:r>
    </w:p>
    <w:p w14:paraId="50A6DB7B" w14:textId="77777777" w:rsidR="00D50CEE" w:rsidRPr="00D50CEE" w:rsidRDefault="00D50CEE" w:rsidP="00D50CEE">
      <w:pPr>
        <w:contextualSpacing/>
        <w:outlineLvl w:val="1"/>
        <w:rPr>
          <w:rFonts w:ascii="Times New Roman" w:eastAsia="Times New Roman" w:hAnsi="Times New Roman" w:cs="Times New Roman"/>
          <w:b/>
          <w:bCs/>
          <w:sz w:val="24"/>
          <w:szCs w:val="24"/>
        </w:rPr>
      </w:pPr>
    </w:p>
    <w:p w14:paraId="550D5C68"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The dataset contains 44,225 U.S. salary records, each representing a unique job role with attributes describing the position, company, and work arrangement. The target variable is a binary classification indicating whether the salary falls below the median (less than $147,700) or above the median (greater than or equal to $147,700). The feature set includes job and experience attributes such as experience level, job title group, work year, and data age; employment and work</w:t>
      </w:r>
      <w:r w:rsidRPr="00D50CEE">
        <w:rPr>
          <w:rFonts w:ascii="Times New Roman" w:eastAsia="Times New Roman" w:hAnsi="Times New Roman" w:cs="Times New Roman"/>
          <w:sz w:val="24"/>
          <w:szCs w:val="24"/>
        </w:rPr>
        <w:noBreakHyphen/>
        <w:t>arrangement attributes such as employment type, employee residence, employee remote ratio, and employer remote ratio; and company attributes such as company size. These features capture the most important drivers of salary variation, including seniority, job specialization, company scale, remote work flexibility, and geographic factors.</w:t>
      </w:r>
    </w:p>
    <w:p w14:paraId="00403E01" w14:textId="77777777" w:rsidR="00D50CEE" w:rsidRDefault="00D50CEE" w:rsidP="00D50CEE">
      <w:pPr>
        <w:contextualSpacing/>
        <w:outlineLvl w:val="1"/>
        <w:rPr>
          <w:rFonts w:ascii="Times New Roman" w:eastAsia="Times New Roman" w:hAnsi="Times New Roman" w:cs="Times New Roman"/>
          <w:b/>
          <w:bCs/>
          <w:sz w:val="24"/>
          <w:szCs w:val="24"/>
        </w:rPr>
      </w:pPr>
    </w:p>
    <w:p w14:paraId="4E365EFB" w14:textId="557F7A85"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Snapshot of the Data</w:t>
      </w:r>
    </w:p>
    <w:p w14:paraId="1622B11F" w14:textId="77777777" w:rsidR="00D50CEE" w:rsidRPr="00D50CEE" w:rsidRDefault="00D50CEE" w:rsidP="00D50CEE">
      <w:pPr>
        <w:contextualSpacing/>
        <w:outlineLvl w:val="1"/>
        <w:rPr>
          <w:rFonts w:ascii="Times New Roman" w:eastAsia="Times New Roman" w:hAnsi="Times New Roman" w:cs="Times New Roman"/>
          <w:b/>
          <w:bCs/>
          <w:sz w:val="24"/>
          <w:szCs w:val="24"/>
        </w:rPr>
      </w:pPr>
    </w:p>
    <w:p w14:paraId="77D777D9"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The table below illustrates representative records from the dataset and highlights the relationship between job specialization, experience level, and salary category.</w:t>
      </w:r>
    </w:p>
    <w:p w14:paraId="3733A493" w14:textId="77777777" w:rsidR="00D50CEE" w:rsidRDefault="00D50CEE" w:rsidP="00D50CEE">
      <w:pPr>
        <w:contextualSpacing/>
        <w:outlineLvl w:val="2"/>
        <w:rPr>
          <w:rFonts w:ascii="Times New Roman" w:eastAsia="Times New Roman" w:hAnsi="Times New Roman" w:cs="Times New Roman"/>
          <w:b/>
          <w:bCs/>
          <w:sz w:val="24"/>
          <w:szCs w:val="24"/>
        </w:rPr>
      </w:pPr>
    </w:p>
    <w:p w14:paraId="201DC9A1" w14:textId="5DBFA344" w:rsidR="00D50CEE" w:rsidRPr="00D50CEE" w:rsidRDefault="00D50CEE" w:rsidP="00D50CEE">
      <w:pPr>
        <w:contextualSpacing/>
        <w:outlineLvl w:val="2"/>
        <w:rPr>
          <w:rFonts w:ascii="Times New Roman" w:eastAsia="Times New Roman" w:hAnsi="Times New Roman" w:cs="Times New Roman"/>
          <w:b/>
          <w:bCs/>
          <w:sz w:val="24"/>
          <w:szCs w:val="24"/>
          <w:u w:val="single"/>
        </w:rPr>
      </w:pPr>
      <w:r w:rsidRPr="00D50CEE">
        <w:rPr>
          <w:rFonts w:ascii="Times New Roman" w:eastAsia="Times New Roman" w:hAnsi="Times New Roman" w:cs="Times New Roman"/>
          <w:b/>
          <w:bCs/>
          <w:sz w:val="24"/>
          <w:szCs w:val="24"/>
          <w:u w:val="single"/>
        </w:rPr>
        <w:t>Table</w:t>
      </w:r>
      <w:r w:rsidRPr="00D50CEE">
        <w:rPr>
          <w:rFonts w:ascii="Times New Roman" w:eastAsia="Times New Roman" w:hAnsi="Times New Roman" w:cs="Times New Roman"/>
          <w:b/>
          <w:bCs/>
          <w:sz w:val="24"/>
          <w:szCs w:val="24"/>
          <w:u w:val="single"/>
        </w:rPr>
        <w:t xml:space="preserve"> 1</w:t>
      </w:r>
      <w:r w:rsidRPr="00D50CEE">
        <w:rPr>
          <w:rFonts w:ascii="Times New Roman" w:eastAsia="Times New Roman" w:hAnsi="Times New Roman" w:cs="Times New Roman"/>
          <w:b/>
          <w:bCs/>
          <w:sz w:val="24"/>
          <w:szCs w:val="24"/>
          <w:u w:val="single"/>
        </w:rPr>
        <w:t>: Sample Records from the Dataset</w:t>
      </w:r>
    </w:p>
    <w:p w14:paraId="788554A8" w14:textId="77777777" w:rsidR="00D50CEE" w:rsidRPr="00D50CEE" w:rsidRDefault="00D50CEE" w:rsidP="00D50CEE">
      <w:pPr>
        <w:contextualSpacing/>
        <w:outlineLvl w:val="2"/>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1550"/>
        <w:gridCol w:w="1327"/>
        <w:gridCol w:w="1190"/>
        <w:gridCol w:w="1666"/>
        <w:gridCol w:w="1861"/>
      </w:tblGrid>
      <w:tr w:rsidR="00D50CEE" w:rsidRPr="00D50CEE" w14:paraId="230F0289" w14:textId="77777777" w:rsidTr="00D50CEE">
        <w:trPr>
          <w:tblHeader/>
          <w:tblCellSpacing w:w="15" w:type="dxa"/>
        </w:trPr>
        <w:tc>
          <w:tcPr>
            <w:tcW w:w="0" w:type="auto"/>
            <w:vAlign w:val="center"/>
            <w:hideMark/>
          </w:tcPr>
          <w:p w14:paraId="31CCDA77"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Job Title</w:t>
            </w:r>
          </w:p>
        </w:tc>
        <w:tc>
          <w:tcPr>
            <w:tcW w:w="0" w:type="auto"/>
            <w:vAlign w:val="center"/>
            <w:hideMark/>
          </w:tcPr>
          <w:p w14:paraId="1AE5CAD2"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Experience Level</w:t>
            </w:r>
          </w:p>
        </w:tc>
        <w:tc>
          <w:tcPr>
            <w:tcW w:w="0" w:type="auto"/>
            <w:vAlign w:val="center"/>
            <w:hideMark/>
          </w:tcPr>
          <w:p w14:paraId="7CA2879E"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Company Size</w:t>
            </w:r>
          </w:p>
        </w:tc>
        <w:tc>
          <w:tcPr>
            <w:tcW w:w="0" w:type="auto"/>
            <w:vAlign w:val="center"/>
            <w:hideMark/>
          </w:tcPr>
          <w:p w14:paraId="0239B47C"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Remote Ratio</w:t>
            </w:r>
          </w:p>
        </w:tc>
        <w:tc>
          <w:tcPr>
            <w:tcW w:w="0" w:type="auto"/>
            <w:vAlign w:val="center"/>
            <w:hideMark/>
          </w:tcPr>
          <w:p w14:paraId="7ACDA4BA"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Employee Residence</w:t>
            </w:r>
          </w:p>
        </w:tc>
        <w:tc>
          <w:tcPr>
            <w:tcW w:w="0" w:type="auto"/>
            <w:vAlign w:val="center"/>
            <w:hideMark/>
          </w:tcPr>
          <w:p w14:paraId="3E356FCE"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Salary Median Category</w:t>
            </w:r>
          </w:p>
        </w:tc>
      </w:tr>
      <w:tr w:rsidR="00D50CEE" w:rsidRPr="00D50CEE" w14:paraId="633F1969" w14:textId="77777777" w:rsidTr="00D50CEE">
        <w:trPr>
          <w:tblCellSpacing w:w="15" w:type="dxa"/>
        </w:trPr>
        <w:tc>
          <w:tcPr>
            <w:tcW w:w="0" w:type="auto"/>
            <w:vAlign w:val="center"/>
            <w:hideMark/>
          </w:tcPr>
          <w:p w14:paraId="11E10D4D"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Data Analytics</w:t>
            </w:r>
          </w:p>
        </w:tc>
        <w:tc>
          <w:tcPr>
            <w:tcW w:w="0" w:type="auto"/>
            <w:vAlign w:val="center"/>
            <w:hideMark/>
          </w:tcPr>
          <w:p w14:paraId="01C7FA0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Entry-Level</w:t>
            </w:r>
          </w:p>
        </w:tc>
        <w:tc>
          <w:tcPr>
            <w:tcW w:w="0" w:type="auto"/>
            <w:vAlign w:val="center"/>
            <w:hideMark/>
          </w:tcPr>
          <w:p w14:paraId="6FD0653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Medium</w:t>
            </w:r>
          </w:p>
        </w:tc>
        <w:tc>
          <w:tcPr>
            <w:tcW w:w="0" w:type="auto"/>
            <w:vAlign w:val="center"/>
            <w:hideMark/>
          </w:tcPr>
          <w:p w14:paraId="28C8CEE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0.0</w:t>
            </w:r>
          </w:p>
        </w:tc>
        <w:tc>
          <w:tcPr>
            <w:tcW w:w="0" w:type="auto"/>
            <w:vAlign w:val="center"/>
            <w:hideMark/>
          </w:tcPr>
          <w:p w14:paraId="3AB70495"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United States</w:t>
            </w:r>
          </w:p>
        </w:tc>
        <w:tc>
          <w:tcPr>
            <w:tcW w:w="0" w:type="auto"/>
            <w:vAlign w:val="center"/>
            <w:hideMark/>
          </w:tcPr>
          <w:p w14:paraId="1A37A199"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Below-Median</w:t>
            </w:r>
          </w:p>
        </w:tc>
      </w:tr>
      <w:tr w:rsidR="00D50CEE" w:rsidRPr="00D50CEE" w14:paraId="39186468" w14:textId="77777777" w:rsidTr="00D50CEE">
        <w:trPr>
          <w:tblCellSpacing w:w="15" w:type="dxa"/>
        </w:trPr>
        <w:tc>
          <w:tcPr>
            <w:tcW w:w="0" w:type="auto"/>
            <w:vAlign w:val="center"/>
            <w:hideMark/>
          </w:tcPr>
          <w:p w14:paraId="06BEBF25"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Other Tech</w:t>
            </w:r>
          </w:p>
        </w:tc>
        <w:tc>
          <w:tcPr>
            <w:tcW w:w="0" w:type="auto"/>
            <w:vAlign w:val="center"/>
            <w:hideMark/>
          </w:tcPr>
          <w:p w14:paraId="5EB7946E"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Senior-Level</w:t>
            </w:r>
          </w:p>
        </w:tc>
        <w:tc>
          <w:tcPr>
            <w:tcW w:w="0" w:type="auto"/>
            <w:vAlign w:val="center"/>
            <w:hideMark/>
          </w:tcPr>
          <w:p w14:paraId="43C61D5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Medium</w:t>
            </w:r>
          </w:p>
        </w:tc>
        <w:tc>
          <w:tcPr>
            <w:tcW w:w="0" w:type="auto"/>
            <w:vAlign w:val="center"/>
            <w:hideMark/>
          </w:tcPr>
          <w:p w14:paraId="225FB91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0.0</w:t>
            </w:r>
          </w:p>
        </w:tc>
        <w:tc>
          <w:tcPr>
            <w:tcW w:w="0" w:type="auto"/>
            <w:vAlign w:val="center"/>
            <w:hideMark/>
          </w:tcPr>
          <w:p w14:paraId="4D4B98B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United States</w:t>
            </w:r>
          </w:p>
        </w:tc>
        <w:tc>
          <w:tcPr>
            <w:tcW w:w="0" w:type="auto"/>
            <w:vAlign w:val="center"/>
            <w:hideMark/>
          </w:tcPr>
          <w:p w14:paraId="682D9E2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Above-Median</w:t>
            </w:r>
          </w:p>
        </w:tc>
      </w:tr>
      <w:tr w:rsidR="00D50CEE" w:rsidRPr="00D50CEE" w14:paraId="48A482C3" w14:textId="77777777" w:rsidTr="00D50CEE">
        <w:trPr>
          <w:tblCellSpacing w:w="15" w:type="dxa"/>
        </w:trPr>
        <w:tc>
          <w:tcPr>
            <w:tcW w:w="0" w:type="auto"/>
            <w:vAlign w:val="center"/>
            <w:hideMark/>
          </w:tcPr>
          <w:p w14:paraId="77D0AC64"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Other Tech</w:t>
            </w:r>
          </w:p>
        </w:tc>
        <w:tc>
          <w:tcPr>
            <w:tcW w:w="0" w:type="auto"/>
            <w:vAlign w:val="center"/>
            <w:hideMark/>
          </w:tcPr>
          <w:p w14:paraId="1B726487"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Middle-Level</w:t>
            </w:r>
          </w:p>
        </w:tc>
        <w:tc>
          <w:tcPr>
            <w:tcW w:w="0" w:type="auto"/>
            <w:vAlign w:val="center"/>
            <w:hideMark/>
          </w:tcPr>
          <w:p w14:paraId="0E874D9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Medium</w:t>
            </w:r>
          </w:p>
        </w:tc>
        <w:tc>
          <w:tcPr>
            <w:tcW w:w="0" w:type="auto"/>
            <w:vAlign w:val="center"/>
            <w:hideMark/>
          </w:tcPr>
          <w:p w14:paraId="77B926D8"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50.0</w:t>
            </w:r>
          </w:p>
        </w:tc>
        <w:tc>
          <w:tcPr>
            <w:tcW w:w="0" w:type="auto"/>
            <w:vAlign w:val="center"/>
            <w:hideMark/>
          </w:tcPr>
          <w:p w14:paraId="1514301F"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United States</w:t>
            </w:r>
          </w:p>
        </w:tc>
        <w:tc>
          <w:tcPr>
            <w:tcW w:w="0" w:type="auto"/>
            <w:vAlign w:val="center"/>
            <w:hideMark/>
          </w:tcPr>
          <w:p w14:paraId="4286CE48"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Above-Median</w:t>
            </w:r>
          </w:p>
        </w:tc>
      </w:tr>
      <w:tr w:rsidR="00D50CEE" w:rsidRPr="00D50CEE" w14:paraId="35BDE854" w14:textId="77777777" w:rsidTr="00D50CEE">
        <w:trPr>
          <w:tblCellSpacing w:w="15" w:type="dxa"/>
        </w:trPr>
        <w:tc>
          <w:tcPr>
            <w:tcW w:w="0" w:type="auto"/>
            <w:vAlign w:val="center"/>
            <w:hideMark/>
          </w:tcPr>
          <w:p w14:paraId="6A394E2D"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Other Tech</w:t>
            </w:r>
          </w:p>
        </w:tc>
        <w:tc>
          <w:tcPr>
            <w:tcW w:w="0" w:type="auto"/>
            <w:vAlign w:val="center"/>
            <w:hideMark/>
          </w:tcPr>
          <w:p w14:paraId="3378FE4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Senior-Level</w:t>
            </w:r>
          </w:p>
        </w:tc>
        <w:tc>
          <w:tcPr>
            <w:tcW w:w="0" w:type="auto"/>
            <w:vAlign w:val="center"/>
            <w:hideMark/>
          </w:tcPr>
          <w:p w14:paraId="43C07D4E"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Medium</w:t>
            </w:r>
          </w:p>
        </w:tc>
        <w:tc>
          <w:tcPr>
            <w:tcW w:w="0" w:type="auto"/>
            <w:vAlign w:val="center"/>
            <w:hideMark/>
          </w:tcPr>
          <w:p w14:paraId="4A93EF0E"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0.0</w:t>
            </w:r>
          </w:p>
        </w:tc>
        <w:tc>
          <w:tcPr>
            <w:tcW w:w="0" w:type="auto"/>
            <w:vAlign w:val="center"/>
            <w:hideMark/>
          </w:tcPr>
          <w:p w14:paraId="2846BE2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United States</w:t>
            </w:r>
          </w:p>
        </w:tc>
        <w:tc>
          <w:tcPr>
            <w:tcW w:w="0" w:type="auto"/>
            <w:vAlign w:val="center"/>
            <w:hideMark/>
          </w:tcPr>
          <w:p w14:paraId="3CF8F438"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Above-Median</w:t>
            </w:r>
          </w:p>
        </w:tc>
      </w:tr>
      <w:tr w:rsidR="00D50CEE" w:rsidRPr="00D50CEE" w14:paraId="731C09D8" w14:textId="77777777" w:rsidTr="00D50CEE">
        <w:trPr>
          <w:tblCellSpacing w:w="15" w:type="dxa"/>
        </w:trPr>
        <w:tc>
          <w:tcPr>
            <w:tcW w:w="0" w:type="auto"/>
            <w:vAlign w:val="center"/>
            <w:hideMark/>
          </w:tcPr>
          <w:p w14:paraId="5186AC24"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ML/AI Engineering</w:t>
            </w:r>
          </w:p>
        </w:tc>
        <w:tc>
          <w:tcPr>
            <w:tcW w:w="0" w:type="auto"/>
            <w:vAlign w:val="center"/>
            <w:hideMark/>
          </w:tcPr>
          <w:p w14:paraId="3686C1D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Senior-Level</w:t>
            </w:r>
          </w:p>
        </w:tc>
        <w:tc>
          <w:tcPr>
            <w:tcW w:w="0" w:type="auto"/>
            <w:vAlign w:val="center"/>
            <w:hideMark/>
          </w:tcPr>
          <w:p w14:paraId="6AC60F25"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Medium</w:t>
            </w:r>
          </w:p>
        </w:tc>
        <w:tc>
          <w:tcPr>
            <w:tcW w:w="0" w:type="auto"/>
            <w:vAlign w:val="center"/>
            <w:hideMark/>
          </w:tcPr>
          <w:p w14:paraId="4B3FDC5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0.0</w:t>
            </w:r>
          </w:p>
        </w:tc>
        <w:tc>
          <w:tcPr>
            <w:tcW w:w="0" w:type="auto"/>
            <w:vAlign w:val="center"/>
            <w:hideMark/>
          </w:tcPr>
          <w:p w14:paraId="6BF44CEB"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United States</w:t>
            </w:r>
          </w:p>
        </w:tc>
        <w:tc>
          <w:tcPr>
            <w:tcW w:w="0" w:type="auto"/>
            <w:vAlign w:val="center"/>
            <w:hideMark/>
          </w:tcPr>
          <w:p w14:paraId="1637BB6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Above-Median</w:t>
            </w:r>
          </w:p>
        </w:tc>
      </w:tr>
    </w:tbl>
    <w:p w14:paraId="3D6216CF" w14:textId="77777777" w:rsidR="00D50CEE" w:rsidRDefault="00D50CEE" w:rsidP="00D50CEE">
      <w:pPr>
        <w:contextualSpacing/>
        <w:rPr>
          <w:rFonts w:ascii="Times New Roman" w:eastAsia="Times New Roman" w:hAnsi="Times New Roman" w:cs="Times New Roman"/>
          <w:sz w:val="24"/>
          <w:szCs w:val="24"/>
        </w:rPr>
      </w:pPr>
    </w:p>
    <w:p w14:paraId="15B2979C" w14:textId="7ED14572"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This snapshot reflects broader patterns observed throughout the dataset: senior and specialized roles consistently fall above the median, while entry</w:t>
      </w:r>
      <w:r w:rsidRPr="00D50CEE">
        <w:rPr>
          <w:rFonts w:ascii="Times New Roman" w:eastAsia="Times New Roman" w:hAnsi="Times New Roman" w:cs="Times New Roman"/>
          <w:sz w:val="24"/>
          <w:szCs w:val="24"/>
        </w:rPr>
        <w:noBreakHyphen/>
        <w:t>level and generalist roles cluster below it.</w:t>
      </w:r>
    </w:p>
    <w:p w14:paraId="4E9A126D" w14:textId="77777777" w:rsidR="00D50CEE" w:rsidRDefault="00D50CEE" w:rsidP="00D50CEE">
      <w:pPr>
        <w:contextualSpacing/>
        <w:outlineLvl w:val="1"/>
        <w:rPr>
          <w:rFonts w:ascii="Times New Roman" w:eastAsia="Times New Roman" w:hAnsi="Times New Roman" w:cs="Times New Roman"/>
          <w:b/>
          <w:bCs/>
          <w:sz w:val="24"/>
          <w:szCs w:val="24"/>
        </w:rPr>
      </w:pPr>
    </w:p>
    <w:p w14:paraId="1B6EF8B1" w14:textId="41737C33"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Exploratory Insights from Visual Analysis</w:t>
      </w:r>
    </w:p>
    <w:p w14:paraId="3146A915" w14:textId="77777777" w:rsidR="00D50CEE" w:rsidRDefault="00D50CEE" w:rsidP="00D50CEE">
      <w:pPr>
        <w:contextualSpacing/>
        <w:rPr>
          <w:rFonts w:ascii="Times New Roman" w:eastAsia="Times New Roman" w:hAnsi="Times New Roman" w:cs="Times New Roman"/>
          <w:sz w:val="24"/>
          <w:szCs w:val="24"/>
        </w:rPr>
      </w:pPr>
    </w:p>
    <w:p w14:paraId="60FE3243" w14:textId="07C1CF9F"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The Salary Category Distribution figure shows a larger proportion of below</w:t>
      </w:r>
      <w:r w:rsidRPr="00D50CEE">
        <w:rPr>
          <w:rFonts w:ascii="Times New Roman" w:eastAsia="Times New Roman" w:hAnsi="Times New Roman" w:cs="Times New Roman"/>
          <w:sz w:val="24"/>
          <w:szCs w:val="24"/>
        </w:rPr>
        <w:noBreakHyphen/>
        <w:t>median salaries, reflecting the concentration of entry</w:t>
      </w:r>
      <w:r w:rsidRPr="00D50CEE">
        <w:rPr>
          <w:rFonts w:ascii="Times New Roman" w:eastAsia="Times New Roman" w:hAnsi="Times New Roman" w:cs="Times New Roman"/>
          <w:sz w:val="24"/>
          <w:szCs w:val="24"/>
        </w:rPr>
        <w:noBreakHyphen/>
        <w:t>level and generalist roles. The Salary by Experience Level graph demonstrates a clear monotonic progression, with entry</w:t>
      </w:r>
      <w:r w:rsidRPr="00D50CEE">
        <w:rPr>
          <w:rFonts w:ascii="Times New Roman" w:eastAsia="Times New Roman" w:hAnsi="Times New Roman" w:cs="Times New Roman"/>
          <w:sz w:val="24"/>
          <w:szCs w:val="24"/>
        </w:rPr>
        <w:noBreakHyphen/>
        <w:t>level roles clustering below the median and senior/executive roles consistently exceeding it. The Salary by Job Title Group figure reveals that ML/AI engineering, other technical roles, data science, and quantitative finance command higher salaries, while data analytics, BI/business, and academic research trend lower. The Salary by Company Size graph shows that large companies offer the highest salary bands, medium companies fall in the middle, and small companies show lower distributions. These visual insights align with industry compensation norms and validate the feature set used in modeling.</w:t>
      </w:r>
    </w:p>
    <w:p w14:paraId="4721D023" w14:textId="77777777" w:rsidR="00D50CEE" w:rsidRPr="00D50CEE" w:rsidRDefault="00D50CEE" w:rsidP="00D50CEE">
      <w:pPr>
        <w:contextualSpacing/>
        <w:rPr>
          <w:rFonts w:ascii="Times New Roman" w:eastAsia="Times New Roman" w:hAnsi="Times New Roman" w:cs="Times New Roman"/>
          <w:sz w:val="24"/>
          <w:szCs w:val="24"/>
        </w:rPr>
      </w:pPr>
    </w:p>
    <w:p w14:paraId="2819D712" w14:textId="0F82EF08"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Key Drivers of Salary Variation</w:t>
      </w:r>
    </w:p>
    <w:p w14:paraId="1E673806" w14:textId="77777777" w:rsidR="00D50CEE" w:rsidRDefault="00D50CEE" w:rsidP="00D50CEE">
      <w:pPr>
        <w:contextualSpacing/>
        <w:rPr>
          <w:rFonts w:ascii="Times New Roman" w:eastAsia="Times New Roman" w:hAnsi="Times New Roman" w:cs="Times New Roman"/>
          <w:sz w:val="24"/>
          <w:szCs w:val="24"/>
        </w:rPr>
      </w:pPr>
    </w:p>
    <w:p w14:paraId="1015E73A" w14:textId="773A9B5D"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The analysis confirms that job role and seniority are the strongest drivers of salary outcomes. Senior and specialized roles consistently fall above the median, while entry</w:t>
      </w:r>
      <w:r w:rsidRPr="00D50CEE">
        <w:rPr>
          <w:rFonts w:ascii="Times New Roman" w:eastAsia="Times New Roman" w:hAnsi="Times New Roman" w:cs="Times New Roman"/>
          <w:sz w:val="24"/>
          <w:szCs w:val="24"/>
        </w:rPr>
        <w:noBreakHyphen/>
        <w:t>level and generalist roles cluster below it. Experience level shows a clear upward trend, with more experienced professionals earning higher salaries. Company size also matters, as larger organizations tend to offer higher salary bands. Remote work influences compensation as well, with fully remote roles trending higher than hybrid or on</w:t>
      </w:r>
      <w:r w:rsidRPr="00D50CEE">
        <w:rPr>
          <w:rFonts w:ascii="Times New Roman" w:eastAsia="Times New Roman" w:hAnsi="Times New Roman" w:cs="Times New Roman"/>
          <w:sz w:val="24"/>
          <w:szCs w:val="24"/>
        </w:rPr>
        <w:noBreakHyphen/>
        <w:t>site roles. Using median salary as the classification target provides a stable threshold that is less sensitive to outliers than mean salary, making it an appropriate choice for this analysis.</w:t>
      </w:r>
    </w:p>
    <w:p w14:paraId="4500B995" w14:textId="77777777" w:rsidR="00D50CEE" w:rsidRDefault="00D50CEE" w:rsidP="00D50CEE">
      <w:pPr>
        <w:contextualSpacing/>
        <w:rPr>
          <w:rFonts w:ascii="Times New Roman" w:eastAsia="Times New Roman" w:hAnsi="Times New Roman" w:cs="Times New Roman"/>
          <w:sz w:val="24"/>
          <w:szCs w:val="24"/>
        </w:rPr>
      </w:pPr>
    </w:p>
    <w:p w14:paraId="2AD15C27" w14:textId="0D37C956" w:rsidR="00D50CEE" w:rsidRPr="00D50CEE" w:rsidRDefault="00D50CEE" w:rsidP="00D50CEE">
      <w:pPr>
        <w:pStyle w:val="ListParagraph"/>
        <w:numPr>
          <w:ilvl w:val="0"/>
          <w:numId w:val="2"/>
        </w:numP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Modeling Approach</w:t>
      </w:r>
    </w:p>
    <w:p w14:paraId="6D1292A9" w14:textId="77777777" w:rsidR="00D50CEE" w:rsidRDefault="00D50CEE" w:rsidP="00D50CEE">
      <w:pPr>
        <w:contextualSpacing/>
        <w:rPr>
          <w:rFonts w:ascii="Times New Roman" w:eastAsia="Times New Roman" w:hAnsi="Times New Roman" w:cs="Times New Roman"/>
          <w:sz w:val="24"/>
          <w:szCs w:val="24"/>
        </w:rPr>
      </w:pPr>
    </w:p>
    <w:p w14:paraId="36F51178" w14:textId="47DC64C4"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A diverse set of supervised machine</w:t>
      </w:r>
      <w:r w:rsidRPr="00D50CEE">
        <w:rPr>
          <w:rFonts w:ascii="Times New Roman" w:eastAsia="Times New Roman" w:hAnsi="Times New Roman" w:cs="Times New Roman"/>
          <w:sz w:val="24"/>
          <w:szCs w:val="24"/>
        </w:rPr>
        <w:noBreakHyphen/>
        <w:t>learning classification models was trained using a 70/30 train</w:t>
      </w:r>
      <w:r w:rsidRPr="00D50CEE">
        <w:rPr>
          <w:rFonts w:ascii="Times New Roman" w:eastAsia="Times New Roman" w:hAnsi="Times New Roman" w:cs="Times New Roman"/>
          <w:sz w:val="24"/>
          <w:szCs w:val="24"/>
        </w:rPr>
        <w:noBreakHyphen/>
        <w:t>test split and evaluated using accuracy, precision, recall, F1 score, and ROC</w:t>
      </w:r>
      <w:r w:rsidRPr="00D50CEE">
        <w:rPr>
          <w:rFonts w:ascii="Times New Roman" w:eastAsia="Times New Roman" w:hAnsi="Times New Roman" w:cs="Times New Roman"/>
          <w:sz w:val="24"/>
          <w:szCs w:val="24"/>
        </w:rPr>
        <w:noBreakHyphen/>
        <w:t>AUC. ROC</w:t>
      </w:r>
      <w:r w:rsidRPr="00D50CEE">
        <w:rPr>
          <w:rFonts w:ascii="Times New Roman" w:eastAsia="Times New Roman" w:hAnsi="Times New Roman" w:cs="Times New Roman"/>
          <w:sz w:val="24"/>
          <w:szCs w:val="24"/>
        </w:rPr>
        <w:noBreakHyphen/>
        <w:t>AUC served as the primary metric because it measures how well the model separates above</w:t>
      </w:r>
      <w:r w:rsidRPr="00D50CEE">
        <w:rPr>
          <w:rFonts w:ascii="Times New Roman" w:eastAsia="Times New Roman" w:hAnsi="Times New Roman" w:cs="Times New Roman"/>
          <w:sz w:val="24"/>
          <w:szCs w:val="24"/>
        </w:rPr>
        <w:noBreakHyphen/>
        <w:t>median from below</w:t>
      </w:r>
      <w:r w:rsidRPr="00D50CEE">
        <w:rPr>
          <w:rFonts w:ascii="Times New Roman" w:eastAsia="Times New Roman" w:hAnsi="Times New Roman" w:cs="Times New Roman"/>
          <w:sz w:val="24"/>
          <w:szCs w:val="24"/>
        </w:rPr>
        <w:noBreakHyphen/>
        <w:t xml:space="preserve">median earners. The models evaluated include Logistic Regression, </w:t>
      </w:r>
      <w:r w:rsidRPr="00D50CEE">
        <w:rPr>
          <w:rFonts w:ascii="Times New Roman" w:eastAsia="Times New Roman" w:hAnsi="Times New Roman" w:cs="Times New Roman"/>
          <w:sz w:val="24"/>
          <w:szCs w:val="24"/>
        </w:rPr>
        <w:lastRenderedPageBreak/>
        <w:t>Gaussian and Bernoulli Naive Bayes, K</w:t>
      </w:r>
      <w:r w:rsidRPr="00D50CEE">
        <w:rPr>
          <w:rFonts w:ascii="Times New Roman" w:eastAsia="Times New Roman" w:hAnsi="Times New Roman" w:cs="Times New Roman"/>
          <w:sz w:val="24"/>
          <w:szCs w:val="24"/>
        </w:rPr>
        <w:noBreakHyphen/>
        <w:t>Nearest Neighbors, Support Vector Machines (Linear, RBF, and Polynomial), Decision Tree, Random Forest, Gradient Boosting, AdaBoost, and Extra Trees. This broad comparison ensures that the final model selection is based on both performance and interpretability.</w:t>
      </w:r>
    </w:p>
    <w:p w14:paraId="7EAA93CF" w14:textId="77777777" w:rsidR="00D50CEE" w:rsidRPr="00D50CEE" w:rsidRDefault="00D50CEE" w:rsidP="00D50CEE">
      <w:pPr>
        <w:contextualSpacing/>
        <w:rPr>
          <w:rFonts w:ascii="Times New Roman" w:eastAsia="Times New Roman" w:hAnsi="Times New Roman" w:cs="Times New Roman"/>
          <w:sz w:val="24"/>
          <w:szCs w:val="24"/>
        </w:rPr>
      </w:pPr>
    </w:p>
    <w:p w14:paraId="491FFA0A" w14:textId="07E73758"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Model Performance Summary</w:t>
      </w:r>
    </w:p>
    <w:p w14:paraId="142F6771" w14:textId="77777777" w:rsidR="00D50CEE" w:rsidRPr="00D50CEE" w:rsidRDefault="00D50CEE" w:rsidP="00D50CEE">
      <w:pPr>
        <w:contextualSpacing/>
        <w:outlineLvl w:val="1"/>
        <w:rPr>
          <w:rFonts w:ascii="Times New Roman" w:eastAsia="Times New Roman" w:hAnsi="Times New Roman" w:cs="Times New Roman"/>
          <w:b/>
          <w:bCs/>
          <w:sz w:val="24"/>
          <w:szCs w:val="24"/>
        </w:rPr>
      </w:pPr>
    </w:p>
    <w:p w14:paraId="4B117791" w14:textId="6F75B35E"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 xml:space="preserve">The following table </w:t>
      </w:r>
      <w:r>
        <w:rPr>
          <w:rFonts w:ascii="Times New Roman" w:eastAsia="Times New Roman" w:hAnsi="Times New Roman" w:cs="Times New Roman"/>
          <w:sz w:val="24"/>
          <w:szCs w:val="24"/>
        </w:rPr>
        <w:t>summarizes</w:t>
      </w:r>
      <w:r w:rsidRPr="00D50CEE">
        <w:rPr>
          <w:rFonts w:ascii="Times New Roman" w:eastAsia="Times New Roman" w:hAnsi="Times New Roman" w:cs="Times New Roman"/>
          <w:sz w:val="24"/>
          <w:szCs w:val="24"/>
        </w:rPr>
        <w:t xml:space="preserve"> the performance of each model tested.</w:t>
      </w:r>
    </w:p>
    <w:p w14:paraId="69C49660" w14:textId="77777777" w:rsidR="00D50CEE" w:rsidRPr="00D50CEE" w:rsidRDefault="00D50CEE" w:rsidP="00D50CEE">
      <w:pPr>
        <w:contextualSpacing/>
        <w:rPr>
          <w:rFonts w:ascii="Times New Roman" w:eastAsia="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1942"/>
        <w:gridCol w:w="1268"/>
        <w:gridCol w:w="1242"/>
        <w:gridCol w:w="935"/>
        <w:gridCol w:w="707"/>
        <w:gridCol w:w="841"/>
      </w:tblGrid>
      <w:tr w:rsidR="00D50CEE" w:rsidRPr="00D50CEE" w14:paraId="77A479D9" w14:textId="77777777" w:rsidTr="00D50CEE">
        <w:trPr>
          <w:tblHeader/>
          <w:tblCellSpacing w:w="15" w:type="dxa"/>
        </w:trPr>
        <w:tc>
          <w:tcPr>
            <w:tcW w:w="0" w:type="auto"/>
            <w:vAlign w:val="center"/>
            <w:hideMark/>
          </w:tcPr>
          <w:p w14:paraId="3ECC9E0D"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Model Type</w:t>
            </w:r>
          </w:p>
        </w:tc>
        <w:tc>
          <w:tcPr>
            <w:tcW w:w="0" w:type="auto"/>
            <w:vAlign w:val="center"/>
            <w:hideMark/>
          </w:tcPr>
          <w:p w14:paraId="4AD83350"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Model</w:t>
            </w:r>
          </w:p>
        </w:tc>
        <w:tc>
          <w:tcPr>
            <w:tcW w:w="0" w:type="auto"/>
            <w:vAlign w:val="center"/>
            <w:hideMark/>
          </w:tcPr>
          <w:p w14:paraId="63354EB0"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Accuracy (%)</w:t>
            </w:r>
          </w:p>
        </w:tc>
        <w:tc>
          <w:tcPr>
            <w:tcW w:w="0" w:type="auto"/>
            <w:vAlign w:val="center"/>
            <w:hideMark/>
          </w:tcPr>
          <w:p w14:paraId="0F18B2D9"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Precision (%)</w:t>
            </w:r>
          </w:p>
        </w:tc>
        <w:tc>
          <w:tcPr>
            <w:tcW w:w="0" w:type="auto"/>
            <w:vAlign w:val="center"/>
            <w:hideMark/>
          </w:tcPr>
          <w:p w14:paraId="4191DA71" w14:textId="77777777" w:rsidR="00D50CEE" w:rsidRPr="00D50CEE" w:rsidRDefault="00D50CEE" w:rsidP="00D50CEE">
            <w:pPr>
              <w:contextualSpacing/>
              <w:jc w:val="center"/>
              <w:rPr>
                <w:rFonts w:ascii="Times New Roman" w:eastAsia="Times New Roman" w:hAnsi="Times New Roman" w:cs="Times New Roman"/>
                <w:b/>
                <w:bCs/>
                <w:sz w:val="24"/>
                <w:szCs w:val="24"/>
              </w:rPr>
            </w:pPr>
            <w:proofErr w:type="gramStart"/>
            <w:r w:rsidRPr="00D50CEE">
              <w:rPr>
                <w:rFonts w:ascii="Times New Roman" w:eastAsia="Times New Roman" w:hAnsi="Times New Roman" w:cs="Times New Roman"/>
                <w:b/>
                <w:bCs/>
                <w:sz w:val="24"/>
                <w:szCs w:val="24"/>
              </w:rPr>
              <w:t>Recall</w:t>
            </w:r>
            <w:proofErr w:type="gramEnd"/>
            <w:r w:rsidRPr="00D50CEE">
              <w:rPr>
                <w:rFonts w:ascii="Times New Roman" w:eastAsia="Times New Roman" w:hAnsi="Times New Roman" w:cs="Times New Roman"/>
                <w:b/>
                <w:bCs/>
                <w:sz w:val="24"/>
                <w:szCs w:val="24"/>
              </w:rPr>
              <w:t xml:space="preserve"> (%)</w:t>
            </w:r>
          </w:p>
        </w:tc>
        <w:tc>
          <w:tcPr>
            <w:tcW w:w="0" w:type="auto"/>
            <w:vAlign w:val="center"/>
            <w:hideMark/>
          </w:tcPr>
          <w:p w14:paraId="1375EFF4"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F1 (%)</w:t>
            </w:r>
          </w:p>
        </w:tc>
        <w:tc>
          <w:tcPr>
            <w:tcW w:w="0" w:type="auto"/>
            <w:vAlign w:val="center"/>
            <w:hideMark/>
          </w:tcPr>
          <w:p w14:paraId="2E832162"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AUC (%)</w:t>
            </w:r>
          </w:p>
        </w:tc>
      </w:tr>
      <w:tr w:rsidR="00D50CEE" w:rsidRPr="00D50CEE" w14:paraId="2BD49EAC" w14:textId="77777777" w:rsidTr="00D50CEE">
        <w:trPr>
          <w:tblCellSpacing w:w="15" w:type="dxa"/>
        </w:trPr>
        <w:tc>
          <w:tcPr>
            <w:tcW w:w="0" w:type="auto"/>
            <w:vAlign w:val="center"/>
            <w:hideMark/>
          </w:tcPr>
          <w:p w14:paraId="7BE38472"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Linear &amp; Probabilistic Models</w:t>
            </w:r>
          </w:p>
        </w:tc>
        <w:tc>
          <w:tcPr>
            <w:tcW w:w="0" w:type="auto"/>
            <w:vAlign w:val="center"/>
            <w:hideMark/>
          </w:tcPr>
          <w:p w14:paraId="625D0B1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Logistic Regression</w:t>
            </w:r>
          </w:p>
        </w:tc>
        <w:tc>
          <w:tcPr>
            <w:tcW w:w="0" w:type="auto"/>
            <w:vAlign w:val="center"/>
            <w:hideMark/>
          </w:tcPr>
          <w:p w14:paraId="2680419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65.27</w:t>
            </w:r>
          </w:p>
        </w:tc>
        <w:tc>
          <w:tcPr>
            <w:tcW w:w="0" w:type="auto"/>
            <w:vAlign w:val="center"/>
            <w:hideMark/>
          </w:tcPr>
          <w:p w14:paraId="215FE59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67.39</w:t>
            </w:r>
          </w:p>
        </w:tc>
        <w:tc>
          <w:tcPr>
            <w:tcW w:w="0" w:type="auto"/>
            <w:vAlign w:val="center"/>
            <w:hideMark/>
          </w:tcPr>
          <w:p w14:paraId="76F889A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73.01</w:t>
            </w:r>
          </w:p>
        </w:tc>
        <w:tc>
          <w:tcPr>
            <w:tcW w:w="0" w:type="auto"/>
            <w:vAlign w:val="center"/>
            <w:hideMark/>
          </w:tcPr>
          <w:p w14:paraId="37C4DE46"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70.09</w:t>
            </w:r>
          </w:p>
        </w:tc>
        <w:tc>
          <w:tcPr>
            <w:tcW w:w="0" w:type="auto"/>
            <w:vAlign w:val="center"/>
            <w:hideMark/>
          </w:tcPr>
          <w:p w14:paraId="168FF5C7"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69.08</w:t>
            </w:r>
          </w:p>
        </w:tc>
      </w:tr>
      <w:tr w:rsidR="00D50CEE" w:rsidRPr="00D50CEE" w14:paraId="6849EF31" w14:textId="77777777" w:rsidTr="00D50CEE">
        <w:trPr>
          <w:tblCellSpacing w:w="15" w:type="dxa"/>
        </w:trPr>
        <w:tc>
          <w:tcPr>
            <w:tcW w:w="0" w:type="auto"/>
            <w:vAlign w:val="center"/>
            <w:hideMark/>
          </w:tcPr>
          <w:p w14:paraId="16D7FBFC"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76EAC1AB"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Gaussian NB</w:t>
            </w:r>
          </w:p>
        </w:tc>
        <w:tc>
          <w:tcPr>
            <w:tcW w:w="0" w:type="auto"/>
            <w:vAlign w:val="center"/>
            <w:hideMark/>
          </w:tcPr>
          <w:p w14:paraId="2714B62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56.16</w:t>
            </w:r>
          </w:p>
        </w:tc>
        <w:tc>
          <w:tcPr>
            <w:tcW w:w="0" w:type="auto"/>
            <w:vAlign w:val="center"/>
            <w:hideMark/>
          </w:tcPr>
          <w:p w14:paraId="609BF75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56.01</w:t>
            </w:r>
          </w:p>
        </w:tc>
        <w:tc>
          <w:tcPr>
            <w:tcW w:w="0" w:type="auto"/>
            <w:vAlign w:val="center"/>
            <w:hideMark/>
          </w:tcPr>
          <w:p w14:paraId="5A6BA468"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99.45</w:t>
            </w:r>
          </w:p>
        </w:tc>
        <w:tc>
          <w:tcPr>
            <w:tcW w:w="0" w:type="auto"/>
            <w:vAlign w:val="center"/>
            <w:hideMark/>
          </w:tcPr>
          <w:p w14:paraId="6E8F1CA5"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71.66</w:t>
            </w:r>
          </w:p>
        </w:tc>
        <w:tc>
          <w:tcPr>
            <w:tcW w:w="0" w:type="auto"/>
            <w:vAlign w:val="center"/>
            <w:hideMark/>
          </w:tcPr>
          <w:p w14:paraId="034AD13E"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65.67</w:t>
            </w:r>
          </w:p>
        </w:tc>
      </w:tr>
      <w:tr w:rsidR="00D50CEE" w:rsidRPr="00D50CEE" w14:paraId="04044386" w14:textId="77777777" w:rsidTr="00D50CEE">
        <w:trPr>
          <w:tblCellSpacing w:w="15" w:type="dxa"/>
        </w:trPr>
        <w:tc>
          <w:tcPr>
            <w:tcW w:w="0" w:type="auto"/>
            <w:vAlign w:val="center"/>
            <w:hideMark/>
          </w:tcPr>
          <w:p w14:paraId="776A296E"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3EC450C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Bernoulli NB</w:t>
            </w:r>
          </w:p>
        </w:tc>
        <w:tc>
          <w:tcPr>
            <w:tcW w:w="0" w:type="auto"/>
            <w:vAlign w:val="center"/>
            <w:hideMark/>
          </w:tcPr>
          <w:p w14:paraId="0C5AD64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61.84</w:t>
            </w:r>
          </w:p>
        </w:tc>
        <w:tc>
          <w:tcPr>
            <w:tcW w:w="0" w:type="auto"/>
            <w:vAlign w:val="center"/>
            <w:hideMark/>
          </w:tcPr>
          <w:p w14:paraId="13DA42C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65.46</w:t>
            </w:r>
          </w:p>
        </w:tc>
        <w:tc>
          <w:tcPr>
            <w:tcW w:w="0" w:type="auto"/>
            <w:vAlign w:val="center"/>
            <w:hideMark/>
          </w:tcPr>
          <w:p w14:paraId="3741550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66.75</w:t>
            </w:r>
          </w:p>
        </w:tc>
        <w:tc>
          <w:tcPr>
            <w:tcW w:w="0" w:type="auto"/>
            <w:vAlign w:val="center"/>
            <w:hideMark/>
          </w:tcPr>
          <w:p w14:paraId="60674A2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66.10</w:t>
            </w:r>
          </w:p>
        </w:tc>
        <w:tc>
          <w:tcPr>
            <w:tcW w:w="0" w:type="auto"/>
            <w:vAlign w:val="center"/>
            <w:hideMark/>
          </w:tcPr>
          <w:p w14:paraId="7595846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66.29</w:t>
            </w:r>
          </w:p>
        </w:tc>
      </w:tr>
      <w:tr w:rsidR="00D50CEE" w:rsidRPr="00D50CEE" w14:paraId="0F9B789E" w14:textId="77777777" w:rsidTr="00D50CEE">
        <w:trPr>
          <w:tblCellSpacing w:w="15" w:type="dxa"/>
        </w:trPr>
        <w:tc>
          <w:tcPr>
            <w:tcW w:w="0" w:type="auto"/>
            <w:vAlign w:val="center"/>
            <w:hideMark/>
          </w:tcPr>
          <w:p w14:paraId="329F2DD8"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Distance &amp; Margin-Based Models</w:t>
            </w:r>
          </w:p>
        </w:tc>
        <w:tc>
          <w:tcPr>
            <w:tcW w:w="0" w:type="auto"/>
            <w:vAlign w:val="center"/>
            <w:hideMark/>
          </w:tcPr>
          <w:p w14:paraId="1FAE79D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Linear SVM</w:t>
            </w:r>
          </w:p>
        </w:tc>
        <w:tc>
          <w:tcPr>
            <w:tcW w:w="0" w:type="auto"/>
            <w:vAlign w:val="center"/>
            <w:hideMark/>
          </w:tcPr>
          <w:p w14:paraId="03859DDB"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63.39</w:t>
            </w:r>
          </w:p>
        </w:tc>
        <w:tc>
          <w:tcPr>
            <w:tcW w:w="0" w:type="auto"/>
            <w:vAlign w:val="center"/>
            <w:hideMark/>
          </w:tcPr>
          <w:p w14:paraId="38057F2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62.45</w:t>
            </w:r>
          </w:p>
        </w:tc>
        <w:tc>
          <w:tcPr>
            <w:tcW w:w="0" w:type="auto"/>
            <w:vAlign w:val="center"/>
            <w:hideMark/>
          </w:tcPr>
          <w:p w14:paraId="45EABAA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86.07</w:t>
            </w:r>
          </w:p>
        </w:tc>
        <w:tc>
          <w:tcPr>
            <w:tcW w:w="0" w:type="auto"/>
            <w:vAlign w:val="center"/>
            <w:hideMark/>
          </w:tcPr>
          <w:p w14:paraId="590866B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72.38</w:t>
            </w:r>
          </w:p>
        </w:tc>
        <w:tc>
          <w:tcPr>
            <w:tcW w:w="0" w:type="auto"/>
            <w:vAlign w:val="center"/>
            <w:hideMark/>
          </w:tcPr>
          <w:p w14:paraId="3258B16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68.70</w:t>
            </w:r>
          </w:p>
        </w:tc>
      </w:tr>
      <w:tr w:rsidR="00D50CEE" w:rsidRPr="00D50CEE" w14:paraId="6EE1968A" w14:textId="77777777" w:rsidTr="00D50CEE">
        <w:trPr>
          <w:tblCellSpacing w:w="15" w:type="dxa"/>
        </w:trPr>
        <w:tc>
          <w:tcPr>
            <w:tcW w:w="0" w:type="auto"/>
            <w:vAlign w:val="center"/>
            <w:hideMark/>
          </w:tcPr>
          <w:p w14:paraId="5A6F0CF4"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7150D86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RBF SVM</w:t>
            </w:r>
          </w:p>
        </w:tc>
        <w:tc>
          <w:tcPr>
            <w:tcW w:w="0" w:type="auto"/>
            <w:vAlign w:val="center"/>
            <w:hideMark/>
          </w:tcPr>
          <w:p w14:paraId="458A2F7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65.38</w:t>
            </w:r>
          </w:p>
        </w:tc>
        <w:tc>
          <w:tcPr>
            <w:tcW w:w="0" w:type="auto"/>
            <w:vAlign w:val="center"/>
            <w:hideMark/>
          </w:tcPr>
          <w:p w14:paraId="614B0E6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67.92</w:t>
            </w:r>
          </w:p>
        </w:tc>
        <w:tc>
          <w:tcPr>
            <w:tcW w:w="0" w:type="auto"/>
            <w:vAlign w:val="center"/>
            <w:hideMark/>
          </w:tcPr>
          <w:p w14:paraId="1773F456"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71.79</w:t>
            </w:r>
          </w:p>
        </w:tc>
        <w:tc>
          <w:tcPr>
            <w:tcW w:w="0" w:type="auto"/>
            <w:vAlign w:val="center"/>
            <w:hideMark/>
          </w:tcPr>
          <w:p w14:paraId="5671513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69.80</w:t>
            </w:r>
          </w:p>
        </w:tc>
        <w:tc>
          <w:tcPr>
            <w:tcW w:w="0" w:type="auto"/>
            <w:vAlign w:val="center"/>
            <w:hideMark/>
          </w:tcPr>
          <w:p w14:paraId="5444CFB8"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65.59</w:t>
            </w:r>
          </w:p>
        </w:tc>
      </w:tr>
      <w:tr w:rsidR="00D50CEE" w:rsidRPr="00D50CEE" w14:paraId="0B0BD8D2" w14:textId="77777777" w:rsidTr="00D50CEE">
        <w:trPr>
          <w:tblCellSpacing w:w="15" w:type="dxa"/>
        </w:trPr>
        <w:tc>
          <w:tcPr>
            <w:tcW w:w="0" w:type="auto"/>
            <w:vAlign w:val="center"/>
            <w:hideMark/>
          </w:tcPr>
          <w:p w14:paraId="5F591E06"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78E1A99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Polynomial SVM</w:t>
            </w:r>
          </w:p>
        </w:tc>
        <w:tc>
          <w:tcPr>
            <w:tcW w:w="0" w:type="auto"/>
            <w:vAlign w:val="center"/>
            <w:hideMark/>
          </w:tcPr>
          <w:p w14:paraId="0434D949"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65.36</w:t>
            </w:r>
          </w:p>
        </w:tc>
        <w:tc>
          <w:tcPr>
            <w:tcW w:w="0" w:type="auto"/>
            <w:vAlign w:val="center"/>
            <w:hideMark/>
          </w:tcPr>
          <w:p w14:paraId="7A8072B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67.45</w:t>
            </w:r>
          </w:p>
        </w:tc>
        <w:tc>
          <w:tcPr>
            <w:tcW w:w="0" w:type="auto"/>
            <w:vAlign w:val="center"/>
            <w:hideMark/>
          </w:tcPr>
          <w:p w14:paraId="2CBD2B2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73.16</w:t>
            </w:r>
          </w:p>
        </w:tc>
        <w:tc>
          <w:tcPr>
            <w:tcW w:w="0" w:type="auto"/>
            <w:vAlign w:val="center"/>
            <w:hideMark/>
          </w:tcPr>
          <w:p w14:paraId="702E116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70.19</w:t>
            </w:r>
          </w:p>
        </w:tc>
        <w:tc>
          <w:tcPr>
            <w:tcW w:w="0" w:type="auto"/>
            <w:vAlign w:val="center"/>
            <w:hideMark/>
          </w:tcPr>
          <w:p w14:paraId="325F3F4A"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66.31</w:t>
            </w:r>
          </w:p>
        </w:tc>
      </w:tr>
      <w:tr w:rsidR="00D50CEE" w:rsidRPr="00D50CEE" w14:paraId="561D0E06" w14:textId="77777777" w:rsidTr="00D50CEE">
        <w:trPr>
          <w:tblCellSpacing w:w="15" w:type="dxa"/>
        </w:trPr>
        <w:tc>
          <w:tcPr>
            <w:tcW w:w="0" w:type="auto"/>
            <w:vAlign w:val="center"/>
            <w:hideMark/>
          </w:tcPr>
          <w:p w14:paraId="6089A915"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1C287EB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KNN</w:t>
            </w:r>
          </w:p>
        </w:tc>
        <w:tc>
          <w:tcPr>
            <w:tcW w:w="0" w:type="auto"/>
            <w:vAlign w:val="center"/>
            <w:hideMark/>
          </w:tcPr>
          <w:p w14:paraId="5891340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64.71</w:t>
            </w:r>
          </w:p>
        </w:tc>
        <w:tc>
          <w:tcPr>
            <w:tcW w:w="0" w:type="auto"/>
            <w:vAlign w:val="center"/>
            <w:hideMark/>
          </w:tcPr>
          <w:p w14:paraId="5584CCD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67.31</w:t>
            </w:r>
          </w:p>
        </w:tc>
        <w:tc>
          <w:tcPr>
            <w:tcW w:w="0" w:type="auto"/>
            <w:vAlign w:val="center"/>
            <w:hideMark/>
          </w:tcPr>
          <w:p w14:paraId="62B298E9"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71.33</w:t>
            </w:r>
          </w:p>
        </w:tc>
        <w:tc>
          <w:tcPr>
            <w:tcW w:w="0" w:type="auto"/>
            <w:vAlign w:val="center"/>
            <w:hideMark/>
          </w:tcPr>
          <w:p w14:paraId="78A10FD0"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69.26</w:t>
            </w:r>
          </w:p>
        </w:tc>
        <w:tc>
          <w:tcPr>
            <w:tcW w:w="0" w:type="auto"/>
            <w:vAlign w:val="center"/>
            <w:hideMark/>
          </w:tcPr>
          <w:p w14:paraId="55E8915A"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68.37</w:t>
            </w:r>
          </w:p>
        </w:tc>
      </w:tr>
      <w:tr w:rsidR="00D50CEE" w:rsidRPr="00D50CEE" w14:paraId="35B44148" w14:textId="77777777" w:rsidTr="00D50CEE">
        <w:trPr>
          <w:tblCellSpacing w:w="15" w:type="dxa"/>
        </w:trPr>
        <w:tc>
          <w:tcPr>
            <w:tcW w:w="0" w:type="auto"/>
            <w:vAlign w:val="center"/>
            <w:hideMark/>
          </w:tcPr>
          <w:p w14:paraId="33AFDE56" w14:textId="77777777" w:rsidR="00D50CEE" w:rsidRPr="00D50CEE" w:rsidRDefault="00D50CEE" w:rsidP="00D50CEE">
            <w:pPr>
              <w:contextualSpacing/>
              <w:jc w:val="center"/>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Ensemble Tree-Based Models</w:t>
            </w:r>
          </w:p>
        </w:tc>
        <w:tc>
          <w:tcPr>
            <w:tcW w:w="0" w:type="auto"/>
            <w:vAlign w:val="center"/>
            <w:hideMark/>
          </w:tcPr>
          <w:p w14:paraId="7CF1612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Decision Tree</w:t>
            </w:r>
          </w:p>
        </w:tc>
        <w:tc>
          <w:tcPr>
            <w:tcW w:w="0" w:type="auto"/>
            <w:vAlign w:val="center"/>
            <w:hideMark/>
          </w:tcPr>
          <w:p w14:paraId="532831AA"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65.26</w:t>
            </w:r>
          </w:p>
        </w:tc>
        <w:tc>
          <w:tcPr>
            <w:tcW w:w="0" w:type="auto"/>
            <w:vAlign w:val="center"/>
            <w:hideMark/>
          </w:tcPr>
          <w:p w14:paraId="4806183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67.74</w:t>
            </w:r>
          </w:p>
        </w:tc>
        <w:tc>
          <w:tcPr>
            <w:tcW w:w="0" w:type="auto"/>
            <w:vAlign w:val="center"/>
            <w:hideMark/>
          </w:tcPr>
          <w:p w14:paraId="2CDB6DB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71.94</w:t>
            </w:r>
          </w:p>
        </w:tc>
        <w:tc>
          <w:tcPr>
            <w:tcW w:w="0" w:type="auto"/>
            <w:vAlign w:val="center"/>
            <w:hideMark/>
          </w:tcPr>
          <w:p w14:paraId="790DC63F"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69.78</w:t>
            </w:r>
          </w:p>
        </w:tc>
        <w:tc>
          <w:tcPr>
            <w:tcW w:w="0" w:type="auto"/>
            <w:vAlign w:val="center"/>
            <w:hideMark/>
          </w:tcPr>
          <w:p w14:paraId="207B4FE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68.95</w:t>
            </w:r>
          </w:p>
        </w:tc>
      </w:tr>
      <w:tr w:rsidR="00D50CEE" w:rsidRPr="00D50CEE" w14:paraId="61C34665" w14:textId="77777777" w:rsidTr="00D50CEE">
        <w:trPr>
          <w:tblCellSpacing w:w="15" w:type="dxa"/>
        </w:trPr>
        <w:tc>
          <w:tcPr>
            <w:tcW w:w="0" w:type="auto"/>
            <w:vAlign w:val="center"/>
            <w:hideMark/>
          </w:tcPr>
          <w:p w14:paraId="5F393920"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315175E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Random Forest</w:t>
            </w:r>
          </w:p>
        </w:tc>
        <w:tc>
          <w:tcPr>
            <w:tcW w:w="0" w:type="auto"/>
            <w:vAlign w:val="center"/>
            <w:hideMark/>
          </w:tcPr>
          <w:p w14:paraId="1D24699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65.25</w:t>
            </w:r>
          </w:p>
        </w:tc>
        <w:tc>
          <w:tcPr>
            <w:tcW w:w="0" w:type="auto"/>
            <w:vAlign w:val="center"/>
            <w:hideMark/>
          </w:tcPr>
          <w:p w14:paraId="18F2D34B"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67.62</w:t>
            </w:r>
          </w:p>
        </w:tc>
        <w:tc>
          <w:tcPr>
            <w:tcW w:w="0" w:type="auto"/>
            <w:vAlign w:val="center"/>
            <w:hideMark/>
          </w:tcPr>
          <w:p w14:paraId="36A0A22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72.25</w:t>
            </w:r>
          </w:p>
        </w:tc>
        <w:tc>
          <w:tcPr>
            <w:tcW w:w="0" w:type="auto"/>
            <w:vAlign w:val="center"/>
            <w:hideMark/>
          </w:tcPr>
          <w:p w14:paraId="4B78F3E7"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69.86</w:t>
            </w:r>
          </w:p>
        </w:tc>
        <w:tc>
          <w:tcPr>
            <w:tcW w:w="0" w:type="auto"/>
            <w:vAlign w:val="center"/>
            <w:hideMark/>
          </w:tcPr>
          <w:p w14:paraId="7A31C0ED"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69.06</w:t>
            </w:r>
          </w:p>
        </w:tc>
      </w:tr>
      <w:tr w:rsidR="00D50CEE" w:rsidRPr="00D50CEE" w14:paraId="32778030" w14:textId="77777777" w:rsidTr="00D50CEE">
        <w:trPr>
          <w:tblCellSpacing w:w="15" w:type="dxa"/>
        </w:trPr>
        <w:tc>
          <w:tcPr>
            <w:tcW w:w="0" w:type="auto"/>
            <w:vAlign w:val="center"/>
            <w:hideMark/>
          </w:tcPr>
          <w:p w14:paraId="1B708C1A"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47BB7B2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Extra Trees</w:t>
            </w:r>
          </w:p>
        </w:tc>
        <w:tc>
          <w:tcPr>
            <w:tcW w:w="0" w:type="auto"/>
            <w:vAlign w:val="center"/>
            <w:hideMark/>
          </w:tcPr>
          <w:p w14:paraId="7E6FE8AB"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65.24</w:t>
            </w:r>
          </w:p>
        </w:tc>
        <w:tc>
          <w:tcPr>
            <w:tcW w:w="0" w:type="auto"/>
            <w:vAlign w:val="center"/>
            <w:hideMark/>
          </w:tcPr>
          <w:p w14:paraId="263DEB19"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67.71</w:t>
            </w:r>
          </w:p>
        </w:tc>
        <w:tc>
          <w:tcPr>
            <w:tcW w:w="0" w:type="auto"/>
            <w:vAlign w:val="center"/>
            <w:hideMark/>
          </w:tcPr>
          <w:p w14:paraId="3070E50A"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71.94</w:t>
            </w:r>
          </w:p>
        </w:tc>
        <w:tc>
          <w:tcPr>
            <w:tcW w:w="0" w:type="auto"/>
            <w:vAlign w:val="center"/>
            <w:hideMark/>
          </w:tcPr>
          <w:p w14:paraId="760F8AFE"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69.76</w:t>
            </w:r>
          </w:p>
        </w:tc>
        <w:tc>
          <w:tcPr>
            <w:tcW w:w="0" w:type="auto"/>
            <w:vAlign w:val="center"/>
            <w:hideMark/>
          </w:tcPr>
          <w:p w14:paraId="4D5434B9"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69.00</w:t>
            </w:r>
          </w:p>
        </w:tc>
      </w:tr>
      <w:tr w:rsidR="00D50CEE" w:rsidRPr="00D50CEE" w14:paraId="6B10464E" w14:textId="77777777" w:rsidTr="00D50CEE">
        <w:trPr>
          <w:tblCellSpacing w:w="15" w:type="dxa"/>
        </w:trPr>
        <w:tc>
          <w:tcPr>
            <w:tcW w:w="0" w:type="auto"/>
            <w:vAlign w:val="center"/>
            <w:hideMark/>
          </w:tcPr>
          <w:p w14:paraId="2D7D8941"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440757F5"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Gradient Boosting (BEST)</w:t>
            </w:r>
          </w:p>
        </w:tc>
        <w:tc>
          <w:tcPr>
            <w:tcW w:w="0" w:type="auto"/>
            <w:vAlign w:val="center"/>
            <w:hideMark/>
          </w:tcPr>
          <w:p w14:paraId="68C62792"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65.51</w:t>
            </w:r>
          </w:p>
        </w:tc>
        <w:tc>
          <w:tcPr>
            <w:tcW w:w="0" w:type="auto"/>
            <w:vAlign w:val="center"/>
            <w:hideMark/>
          </w:tcPr>
          <w:p w14:paraId="14E8F68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67.69</w:t>
            </w:r>
          </w:p>
        </w:tc>
        <w:tc>
          <w:tcPr>
            <w:tcW w:w="0" w:type="auto"/>
            <w:vAlign w:val="center"/>
            <w:hideMark/>
          </w:tcPr>
          <w:p w14:paraId="4845DDB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72.94</w:t>
            </w:r>
          </w:p>
        </w:tc>
        <w:tc>
          <w:tcPr>
            <w:tcW w:w="0" w:type="auto"/>
            <w:vAlign w:val="center"/>
            <w:hideMark/>
          </w:tcPr>
          <w:p w14:paraId="3B56FB4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70.22</w:t>
            </w:r>
          </w:p>
        </w:tc>
        <w:tc>
          <w:tcPr>
            <w:tcW w:w="0" w:type="auto"/>
            <w:vAlign w:val="center"/>
            <w:hideMark/>
          </w:tcPr>
          <w:p w14:paraId="12F20E0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b/>
                <w:bCs/>
                <w:sz w:val="24"/>
                <w:szCs w:val="24"/>
              </w:rPr>
              <w:t>69.29</w:t>
            </w:r>
          </w:p>
        </w:tc>
      </w:tr>
      <w:tr w:rsidR="00D50CEE" w:rsidRPr="00D50CEE" w14:paraId="5B062E9B" w14:textId="77777777" w:rsidTr="00D50CEE">
        <w:trPr>
          <w:tblCellSpacing w:w="15" w:type="dxa"/>
        </w:trPr>
        <w:tc>
          <w:tcPr>
            <w:tcW w:w="0" w:type="auto"/>
            <w:vAlign w:val="center"/>
            <w:hideMark/>
          </w:tcPr>
          <w:p w14:paraId="6A660788" w14:textId="77777777" w:rsidR="00D50CEE" w:rsidRPr="00D50CEE" w:rsidRDefault="00D50CEE" w:rsidP="00D50CEE">
            <w:pPr>
              <w:contextualSpacing/>
              <w:rPr>
                <w:rFonts w:ascii="Times New Roman" w:eastAsia="Times New Roman" w:hAnsi="Times New Roman" w:cs="Times New Roman"/>
                <w:sz w:val="24"/>
                <w:szCs w:val="24"/>
              </w:rPr>
            </w:pPr>
          </w:p>
        </w:tc>
        <w:tc>
          <w:tcPr>
            <w:tcW w:w="0" w:type="auto"/>
            <w:vAlign w:val="center"/>
            <w:hideMark/>
          </w:tcPr>
          <w:p w14:paraId="673BED81"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AdaBoost</w:t>
            </w:r>
          </w:p>
        </w:tc>
        <w:tc>
          <w:tcPr>
            <w:tcW w:w="0" w:type="auto"/>
            <w:vAlign w:val="center"/>
            <w:hideMark/>
          </w:tcPr>
          <w:p w14:paraId="01136CCC"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64.89</w:t>
            </w:r>
          </w:p>
        </w:tc>
        <w:tc>
          <w:tcPr>
            <w:tcW w:w="0" w:type="auto"/>
            <w:vAlign w:val="center"/>
            <w:hideMark/>
          </w:tcPr>
          <w:p w14:paraId="6141760B"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67.40</w:t>
            </w:r>
          </w:p>
        </w:tc>
        <w:tc>
          <w:tcPr>
            <w:tcW w:w="0" w:type="auto"/>
            <w:vAlign w:val="center"/>
            <w:hideMark/>
          </w:tcPr>
          <w:p w14:paraId="275A7D15"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71.67</w:t>
            </w:r>
          </w:p>
        </w:tc>
        <w:tc>
          <w:tcPr>
            <w:tcW w:w="0" w:type="auto"/>
            <w:vAlign w:val="center"/>
            <w:hideMark/>
          </w:tcPr>
          <w:p w14:paraId="557D61F3"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69.47</w:t>
            </w:r>
          </w:p>
        </w:tc>
        <w:tc>
          <w:tcPr>
            <w:tcW w:w="0" w:type="auto"/>
            <w:vAlign w:val="center"/>
            <w:hideMark/>
          </w:tcPr>
          <w:p w14:paraId="46238084" w14:textId="77777777"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68.38</w:t>
            </w:r>
          </w:p>
        </w:tc>
      </w:tr>
    </w:tbl>
    <w:p w14:paraId="27938E21" w14:textId="77777777" w:rsidR="00D50CEE" w:rsidRPr="00D50CEE" w:rsidRDefault="00D50CEE" w:rsidP="00D50CEE">
      <w:pPr>
        <w:contextualSpacing/>
        <w:rPr>
          <w:rFonts w:ascii="Times New Roman" w:eastAsia="Times New Roman" w:hAnsi="Times New Roman" w:cs="Times New Roman"/>
          <w:sz w:val="24"/>
          <w:szCs w:val="24"/>
        </w:rPr>
      </w:pPr>
    </w:p>
    <w:p w14:paraId="48D03127" w14:textId="77777777" w:rsidR="00D50CEE" w:rsidRPr="00D50CEE" w:rsidRDefault="00D50CEE" w:rsidP="00D50CEE">
      <w:pPr>
        <w:contextualSpacing/>
        <w:rPr>
          <w:rFonts w:ascii="Times New Roman" w:eastAsia="Times New Roman" w:hAnsi="Times New Roman" w:cs="Times New Roman"/>
          <w:sz w:val="24"/>
          <w:szCs w:val="24"/>
        </w:rPr>
      </w:pPr>
    </w:p>
    <w:p w14:paraId="4ACFC5DC" w14:textId="5BC4DFF1"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Gradient Boosting outperformed all other models, making it the most effective model for predicting salary category.</w:t>
      </w:r>
    </w:p>
    <w:p w14:paraId="3E4816F9" w14:textId="77777777" w:rsidR="00D50CEE" w:rsidRPr="00D50CEE" w:rsidRDefault="00D50CEE" w:rsidP="00D50CEE">
      <w:pPr>
        <w:contextualSpacing/>
        <w:rPr>
          <w:rFonts w:ascii="Times New Roman" w:eastAsia="Times New Roman" w:hAnsi="Times New Roman" w:cs="Times New Roman"/>
          <w:sz w:val="24"/>
          <w:szCs w:val="24"/>
        </w:rPr>
      </w:pPr>
    </w:p>
    <w:p w14:paraId="1FE65CC5" w14:textId="6F1BA3F0"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Feature Importance and SHAP Insights</w:t>
      </w:r>
    </w:p>
    <w:p w14:paraId="7534367F" w14:textId="77777777" w:rsidR="00D50CEE" w:rsidRPr="00D50CEE" w:rsidRDefault="00D50CEE" w:rsidP="00D50CEE">
      <w:pPr>
        <w:outlineLvl w:val="1"/>
        <w:rPr>
          <w:rFonts w:ascii="Times New Roman" w:eastAsia="Times New Roman" w:hAnsi="Times New Roman" w:cs="Times New Roman"/>
          <w:b/>
          <w:bCs/>
          <w:sz w:val="24"/>
          <w:szCs w:val="24"/>
        </w:rPr>
      </w:pPr>
    </w:p>
    <w:p w14:paraId="6381AEDB" w14:textId="77777777"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SHAP analysis reveals that experience level is the strongest predictor of salary, followed by job title group, remote work arrangement, work year, employment type, company size, and employee residence. Senior and executive roles dominate the upper salary range, while ML/AI engineering, other technical roles, data science, and analytics roles drive salary upward. Remote work meaningfully shifts salary predictions, and newer work years reflect updated market salary trends. Full</w:t>
      </w:r>
      <w:r w:rsidRPr="00D50CEE">
        <w:rPr>
          <w:rFonts w:ascii="Times New Roman" w:eastAsia="Times New Roman" w:hAnsi="Times New Roman" w:cs="Times New Roman"/>
          <w:sz w:val="24"/>
          <w:szCs w:val="24"/>
        </w:rPr>
        <w:noBreakHyphen/>
        <w:t xml:space="preserve">time roles predict higher </w:t>
      </w:r>
      <w:proofErr w:type="gramStart"/>
      <w:r w:rsidRPr="00D50CEE">
        <w:rPr>
          <w:rFonts w:ascii="Times New Roman" w:eastAsia="Times New Roman" w:hAnsi="Times New Roman" w:cs="Times New Roman"/>
          <w:sz w:val="24"/>
          <w:szCs w:val="24"/>
        </w:rPr>
        <w:t>salary</w:t>
      </w:r>
      <w:proofErr w:type="gramEnd"/>
      <w:r w:rsidRPr="00D50CEE">
        <w:rPr>
          <w:rFonts w:ascii="Times New Roman" w:eastAsia="Times New Roman" w:hAnsi="Times New Roman" w:cs="Times New Roman"/>
          <w:sz w:val="24"/>
          <w:szCs w:val="24"/>
        </w:rPr>
        <w:t>, and larger companies tend to offer higher compensation. Employee residence has the smallest SHAP impact in the reduced model. These insights align with real</w:t>
      </w:r>
      <w:r w:rsidRPr="00D50CEE">
        <w:rPr>
          <w:rFonts w:ascii="Times New Roman" w:eastAsia="Times New Roman" w:hAnsi="Times New Roman" w:cs="Times New Roman"/>
          <w:sz w:val="24"/>
          <w:szCs w:val="24"/>
        </w:rPr>
        <w:noBreakHyphen/>
        <w:t>world compensation logic and reinforce the model’s reliability.</w:t>
      </w:r>
    </w:p>
    <w:p w14:paraId="15D7BFF6" w14:textId="77777777" w:rsidR="009B0191" w:rsidRDefault="009B0191" w:rsidP="00D50CEE">
      <w:pPr>
        <w:contextualSpacing/>
        <w:rPr>
          <w:rFonts w:ascii="Times New Roman" w:eastAsia="Times New Roman" w:hAnsi="Times New Roman" w:cs="Times New Roman"/>
          <w:sz w:val="24"/>
          <w:szCs w:val="24"/>
        </w:rPr>
      </w:pPr>
    </w:p>
    <w:p w14:paraId="47EACC26" w14:textId="625E75BC" w:rsidR="009B0191" w:rsidRPr="009B0191" w:rsidRDefault="009B0191" w:rsidP="00D50CEE">
      <w:pPr>
        <w:contextualSpacing/>
        <w:rPr>
          <w:rFonts w:ascii="Times New Roman" w:eastAsia="Times New Roman" w:hAnsi="Times New Roman" w:cs="Times New Roman"/>
          <w:b/>
          <w:bCs/>
          <w:sz w:val="24"/>
          <w:szCs w:val="24"/>
          <w:u w:val="single"/>
        </w:rPr>
      </w:pPr>
      <w:r w:rsidRPr="009B0191">
        <w:rPr>
          <w:rFonts w:ascii="Times New Roman" w:eastAsia="Times New Roman" w:hAnsi="Times New Roman" w:cs="Times New Roman"/>
          <w:b/>
          <w:bCs/>
          <w:sz w:val="24"/>
          <w:szCs w:val="24"/>
          <w:u w:val="single"/>
        </w:rPr>
        <w:lastRenderedPageBreak/>
        <w:t xml:space="preserve">Table 3: </w:t>
      </w:r>
      <w:r w:rsidRPr="009B0191">
        <w:rPr>
          <w:rFonts w:ascii="Times New Roman" w:eastAsia="Times New Roman" w:hAnsi="Times New Roman" w:cs="Times New Roman"/>
          <w:b/>
          <w:bCs/>
          <w:sz w:val="24"/>
          <w:szCs w:val="24"/>
          <w:u w:val="single"/>
        </w:rPr>
        <w:t>Feature Importance and SHAP</w:t>
      </w:r>
    </w:p>
    <w:p w14:paraId="55D87148" w14:textId="77777777" w:rsidR="009B0191" w:rsidRDefault="009B0191" w:rsidP="00D50CEE">
      <w:pPr>
        <w:contextualSpacing/>
        <w:rPr>
          <w:rFonts w:ascii="Times New Roman" w:eastAsia="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964"/>
        <w:gridCol w:w="6730"/>
      </w:tblGrid>
      <w:tr w:rsidR="009B0191" w:rsidRPr="009B0191" w14:paraId="2BBB4C18" w14:textId="77777777" w:rsidTr="009B0191">
        <w:trPr>
          <w:tblHeader/>
          <w:tblCellSpacing w:w="15" w:type="dxa"/>
        </w:trPr>
        <w:tc>
          <w:tcPr>
            <w:tcW w:w="0" w:type="auto"/>
            <w:vAlign w:val="center"/>
            <w:hideMark/>
          </w:tcPr>
          <w:p w14:paraId="77F22763"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Rank</w:t>
            </w:r>
          </w:p>
        </w:tc>
        <w:tc>
          <w:tcPr>
            <w:tcW w:w="0" w:type="auto"/>
            <w:vAlign w:val="center"/>
            <w:hideMark/>
          </w:tcPr>
          <w:p w14:paraId="1FDDEFA3"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Model Variable</w:t>
            </w:r>
          </w:p>
        </w:tc>
        <w:tc>
          <w:tcPr>
            <w:tcW w:w="0" w:type="auto"/>
            <w:vAlign w:val="center"/>
            <w:hideMark/>
          </w:tcPr>
          <w:p w14:paraId="203EFEA2"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What This Means</w:t>
            </w:r>
          </w:p>
        </w:tc>
      </w:tr>
      <w:tr w:rsidR="009B0191" w:rsidRPr="009B0191" w14:paraId="5039B435" w14:textId="77777777" w:rsidTr="009B0191">
        <w:trPr>
          <w:tblCellSpacing w:w="15" w:type="dxa"/>
        </w:trPr>
        <w:tc>
          <w:tcPr>
            <w:tcW w:w="0" w:type="auto"/>
            <w:vAlign w:val="center"/>
            <w:hideMark/>
          </w:tcPr>
          <w:p w14:paraId="4B62F3E2"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1</w:t>
            </w:r>
          </w:p>
        </w:tc>
        <w:tc>
          <w:tcPr>
            <w:tcW w:w="0" w:type="auto"/>
            <w:vAlign w:val="center"/>
            <w:hideMark/>
          </w:tcPr>
          <w:p w14:paraId="2E3303AA"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Experience Level</w:t>
            </w:r>
          </w:p>
        </w:tc>
        <w:tc>
          <w:tcPr>
            <w:tcW w:w="0" w:type="auto"/>
            <w:vAlign w:val="center"/>
            <w:hideMark/>
          </w:tcPr>
          <w:p w14:paraId="76204D12"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Experience level is the strongest driver of salary — senior and executive roles push pay upward the most.</w:t>
            </w:r>
          </w:p>
        </w:tc>
      </w:tr>
      <w:tr w:rsidR="009B0191" w:rsidRPr="009B0191" w14:paraId="67420796" w14:textId="77777777" w:rsidTr="009B0191">
        <w:trPr>
          <w:tblCellSpacing w:w="15" w:type="dxa"/>
        </w:trPr>
        <w:tc>
          <w:tcPr>
            <w:tcW w:w="0" w:type="auto"/>
            <w:vAlign w:val="center"/>
            <w:hideMark/>
          </w:tcPr>
          <w:p w14:paraId="50C33B15"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2</w:t>
            </w:r>
          </w:p>
        </w:tc>
        <w:tc>
          <w:tcPr>
            <w:tcW w:w="0" w:type="auto"/>
            <w:vAlign w:val="center"/>
            <w:hideMark/>
          </w:tcPr>
          <w:p w14:paraId="6CBE68B2"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Job Title Group</w:t>
            </w:r>
          </w:p>
        </w:tc>
        <w:tc>
          <w:tcPr>
            <w:tcW w:w="0" w:type="auto"/>
            <w:vAlign w:val="center"/>
            <w:hideMark/>
          </w:tcPr>
          <w:p w14:paraId="5FC36D39"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Job type heavily influences compensation — analytics, ML/AI, and data science roles command higher salaries.</w:t>
            </w:r>
          </w:p>
        </w:tc>
      </w:tr>
      <w:tr w:rsidR="009B0191" w:rsidRPr="009B0191" w14:paraId="09EB3D50" w14:textId="77777777" w:rsidTr="009B0191">
        <w:trPr>
          <w:tblCellSpacing w:w="15" w:type="dxa"/>
        </w:trPr>
        <w:tc>
          <w:tcPr>
            <w:tcW w:w="0" w:type="auto"/>
            <w:vAlign w:val="center"/>
            <w:hideMark/>
          </w:tcPr>
          <w:p w14:paraId="6B29E433"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3</w:t>
            </w:r>
          </w:p>
        </w:tc>
        <w:tc>
          <w:tcPr>
            <w:tcW w:w="0" w:type="auto"/>
            <w:vAlign w:val="center"/>
            <w:hideMark/>
          </w:tcPr>
          <w:p w14:paraId="41246925"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Company Size</w:t>
            </w:r>
          </w:p>
        </w:tc>
        <w:tc>
          <w:tcPr>
            <w:tcW w:w="0" w:type="auto"/>
            <w:vAlign w:val="center"/>
            <w:hideMark/>
          </w:tcPr>
          <w:p w14:paraId="2CE28A95"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 xml:space="preserve">Larger companies tend to offer higher salary </w:t>
            </w:r>
            <w:proofErr w:type="gramStart"/>
            <w:r w:rsidRPr="009B0191">
              <w:rPr>
                <w:rFonts w:ascii="Times New Roman" w:eastAsia="Times New Roman" w:hAnsi="Times New Roman" w:cs="Times New Roman"/>
                <w:sz w:val="24"/>
                <w:szCs w:val="24"/>
              </w:rPr>
              <w:t>bands</w:t>
            </w:r>
            <w:proofErr w:type="gramEnd"/>
            <w:r w:rsidRPr="009B0191">
              <w:rPr>
                <w:rFonts w:ascii="Times New Roman" w:eastAsia="Times New Roman" w:hAnsi="Times New Roman" w:cs="Times New Roman"/>
                <w:sz w:val="24"/>
                <w:szCs w:val="24"/>
              </w:rPr>
              <w:t>; small companies show lower base pay.</w:t>
            </w:r>
          </w:p>
        </w:tc>
      </w:tr>
      <w:tr w:rsidR="009B0191" w:rsidRPr="009B0191" w14:paraId="2F2BE54A" w14:textId="77777777" w:rsidTr="009B0191">
        <w:trPr>
          <w:tblCellSpacing w:w="15" w:type="dxa"/>
        </w:trPr>
        <w:tc>
          <w:tcPr>
            <w:tcW w:w="0" w:type="auto"/>
            <w:vAlign w:val="center"/>
            <w:hideMark/>
          </w:tcPr>
          <w:p w14:paraId="209BEEF8"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4</w:t>
            </w:r>
          </w:p>
        </w:tc>
        <w:tc>
          <w:tcPr>
            <w:tcW w:w="0" w:type="auto"/>
            <w:vAlign w:val="center"/>
            <w:hideMark/>
          </w:tcPr>
          <w:p w14:paraId="192B6FD2"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Employment Type</w:t>
            </w:r>
          </w:p>
        </w:tc>
        <w:tc>
          <w:tcPr>
            <w:tcW w:w="0" w:type="auto"/>
            <w:vAlign w:val="center"/>
            <w:hideMark/>
          </w:tcPr>
          <w:p w14:paraId="326D88F5"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Full</w:t>
            </w:r>
            <w:r w:rsidRPr="009B0191">
              <w:rPr>
                <w:rFonts w:ascii="Times New Roman" w:eastAsia="Times New Roman" w:hAnsi="Times New Roman" w:cs="Times New Roman"/>
                <w:sz w:val="24"/>
                <w:szCs w:val="24"/>
              </w:rPr>
              <w:noBreakHyphen/>
              <w:t>time roles pay more; part</w:t>
            </w:r>
            <w:r w:rsidRPr="009B0191">
              <w:rPr>
                <w:rFonts w:ascii="Times New Roman" w:eastAsia="Times New Roman" w:hAnsi="Times New Roman" w:cs="Times New Roman"/>
                <w:sz w:val="24"/>
                <w:szCs w:val="24"/>
              </w:rPr>
              <w:noBreakHyphen/>
              <w:t>time and contract roles reduce predicted salary.</w:t>
            </w:r>
          </w:p>
        </w:tc>
      </w:tr>
      <w:tr w:rsidR="009B0191" w:rsidRPr="009B0191" w14:paraId="595DCBBC" w14:textId="77777777" w:rsidTr="009B0191">
        <w:trPr>
          <w:tblCellSpacing w:w="15" w:type="dxa"/>
        </w:trPr>
        <w:tc>
          <w:tcPr>
            <w:tcW w:w="0" w:type="auto"/>
            <w:vAlign w:val="center"/>
            <w:hideMark/>
          </w:tcPr>
          <w:p w14:paraId="420809E5"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5</w:t>
            </w:r>
          </w:p>
        </w:tc>
        <w:tc>
          <w:tcPr>
            <w:tcW w:w="0" w:type="auto"/>
            <w:vAlign w:val="center"/>
            <w:hideMark/>
          </w:tcPr>
          <w:p w14:paraId="49707101"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Employee Remote Work</w:t>
            </w:r>
          </w:p>
        </w:tc>
        <w:tc>
          <w:tcPr>
            <w:tcW w:w="0" w:type="auto"/>
            <w:vAlign w:val="center"/>
            <w:hideMark/>
          </w:tcPr>
          <w:p w14:paraId="79AC12E5"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Remote vs. hybrid vs. on</w:t>
            </w:r>
            <w:r w:rsidRPr="009B0191">
              <w:rPr>
                <w:rFonts w:ascii="Times New Roman" w:eastAsia="Times New Roman" w:hAnsi="Times New Roman" w:cs="Times New Roman"/>
                <w:sz w:val="24"/>
                <w:szCs w:val="24"/>
              </w:rPr>
              <w:noBreakHyphen/>
              <w:t>site work affects salary bands depending on company policy and location flexibility.</w:t>
            </w:r>
          </w:p>
        </w:tc>
      </w:tr>
      <w:tr w:rsidR="009B0191" w:rsidRPr="009B0191" w14:paraId="0DA89B43" w14:textId="77777777" w:rsidTr="009B0191">
        <w:trPr>
          <w:tblCellSpacing w:w="15" w:type="dxa"/>
        </w:trPr>
        <w:tc>
          <w:tcPr>
            <w:tcW w:w="0" w:type="auto"/>
            <w:vAlign w:val="center"/>
            <w:hideMark/>
          </w:tcPr>
          <w:p w14:paraId="7E5DBE8A"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6</w:t>
            </w:r>
          </w:p>
        </w:tc>
        <w:tc>
          <w:tcPr>
            <w:tcW w:w="0" w:type="auto"/>
            <w:vAlign w:val="center"/>
            <w:hideMark/>
          </w:tcPr>
          <w:p w14:paraId="6D63ACC4"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Work Year</w:t>
            </w:r>
          </w:p>
        </w:tc>
        <w:tc>
          <w:tcPr>
            <w:tcW w:w="0" w:type="auto"/>
            <w:vAlign w:val="center"/>
            <w:hideMark/>
          </w:tcPr>
          <w:p w14:paraId="23E7C621"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More recent work years reflect updated market salary trends — newer years push salary predictions upward.</w:t>
            </w:r>
          </w:p>
        </w:tc>
      </w:tr>
      <w:tr w:rsidR="009B0191" w:rsidRPr="009B0191" w14:paraId="1E01123A" w14:textId="77777777" w:rsidTr="009B0191">
        <w:trPr>
          <w:tblCellSpacing w:w="15" w:type="dxa"/>
        </w:trPr>
        <w:tc>
          <w:tcPr>
            <w:tcW w:w="0" w:type="auto"/>
            <w:vAlign w:val="center"/>
            <w:hideMark/>
          </w:tcPr>
          <w:p w14:paraId="18590075" w14:textId="77777777" w:rsidR="009B0191" w:rsidRPr="009B0191" w:rsidRDefault="009B0191" w:rsidP="009B0191">
            <w:pPr>
              <w:jc w:val="center"/>
              <w:rPr>
                <w:rFonts w:ascii="Times New Roman" w:eastAsia="Times New Roman" w:hAnsi="Times New Roman" w:cs="Times New Roman"/>
                <w:b/>
                <w:bCs/>
                <w:sz w:val="24"/>
                <w:szCs w:val="24"/>
              </w:rPr>
            </w:pPr>
            <w:r w:rsidRPr="009B0191">
              <w:rPr>
                <w:rFonts w:ascii="Times New Roman" w:eastAsia="Times New Roman" w:hAnsi="Times New Roman" w:cs="Times New Roman"/>
                <w:b/>
                <w:bCs/>
                <w:sz w:val="24"/>
                <w:szCs w:val="24"/>
              </w:rPr>
              <w:t>7</w:t>
            </w:r>
          </w:p>
        </w:tc>
        <w:tc>
          <w:tcPr>
            <w:tcW w:w="0" w:type="auto"/>
            <w:vAlign w:val="center"/>
            <w:hideMark/>
          </w:tcPr>
          <w:p w14:paraId="297334F0"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Employee Residence</w:t>
            </w:r>
          </w:p>
        </w:tc>
        <w:tc>
          <w:tcPr>
            <w:tcW w:w="0" w:type="auto"/>
            <w:vAlign w:val="center"/>
            <w:hideMark/>
          </w:tcPr>
          <w:p w14:paraId="43C2AA03" w14:textId="77777777" w:rsidR="009B0191" w:rsidRPr="009B0191" w:rsidRDefault="009B0191" w:rsidP="009B0191">
            <w:pPr>
              <w:rPr>
                <w:rFonts w:ascii="Times New Roman" w:eastAsia="Times New Roman" w:hAnsi="Times New Roman" w:cs="Times New Roman"/>
                <w:sz w:val="24"/>
                <w:szCs w:val="24"/>
              </w:rPr>
            </w:pPr>
            <w:r w:rsidRPr="009B0191">
              <w:rPr>
                <w:rFonts w:ascii="Times New Roman" w:eastAsia="Times New Roman" w:hAnsi="Times New Roman" w:cs="Times New Roman"/>
                <w:sz w:val="24"/>
                <w:szCs w:val="24"/>
              </w:rPr>
              <w:t>Where the employee lives affects salary — U.S. residence increases predicted pay; other countries lower it.</w:t>
            </w:r>
          </w:p>
        </w:tc>
      </w:tr>
    </w:tbl>
    <w:p w14:paraId="79BBA15A" w14:textId="77777777" w:rsidR="009B0191" w:rsidRDefault="009B0191" w:rsidP="00D50CEE">
      <w:pPr>
        <w:contextualSpacing/>
        <w:rPr>
          <w:rFonts w:ascii="Times New Roman" w:eastAsia="Times New Roman" w:hAnsi="Times New Roman" w:cs="Times New Roman"/>
          <w:sz w:val="24"/>
          <w:szCs w:val="24"/>
        </w:rPr>
      </w:pPr>
    </w:p>
    <w:p w14:paraId="13464ADF" w14:textId="77777777" w:rsidR="00D50CEE" w:rsidRPr="00D50CEE" w:rsidRDefault="00D50CEE" w:rsidP="00D50CEE">
      <w:pPr>
        <w:contextualSpacing/>
        <w:rPr>
          <w:rFonts w:ascii="Times New Roman" w:eastAsia="Times New Roman" w:hAnsi="Times New Roman" w:cs="Times New Roman"/>
          <w:sz w:val="24"/>
          <w:szCs w:val="24"/>
        </w:rPr>
      </w:pPr>
    </w:p>
    <w:p w14:paraId="011DF7BB" w14:textId="3BBFE68D"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Model Limitations</w:t>
      </w:r>
    </w:p>
    <w:p w14:paraId="10B6469E" w14:textId="77777777" w:rsidR="00D50CEE" w:rsidRPr="00D50CEE" w:rsidRDefault="00D50CEE" w:rsidP="00D50CEE">
      <w:pPr>
        <w:outlineLvl w:val="1"/>
        <w:rPr>
          <w:rFonts w:ascii="Times New Roman" w:eastAsia="Times New Roman" w:hAnsi="Times New Roman" w:cs="Times New Roman"/>
          <w:b/>
          <w:bCs/>
          <w:sz w:val="24"/>
          <w:szCs w:val="24"/>
        </w:rPr>
      </w:pPr>
    </w:p>
    <w:p w14:paraId="75B5712F" w14:textId="77777777"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The model cannot explain salary differences beyond the features provided in the dataset. It cannot guarantee perfect accuracy, as salary data is inherently complex and influenced by factors not captured in the dataset, such as negotiation, bonuses, internal policies, and market fluctuations. The model also cannot account for future changes in hiring trends, remote work policies, or economic conditions. If the dataset reflects existing market biases, the model may unintentionally learn and reproduce them. These limitations underscore the importance of using the model as a decision</w:t>
      </w:r>
      <w:r w:rsidRPr="00D50CEE">
        <w:rPr>
          <w:rFonts w:ascii="Times New Roman" w:eastAsia="Times New Roman" w:hAnsi="Times New Roman" w:cs="Times New Roman"/>
          <w:sz w:val="24"/>
          <w:szCs w:val="24"/>
        </w:rPr>
        <w:noBreakHyphen/>
        <w:t>support tool rather than a decision</w:t>
      </w:r>
      <w:r w:rsidRPr="00D50CEE">
        <w:rPr>
          <w:rFonts w:ascii="Times New Roman" w:eastAsia="Times New Roman" w:hAnsi="Times New Roman" w:cs="Times New Roman"/>
          <w:sz w:val="24"/>
          <w:szCs w:val="24"/>
        </w:rPr>
        <w:noBreakHyphen/>
        <w:t>making tool.</w:t>
      </w:r>
    </w:p>
    <w:p w14:paraId="602CD040" w14:textId="77777777" w:rsidR="00D50CEE" w:rsidRPr="00D50CEE" w:rsidRDefault="00D50CEE" w:rsidP="00D50CEE">
      <w:pPr>
        <w:contextualSpacing/>
        <w:rPr>
          <w:rFonts w:ascii="Times New Roman" w:eastAsia="Times New Roman" w:hAnsi="Times New Roman" w:cs="Times New Roman"/>
          <w:sz w:val="24"/>
          <w:szCs w:val="24"/>
        </w:rPr>
      </w:pPr>
    </w:p>
    <w:p w14:paraId="4CC41761" w14:textId="14F761B6" w:rsidR="00D50CEE" w:rsidRPr="00D50CEE" w:rsidRDefault="00D50CEE" w:rsidP="00D50CEE">
      <w:pPr>
        <w:pStyle w:val="ListParagraph"/>
        <w:numPr>
          <w:ilvl w:val="0"/>
          <w:numId w:val="2"/>
        </w:numPr>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Recommended Next Steps</w:t>
      </w:r>
    </w:p>
    <w:p w14:paraId="128860D4" w14:textId="77777777" w:rsidR="00D50CEE" w:rsidRPr="00D50CEE" w:rsidRDefault="00D50CEE" w:rsidP="00D50CEE">
      <w:pPr>
        <w:outlineLvl w:val="1"/>
        <w:rPr>
          <w:rFonts w:ascii="Times New Roman" w:eastAsia="Times New Roman" w:hAnsi="Times New Roman" w:cs="Times New Roman"/>
          <w:b/>
          <w:bCs/>
          <w:sz w:val="24"/>
          <w:szCs w:val="24"/>
        </w:rPr>
      </w:pPr>
    </w:p>
    <w:p w14:paraId="19C1BAA2" w14:textId="77777777" w:rsid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To strengthen the model and improve predictive accuracy, the dataset should be expanded to include richer demographic, educational, industry, and compensation details. Building an automated data pipeline that ingests, cleans, encodes, and prepares new salary records will ensure the model remains current. Implementing continuous model retraining will help maintain alignment with evolving market conditions. SHAP insights should be operationalized to support compensation strategy, pay</w:t>
      </w:r>
      <w:r w:rsidRPr="00D50CEE">
        <w:rPr>
          <w:rFonts w:ascii="Times New Roman" w:eastAsia="Times New Roman" w:hAnsi="Times New Roman" w:cs="Times New Roman"/>
          <w:sz w:val="24"/>
          <w:szCs w:val="24"/>
        </w:rPr>
        <w:noBreakHyphen/>
        <w:t>equity reviews, and workforce planning. Gradient Boosting should serve as the baseline model, with F1 score and ROC</w:t>
      </w:r>
      <w:r w:rsidRPr="00D50CEE">
        <w:rPr>
          <w:rFonts w:ascii="Times New Roman" w:eastAsia="Times New Roman" w:hAnsi="Times New Roman" w:cs="Times New Roman"/>
          <w:sz w:val="24"/>
          <w:szCs w:val="24"/>
        </w:rPr>
        <w:noBreakHyphen/>
        <w:t>AUC used as primary selection criteria for future iterations.</w:t>
      </w:r>
    </w:p>
    <w:p w14:paraId="6FADB805" w14:textId="77777777" w:rsidR="00D50CEE" w:rsidRPr="00D50CEE" w:rsidRDefault="00D50CEE" w:rsidP="00D50CEE">
      <w:pPr>
        <w:contextualSpacing/>
        <w:rPr>
          <w:rFonts w:ascii="Times New Roman" w:eastAsia="Times New Roman" w:hAnsi="Times New Roman" w:cs="Times New Roman"/>
          <w:sz w:val="24"/>
          <w:szCs w:val="24"/>
        </w:rPr>
      </w:pPr>
    </w:p>
    <w:p w14:paraId="38219CE3" w14:textId="77777777" w:rsidR="00D50CEE" w:rsidRDefault="00D50CEE" w:rsidP="00D50CEE">
      <w:pPr>
        <w:contextualSpacing/>
        <w:outlineLvl w:val="1"/>
        <w:rPr>
          <w:rFonts w:ascii="Times New Roman" w:eastAsia="Times New Roman" w:hAnsi="Times New Roman" w:cs="Times New Roman"/>
          <w:b/>
          <w:bCs/>
          <w:sz w:val="24"/>
          <w:szCs w:val="24"/>
        </w:rPr>
      </w:pPr>
      <w:r w:rsidRPr="00D50CEE">
        <w:rPr>
          <w:rFonts w:ascii="Times New Roman" w:eastAsia="Times New Roman" w:hAnsi="Times New Roman" w:cs="Times New Roman"/>
          <w:b/>
          <w:bCs/>
          <w:sz w:val="24"/>
          <w:szCs w:val="24"/>
        </w:rPr>
        <w:t>Executive Takeaway</w:t>
      </w:r>
    </w:p>
    <w:p w14:paraId="3065599A" w14:textId="77777777" w:rsidR="00D50CEE" w:rsidRPr="00D50CEE" w:rsidRDefault="00D50CEE" w:rsidP="00D50CEE">
      <w:pPr>
        <w:contextualSpacing/>
        <w:outlineLvl w:val="1"/>
        <w:rPr>
          <w:rFonts w:ascii="Times New Roman" w:eastAsia="Times New Roman" w:hAnsi="Times New Roman" w:cs="Times New Roman"/>
          <w:b/>
          <w:bCs/>
          <w:sz w:val="24"/>
          <w:szCs w:val="24"/>
        </w:rPr>
      </w:pPr>
    </w:p>
    <w:p w14:paraId="363B28AA" w14:textId="6756BF10" w:rsidR="00D50CEE" w:rsidRPr="00D50CEE" w:rsidRDefault="00D50CEE" w:rsidP="00D50CEE">
      <w:pPr>
        <w:contextualSpacing/>
        <w:rPr>
          <w:rFonts w:ascii="Times New Roman" w:eastAsia="Times New Roman" w:hAnsi="Times New Roman" w:cs="Times New Roman"/>
          <w:sz w:val="24"/>
          <w:szCs w:val="24"/>
        </w:rPr>
      </w:pPr>
      <w:r w:rsidRPr="00D50CEE">
        <w:rPr>
          <w:rFonts w:ascii="Times New Roman" w:eastAsia="Times New Roman" w:hAnsi="Times New Roman" w:cs="Times New Roman"/>
          <w:sz w:val="24"/>
          <w:szCs w:val="24"/>
        </w:rPr>
        <w:t>This project demonstrates that salary outcomes in data</w:t>
      </w:r>
      <w:r w:rsidRPr="00D50CEE">
        <w:rPr>
          <w:rFonts w:ascii="Times New Roman" w:eastAsia="Times New Roman" w:hAnsi="Times New Roman" w:cs="Times New Roman"/>
          <w:sz w:val="24"/>
          <w:szCs w:val="24"/>
        </w:rPr>
        <w:noBreakHyphen/>
        <w:t xml:space="preserve">science roles are driven primarily by experience level, job specialization, company size, and remote work flexibility. Gradient </w:t>
      </w:r>
      <w:r w:rsidRPr="00D50CEE">
        <w:rPr>
          <w:rFonts w:ascii="Times New Roman" w:eastAsia="Times New Roman" w:hAnsi="Times New Roman" w:cs="Times New Roman"/>
          <w:sz w:val="24"/>
          <w:szCs w:val="24"/>
        </w:rPr>
        <w:lastRenderedPageBreak/>
        <w:t>Boosting provides a stable, interpretable, and high</w:t>
      </w:r>
      <w:r w:rsidRPr="00D50CEE">
        <w:rPr>
          <w:rFonts w:ascii="Times New Roman" w:eastAsia="Times New Roman" w:hAnsi="Times New Roman" w:cs="Times New Roman"/>
          <w:sz w:val="24"/>
          <w:szCs w:val="24"/>
        </w:rPr>
        <w:noBreakHyphen/>
        <w:t>performing model suitable for compensation analytics and strategic workforce planning. The path forward is clear: expand the dataset, automate the pipeline, and operationalize model insights to support equitable, competitive, and data</w:t>
      </w:r>
      <w:r w:rsidRPr="00D50CEE">
        <w:rPr>
          <w:rFonts w:ascii="Times New Roman" w:eastAsia="Times New Roman" w:hAnsi="Times New Roman" w:cs="Times New Roman"/>
          <w:sz w:val="24"/>
          <w:szCs w:val="24"/>
        </w:rPr>
        <w:noBreakHyphen/>
        <w:t>driven compensation decisions.</w:t>
      </w:r>
    </w:p>
    <w:p w14:paraId="14B6C8BB" w14:textId="77777777" w:rsidR="00957E4E" w:rsidRPr="00D50CEE" w:rsidRDefault="00957E4E" w:rsidP="00D50CEE">
      <w:pPr>
        <w:contextualSpacing/>
        <w:rPr>
          <w:rFonts w:ascii="Times New Roman" w:hAnsi="Times New Roman" w:cs="Times New Roman"/>
          <w:sz w:val="24"/>
          <w:szCs w:val="24"/>
        </w:rPr>
      </w:pPr>
    </w:p>
    <w:sectPr w:rsidR="00957E4E" w:rsidRPr="00D50CEE" w:rsidSect="00C22CEB">
      <w:pgSz w:w="12240" w:h="15840" w:code="1"/>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E6DF0"/>
    <w:multiLevelType w:val="hybridMultilevel"/>
    <w:tmpl w:val="6C72A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B71B3E"/>
    <w:multiLevelType w:val="hybridMultilevel"/>
    <w:tmpl w:val="BBB21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54315">
    <w:abstractNumId w:val="0"/>
  </w:num>
  <w:num w:numId="2" w16cid:durableId="1314291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WzMDG3NDQ3NTU1MrdQ0lEKTi0uzszPAykwrAUAyU09mSwAAAA="/>
  </w:docVars>
  <w:rsids>
    <w:rsidRoot w:val="00D50CEE"/>
    <w:rsid w:val="000E4E7F"/>
    <w:rsid w:val="001C771C"/>
    <w:rsid w:val="00562380"/>
    <w:rsid w:val="00913B1D"/>
    <w:rsid w:val="00957E4E"/>
    <w:rsid w:val="009B0191"/>
    <w:rsid w:val="00BD2AF9"/>
    <w:rsid w:val="00C00864"/>
    <w:rsid w:val="00C170A3"/>
    <w:rsid w:val="00C22CEB"/>
    <w:rsid w:val="00D5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234A"/>
  <w15:chartTrackingRefBased/>
  <w15:docId w15:val="{32521A26-1684-48B0-87D0-BE4E5BF2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0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C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0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0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EE"/>
    <w:rPr>
      <w:rFonts w:eastAsiaTheme="majorEastAsia" w:cstheme="majorBidi"/>
      <w:color w:val="272727" w:themeColor="text1" w:themeTint="D8"/>
    </w:rPr>
  </w:style>
  <w:style w:type="paragraph" w:styleId="Title">
    <w:name w:val="Title"/>
    <w:basedOn w:val="Normal"/>
    <w:next w:val="Normal"/>
    <w:link w:val="TitleChar"/>
    <w:uiPriority w:val="10"/>
    <w:qFormat/>
    <w:rsid w:val="00D50C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0CEE"/>
    <w:rPr>
      <w:i/>
      <w:iCs/>
      <w:color w:val="404040" w:themeColor="text1" w:themeTint="BF"/>
    </w:rPr>
  </w:style>
  <w:style w:type="paragraph" w:styleId="ListParagraph">
    <w:name w:val="List Paragraph"/>
    <w:basedOn w:val="Normal"/>
    <w:uiPriority w:val="34"/>
    <w:qFormat/>
    <w:rsid w:val="00D50CEE"/>
    <w:pPr>
      <w:ind w:left="720"/>
      <w:contextualSpacing/>
    </w:pPr>
  </w:style>
  <w:style w:type="character" w:styleId="IntenseEmphasis">
    <w:name w:val="Intense Emphasis"/>
    <w:basedOn w:val="DefaultParagraphFont"/>
    <w:uiPriority w:val="21"/>
    <w:qFormat/>
    <w:rsid w:val="00D50CEE"/>
    <w:rPr>
      <w:i/>
      <w:iCs/>
      <w:color w:val="0F4761" w:themeColor="accent1" w:themeShade="BF"/>
    </w:rPr>
  </w:style>
  <w:style w:type="paragraph" w:styleId="IntenseQuote">
    <w:name w:val="Intense Quote"/>
    <w:basedOn w:val="Normal"/>
    <w:next w:val="Normal"/>
    <w:link w:val="IntenseQuoteChar"/>
    <w:uiPriority w:val="30"/>
    <w:qFormat/>
    <w:rsid w:val="00D50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CEE"/>
    <w:rPr>
      <w:i/>
      <w:iCs/>
      <w:color w:val="0F4761" w:themeColor="accent1" w:themeShade="BF"/>
    </w:rPr>
  </w:style>
  <w:style w:type="character" w:styleId="IntenseReference">
    <w:name w:val="Intense Reference"/>
    <w:basedOn w:val="DefaultParagraphFont"/>
    <w:uiPriority w:val="32"/>
    <w:qFormat/>
    <w:rsid w:val="00D50CEE"/>
    <w:rPr>
      <w:b/>
      <w:bCs/>
      <w:smallCaps/>
      <w:color w:val="0F4761" w:themeColor="accent1" w:themeShade="BF"/>
      <w:spacing w:val="5"/>
    </w:rPr>
  </w:style>
  <w:style w:type="paragraph" w:styleId="NormalWeb">
    <w:name w:val="Normal (Web)"/>
    <w:basedOn w:val="Normal"/>
    <w:uiPriority w:val="99"/>
    <w:semiHidden/>
    <w:unhideWhenUsed/>
    <w:rsid w:val="00D50CEE"/>
    <w:pPr>
      <w:spacing w:before="100" w:beforeAutospacing="1" w:after="100" w:afterAutospacing="1"/>
    </w:pPr>
    <w:rPr>
      <w:rFonts w:ascii="Times New Roman" w:eastAsia="Times New Roman" w:hAnsi="Times New Roman" w:cs="Times New Roman"/>
      <w:sz w:val="24"/>
      <w:szCs w:val="24"/>
    </w:rPr>
  </w:style>
  <w:style w:type="character" w:customStyle="1" w:styleId="font-ligatures-none">
    <w:name w:val="font-ligatures-none"/>
    <w:basedOn w:val="DefaultParagraphFont"/>
    <w:rsid w:val="00D50CEE"/>
  </w:style>
  <w:style w:type="character" w:styleId="Strong">
    <w:name w:val="Strong"/>
    <w:basedOn w:val="DefaultParagraphFont"/>
    <w:uiPriority w:val="22"/>
    <w:qFormat/>
    <w:rsid w:val="00D50CEE"/>
    <w:rPr>
      <w:b/>
      <w:bCs/>
    </w:rPr>
  </w:style>
  <w:style w:type="paragraph" w:customStyle="1" w:styleId="Default">
    <w:name w:val="Default"/>
    <w:rsid w:val="00D50CEE"/>
    <w:pPr>
      <w:autoSpaceDE w:val="0"/>
      <w:autoSpaceDN w:val="0"/>
      <w:adjustRightInd w:val="0"/>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2</cp:revision>
  <dcterms:created xsi:type="dcterms:W3CDTF">2026-10-05T14:39:00Z</dcterms:created>
  <dcterms:modified xsi:type="dcterms:W3CDTF">2026-10-05T14:46:00Z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55fe0610-2909-4c1e-8462-753609742801</vt:lpwstr>
  </property>
</Properties>
</file>