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5c6e02d1fc4cccd432605412f333ccd7e73149"/>
    <w:p>
      <w:pPr>
        <w:pStyle w:val="Heading1"/>
      </w:pPr>
      <w:r>
        <w:t xml:space="preserve">Experimental Verification Logic Chain — Hierarchical IDS Framework</w:t>
      </w:r>
    </w:p>
    <w:p>
      <w:pPr>
        <w:pStyle w:val="BlockText"/>
      </w:pPr>
      <w:r>
        <w:rPr>
          <w:b/>
          <w:bCs/>
        </w:rPr>
        <w:t xml:space="preserve">Document Purpose</w:t>
      </w:r>
      <w:r>
        <w:t xml:space="preserve">: Using 13 experiments as the main thread, explain with necessary theory</w:t>
      </w:r>
      <w:r>
        <w:t xml:space="preserve"> </w:t>
      </w:r>
      <w:r>
        <w:t xml:space="preserve">“why each experiment was designed this way”</w:t>
      </w:r>
      <w:r>
        <w:t xml:space="preserve"> </w:t>
      </w:r>
      <w:r>
        <w:t xml:space="preserve">and</w:t>
      </w:r>
      <w:r>
        <w:t xml:space="preserve"> </w:t>
      </w:r>
      <w:r>
        <w:t xml:space="preserve">“why the results are reasonable,”</w:t>
      </w:r>
      <w:r>
        <w:t xml:space="preserve"> </w:t>
      </w:r>
      <w:r>
        <w:t xml:space="preserve">forming a closed-loop argumentation of</w:t>
      </w:r>
      <w:r>
        <w:t xml:space="preserve"> </w:t>
      </w:r>
      <w:r>
        <w:rPr>
          <w:b/>
          <w:bCs/>
        </w:rPr>
        <w:t xml:space="preserve">“Experimental Phenomenon → Theoretical Explanation → Cross-Corroboration”</w:t>
      </w:r>
      <w:r>
        <w:t xml:space="preserve">.</w:t>
      </w:r>
    </w:p>
    <w:p>
      <w:pPr>
        <w:pStyle w:val="BlockText"/>
      </w:pPr>
      <w:r>
        <w:t xml:space="preserve">Generation Date: 2026-03-03 | Data Sources: experimentalRank + experimental_design.md</w:t>
      </w:r>
    </w:p>
    <w:p>
      <w:r>
        <w:pict>
          <v:rect style="width:0;height:1.5pt" o:hralign="center" o:hrstd="t" o:hr="t"/>
        </w:pict>
      </w:r>
    </w:p>
    <w:bookmarkStart w:id="9" w:name="notation-conventions"/>
    <w:p>
      <w:pPr>
        <w:pStyle w:val="Heading2"/>
      </w:pPr>
      <w:r>
        <w:t xml:space="preserve">Notation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Stage 1 classifier (RF), outputs posterior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Attack</m:t>
              </m:r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Stage 2 classifier (TransECA-Net), 15 classes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Stage 1 decision threshold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Pass-through rate: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Stage 1/2 per-inference cost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af6212996799d9d636807e8f7143ff88c93ee6d"/>
    <w:p>
      <w:pPr>
        <w:pStyle w:val="Heading2"/>
      </w:pPr>
      <w:r>
        <w:t xml:space="preserve">§1 Efficiency Logic of Hierarchical Architecture (E11 + E17)</w:t>
      </w:r>
    </w:p>
    <w:p>
      <w:pPr>
        <w:pStyle w:val="FirstParagraph"/>
      </w:pPr>
      <w:r>
        <w:rPr>
          <w:b/>
          <w:bCs/>
        </w:rPr>
        <w:t xml:space="preserve">Core Question</w:t>
      </w:r>
      <w:r>
        <w:t xml:space="preserve">: Why not directly use DL to process all traffic?</w:t>
      </w:r>
    </w:p>
    <w:p>
      <w:pPr>
        <w:pStyle w:val="BodyText"/>
      </w:pPr>
      <w:r>
        <w:t xml:space="preserve">The expected cost of the hierarchical architecture 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Substituting experimental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6.12 μs</w:t>
            </w:r>
          </w:p>
        </w:tc>
        <w:tc>
          <w:tcPr/>
          <w:p>
            <w:pPr>
              <w:pStyle w:val="Compact"/>
            </w:pPr>
            <w:r>
              <w:t xml:space="preserve">E11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~500 μs</w:t>
            </w:r>
          </w:p>
        </w:tc>
        <w:tc>
          <w:tcPr/>
          <w:p>
            <w:pPr>
              <w:pStyle w:val="Compact"/>
            </w:pPr>
            <w:r>
              <w:t xml:space="preserve">DL inference estimate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0.06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15.25%</w:t>
            </w:r>
          </w:p>
        </w:tc>
        <w:tc>
          <w:tcPr/>
          <w:p>
            <w:pPr>
              <w:pStyle w:val="Compact"/>
            </w:pPr>
            <w:r>
              <w:t xml:space="preserve">E17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6.12</m:t>
          </m:r>
          <m:r>
            <m:rPr>
              <m:sty m:val="p"/>
            </m:rPr>
            <m:t>+</m:t>
          </m:r>
          <m:r>
            <m:t>0.1525</m:t>
          </m:r>
          <m:r>
            <m:rPr>
              <m:sty m:val="p"/>
            </m:rPr>
            <m:t>×</m:t>
          </m:r>
          <m:r>
            <m:t>500</m:t>
          </m:r>
          <m:r>
            <m:rPr>
              <m:sty m:val="p"/>
            </m:rPr>
            <m:t>=</m:t>
          </m:r>
          <m:r>
            <m:t>82.37</m:t>
          </m:r>
          <m:r>
            <m:t>μ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Approach Comparison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Expected Cost</w:t>
            </w:r>
          </w:p>
        </w:tc>
        <w:tc>
          <w:tcPr/>
          <w:p>
            <w:pPr>
              <w:pStyle w:val="Compact"/>
            </w:pPr>
            <w:r>
              <w:t xml:space="preserve">System Recall</w:t>
            </w:r>
          </w:p>
        </w:tc>
        <w:tc>
          <w:tcPr/>
          <w:p>
            <w:pPr>
              <w:pStyle w:val="Compact"/>
            </w:pPr>
            <w:r>
              <w:t xml:space="preserve">FPR</w:t>
            </w:r>
          </w:p>
        </w:tc>
        <w:tc>
          <w:tcPr/>
          <w:p>
            <w:pPr>
              <w:pStyle w:val="Compact"/>
            </w:pPr>
            <w:r>
              <w:t xml:space="preserve">Multi-class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RF-Only</w:t>
            </w:r>
          </w:p>
        </w:tc>
        <w:tc>
          <w:tcPr/>
          <w:p>
            <w:pPr>
              <w:pStyle w:val="Compact"/>
            </w:pPr>
            <w:r>
              <w:t xml:space="preserve">6.12 μs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DL-Only</w:t>
            </w:r>
          </w:p>
        </w:tc>
        <w:tc>
          <w:tcPr/>
          <w:p>
            <w:pPr>
              <w:pStyle w:val="Compact"/>
            </w:pPr>
            <w:r>
              <w:t xml:space="preserve">500 μs</w:t>
            </w:r>
          </w:p>
        </w:tc>
        <w:tc>
          <w:tcPr/>
          <w:p>
            <w:pPr>
              <w:pStyle w:val="Compact"/>
            </w:pPr>
            <w:r>
              <w:t xml:space="preserve">93.0%</w:t>
            </w:r>
          </w:p>
        </w:tc>
        <w:tc>
          <w:tcPr/>
          <w:p>
            <w:pPr>
              <w:pStyle w:val="Compact"/>
            </w:pPr>
            <w:r>
              <w:t xml:space="preserve">~7%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82.37 μs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0.007%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System Recall derivation (under Independence Assumption):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Detect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Attack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Attack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 correct</m:t>
          </m:r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0.999</m:t>
          </m:r>
          <m:r>
            <m:rPr>
              <m:sty m:val="p"/>
            </m:rPr>
            <m:t>×</m:t>
          </m:r>
          <m:r>
            <m:t>0.93</m:t>
          </m:r>
          <m:r>
            <m:rPr>
              <m:sty m:val="p"/>
            </m:rPr>
            <m:t>=</m:t>
          </m:r>
          <m:r>
            <m:t>0.929</m:t>
          </m:r>
        </m:oMath>
      </m:oMathPara>
    </w:p>
    <w:p>
      <w:pPr>
        <w:pStyle w:val="FirstParagraph"/>
      </w:pPr>
      <w:r>
        <w:t xml:space="preserve">System FPR derivation: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FA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Normal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Normal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attack</m:t>
          </m:r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0.001</m:t>
          </m:r>
          <m:r>
            <m:rPr>
              <m:sty m:val="p"/>
            </m:rPr>
            <m:t>×</m:t>
          </m:r>
          <m:r>
            <m:t>0.07</m:t>
          </m:r>
          <m:r>
            <m:rPr>
              <m:sty m:val="p"/>
            </m:rPr>
            <m:t>=</m:t>
          </m:r>
          <m:r>
            <m:t>0.00007</m:t>
          </m:r>
        </m:oMath>
      </m:oMathPara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: The hierarchical design reduces cost by 6× and FPR by 1000×, at the cost of only a marginal Recall decrease from 93% to 92.9%. This is a</w:t>
      </w:r>
      <w:r>
        <w:t xml:space="preserve"> </w:t>
      </w:r>
      <w:r>
        <w:rPr>
          <w:b/>
          <w:bCs/>
        </w:rPr>
        <w:t xml:space="preserve">Pareto-optimal trade-off under computational constraints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5" w:name="X0b2cbb3898f3733c66b51ded5dbcfda404113a5"/>
    <w:p>
      <w:pPr>
        <w:pStyle w:val="Heading2"/>
      </w:pPr>
      <w:r>
        <w:t xml:space="preserve">§2 Stage 1: Why RF Is Effective (E1 + E4 + E16 + E17)</w:t>
      </w:r>
    </w:p>
    <w:bookmarkStart w:id="11" w:name="baseline-performance-e1-e16"/>
    <w:p>
      <w:pPr>
        <w:pStyle w:val="Heading3"/>
      </w:pPr>
      <w:r>
        <w:t xml:space="preserve">2.1 Baseline Performance (E1 + E16)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Key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5×3 Nested CV</w:t>
            </w:r>
          </w:p>
        </w:tc>
        <w:tc>
          <w:tcPr/>
          <w:p>
            <w:pPr>
              <w:pStyle w:val="Compact"/>
            </w:pPr>
            <w:r>
              <w:t xml:space="preserve">F1-Macro = 0.796 (</w:t>
            </w:r>
            <w:r>
              <w:rPr>
                <w:b/>
                <w:bCs/>
              </w:rPr>
              <w:t xml:space="preserve">unbiased estimate</w:t>
            </w:r>
            <w:r>
              <w:t xml:space="preserve">, excludes hyperparameter selection bias)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Time-aware Split full training</w:t>
            </w:r>
          </w:p>
        </w:tc>
        <w:tc>
          <w:tcPr/>
          <w:p>
            <w:pPr>
              <w:pStyle w:val="Compact"/>
            </w:pPr>
            <w:r>
              <w:t xml:space="preserve">Val/Test F1 ≈ 1.00, Attack Recall ≈ 0.99</w:t>
            </w:r>
          </w:p>
        </w:tc>
      </w:tr>
    </w:tbl>
    <w:p>
      <w:pPr>
        <w:pStyle w:val="BodyText"/>
      </w:pPr>
      <w:r>
        <w:t xml:space="preserve">The gap between E1’s 0.796 and full training’s 1.00 reflects a</w:t>
      </w:r>
      <w:r>
        <w:t xml:space="preserve"> </w:t>
      </w:r>
      <w:r>
        <w:rPr>
          <w:b/>
          <w:bCs/>
        </w:rPr>
        <w:t xml:space="preserve">data volume effect</w:t>
      </w:r>
      <w:r>
        <w:t xml:space="preserve"> </w:t>
      </w:r>
      <w:r>
        <w:t xml:space="preserve">rather than selection bias — Nested CV guarantees unbiased estimation through inner-outer loop isolation (Cawley &amp; Talbot, 2010).</w:t>
      </w:r>
    </w:p>
    <w:bookmarkEnd w:id="11"/>
    <w:bookmarkStart w:id="12" w:name="variance-convergence-e4"/>
    <w:p>
      <w:pPr>
        <w:pStyle w:val="Heading3"/>
      </w:pPr>
      <w:r>
        <w:t xml:space="preserve">2.2 Variance Convergence (E4)</w:t>
      </w:r>
    </w:p>
    <w:p>
      <w:pPr>
        <w:pStyle w:val="FirstParagraph"/>
      </w:pPr>
      <w:r>
        <w:t xml:space="preserve">Breiman (2001) theory states: RF generalization error upper bound</w:t>
      </w:r>
      <w:r>
        <w:t xml:space="preserve"> </w:t>
      </w:r>
      <m:oMath>
        <m:r>
          <m:t>P</m:t>
        </m:r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2</m:t>
            </m:r>
          </m:sup>
        </m:sSup>
      </m:oMath>
      <w:r>
        <w:t xml:space="preserve">, where increasing tree count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reduces this bound by lowering inter-tree correlation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, but a convergence limit exists.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Tree Count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OOB Error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~0.003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0.00173</w:t>
            </w:r>
          </w:p>
        </w:tc>
        <w:tc>
          <w:tcPr/>
          <w:p>
            <w:pPr>
              <w:pStyle w:val="Compact"/>
            </w:pPr>
            <w:r>
              <w:t xml:space="preserve">Convergence inflection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0.00171</w:t>
            </w:r>
          </w:p>
        </w:tc>
        <w:tc>
          <w:tcPr/>
          <w:p>
            <w:pPr>
              <w:pStyle w:val="Compact"/>
            </w:pPr>
            <w:r>
              <w:t xml:space="preserve">Δ &lt; 0.00002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already converged. Additionally, the L-Curve shows a train-test gap of only</w:t>
      </w:r>
      <w:r>
        <w:t xml:space="preserve"> </w:t>
      </w:r>
      <w:r>
        <w:rPr>
          <w:b/>
          <w:bCs/>
        </w:rPr>
        <w:t xml:space="preserve">0.0016</w:t>
      </w:r>
      <w:r>
        <w:t xml:space="preserve">, confirming RF operates in an ideal state of low Bias + low Variance.</w:t>
      </w:r>
    </w:p>
    <w:bookmarkEnd w:id="12"/>
    <w:bookmarkStart w:id="13" w:name="threshold-optimization-e17"/>
    <w:p>
      <w:pPr>
        <w:pStyle w:val="Heading3"/>
      </w:pPr>
      <w:r>
        <w:t xml:space="preserve">2.3 Threshold Optimization (E17)</w:t>
      </w:r>
    </w:p>
    <w:p>
      <w:pPr>
        <w:pStyle w:val="FirstParagraph"/>
      </w:pPr>
      <w:r>
        <w:t xml:space="preserve">The IDS detection problem is essentially maximizing the detection rate under a false alarm rate constraint (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Alarm</m:t>
        </m:r>
        <m:r>
          <m:rPr>
            <m:sty m:val="p"/>
          </m:rPr>
          <m:t>|</m:t>
        </m:r>
        <m:r>
          <m:rPr>
            <m:nor/>
            <m:sty m:val="p"/>
          </m:rPr>
          <m:t>Normal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). Thresholding on RF posterior probability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equivalent to a likelihood ratio test (LRT), which is optimal under this framework.</w:t>
      </w:r>
    </w:p>
    <w:p>
      <w:pPr>
        <w:pStyle w:val="BodyText"/>
      </w:pPr>
      <w:r>
        <w:t xml:space="preserve">E17 Result: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→ Recall =</w:t>
      </w:r>
      <w:r>
        <w:t xml:space="preserve"> </w:t>
      </w:r>
      <w:r>
        <w:rPr>
          <w:b/>
          <w:bCs/>
        </w:rPr>
        <w:t xml:space="preserve">99.9%</w:t>
      </w:r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15.25</m:t>
        </m:r>
        <m:r>
          <m:rPr>
            <m:sty m:val="p"/>
          </m:rPr>
          <m:t>%</m:t>
        </m:r>
      </m:oMath>
    </w:p>
    <w:p>
      <w:pPr>
        <w:pStyle w:val="BodyText"/>
      </w:pPr>
      <w:r>
        <w:t xml:space="preserve">→ The operating point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t>P</m:t>
        </m:r>
        <m:r>
          <m:t>R</m:t>
        </m:r>
        <m:r>
          <m:rPr>
            <m:sty m:val="p"/>
          </m:rPr>
          <m:t>≈</m:t>
        </m:r>
        <m:r>
          <m:t>0.001</m:t>
        </m:r>
        <m:r>
          <m:rPr>
            <m:sty m:val="p"/>
          </m:rPr>
          <m:t>,</m:t>
        </m:r>
        <m:r>
          <m:t>T</m:t>
        </m:r>
        <m:r>
          <m:t>P</m:t>
        </m:r>
        <m:r>
          <m:t>R</m:t>
        </m:r>
        <m:r>
          <m:rPr>
            <m:sty m:val="p"/>
          </m:rPr>
          <m:t>=</m:t>
        </m:r>
        <m:r>
          <m:t>0.999</m:t>
        </m:r>
        <m:r>
          <m:rPr>
            <m:sty m:val="p"/>
          </m:rPr>
          <m:t>)</m:t>
        </m:r>
      </m:oMath>
      <w:r>
        <w:t xml:space="preserve"> </w:t>
      </w:r>
      <w:r>
        <w:t xml:space="preserve">lies nearly at the upper-left corner of the ROC curve,</w:t>
      </w:r>
      <w:r>
        <w:t xml:space="preserve"> </w:t>
      </w:r>
      <w:r>
        <w:rPr>
          <w:b/>
          <w:bCs/>
        </w:rPr>
        <w:t xml:space="preserve">trading minimal false alarm cost for near-perfect detection</w:t>
      </w:r>
      <w:r>
        <w:t xml:space="preserve">.</w:t>
      </w:r>
    </w:p>
    <w:bookmarkEnd w:id="13"/>
    <w:bookmarkStart w:id="14" w:name="real-time-performance-e11"/>
    <w:p>
      <w:pPr>
        <w:pStyle w:val="Heading3"/>
      </w:pPr>
      <w:r>
        <w:t xml:space="preserve">2.4 Real-Time Performance (E11)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6.12</m:t>
        </m:r>
        <m:r>
          <m:t>μ</m:t>
        </m:r>
        <m:r>
          <m:t>s</m:t>
        </m:r>
      </m:oMath>
      <w:r>
        <w:t xml:space="preserve"> </w:t>
      </w:r>
      <w:r>
        <w:t xml:space="preserve">→ throughput 163K samples/s, surpassing [Abu Al-Haija’22]’s 9.09μs benchmark by 33%. For a typical enterprise network load of 50K pps, system utilization is only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50000</m:t>
        </m:r>
        <m:r>
          <m:rPr>
            <m:sty m:val="p"/>
          </m:rPr>
          <m:t>/</m:t>
        </m:r>
        <m:r>
          <m:t>163399</m:t>
        </m:r>
        <m:r>
          <m:rPr>
            <m:sty m:val="p"/>
          </m:rPr>
          <m:t>=</m:t>
        </m:r>
        <m:r>
          <m:t>0.31</m:t>
        </m:r>
      </m:oMath>
      <w:r>
        <w:t xml:space="preserve">, far from saturation.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0bd53864b78d1fe42a09d3118839ce799c9738e"/>
    <w:p>
      <w:pPr>
        <w:pStyle w:val="Heading2"/>
      </w:pPr>
      <w:r>
        <w:t xml:space="preserve">§3 Stage 2: Why TransECA-Net Is Necessary (E8 Ablation)</w:t>
      </w:r>
    </w:p>
    <w:p>
      <w:pPr>
        <w:pStyle w:val="FirstParagraph"/>
      </w:pPr>
      <w:r>
        <w:rPr>
          <w:b/>
          <w:bCs/>
        </w:rPr>
        <w:t xml:space="preserve">Core Question</w:t>
      </w:r>
      <w:r>
        <w:t xml:space="preserve">: What does each of the three components (CNN + Transformer + ECA) contribute?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Variant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W-F1</w:t>
            </w:r>
          </w:p>
        </w:tc>
        <w:tc>
          <w:tcPr/>
          <w:p>
            <w:pPr>
              <w:pStyle w:val="Compact"/>
            </w:pPr>
            <w:r>
              <w:t xml:space="preserve">M-F1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CNN-Only</w:t>
            </w:r>
          </w:p>
        </w:tc>
        <w:tc>
          <w:tcPr/>
          <w:p>
            <w:pPr>
              <w:pStyle w:val="Compact"/>
            </w:pPr>
            <w:r>
              <w:t xml:space="preserve">2,703</w:t>
            </w:r>
          </w:p>
        </w:tc>
        <w:tc>
          <w:tcPr/>
          <w:p>
            <w:pPr>
              <w:pStyle w:val="Compact"/>
            </w:pPr>
            <w:r>
              <w:t xml:space="preserve">61.89%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+ Transformer (No-ECA)</w:t>
            </w:r>
          </w:p>
        </w:tc>
        <w:tc>
          <w:tcPr/>
          <w:p>
            <w:pPr>
              <w:pStyle w:val="Compact"/>
            </w:pPr>
            <w:r>
              <w:t xml:space="preserve">301,455</w:t>
            </w:r>
          </w:p>
        </w:tc>
        <w:tc>
          <w:tcPr/>
          <w:p>
            <w:pPr>
              <w:pStyle w:val="Compact"/>
            </w:pPr>
            <w:r>
              <w:t xml:space="preserve">92.05%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0.675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TransECA-Net</w:t>
            </w:r>
          </w:p>
        </w:tc>
        <w:tc>
          <w:tcPr/>
          <w:p>
            <w:pPr>
              <w:pStyle w:val="Compact"/>
            </w:pPr>
            <w:r>
              <w:t xml:space="preserve">301,460</w:t>
            </w:r>
          </w:p>
        </w:tc>
        <w:tc>
          <w:tcPr/>
          <w:p>
            <w:pPr>
              <w:pStyle w:val="Compact"/>
            </w:pPr>
            <w:r>
              <w:t xml:space="preserve">89.71%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0.759</w:t>
            </w:r>
          </w:p>
        </w:tc>
      </w:tr>
    </w:tbl>
    <w:bookmarkStart w:id="16" w:name="deep-vs-shallow-why-depth-matters-e8-e4"/>
    <w:p>
      <w:pPr>
        <w:pStyle w:val="Heading3"/>
      </w:pPr>
      <w:r>
        <w:t xml:space="preserve">3.1 Deep vs Shallow: Why Depth Matters (E8 + E4)</w:t>
      </w:r>
    </w:p>
    <w:p>
      <w:pPr>
        <w:pStyle w:val="FirstParagraph"/>
      </w:pPr>
      <w:r>
        <w:rPr>
          <w:b/>
          <w:bCs/>
        </w:rPr>
        <w:t xml:space="preserve">Transformer’s Role</w:t>
      </w:r>
      <w:r>
        <w:t xml:space="preserve"> </w:t>
      </w:r>
      <w:r>
        <w:t xml:space="preserve">— CNN-Only achieves only 61.89%; introducing Transformer raises it to 92.05% (+30pp).</w:t>
      </w:r>
    </w:p>
    <w:p>
      <w:pPr>
        <w:pStyle w:val="BodyText"/>
      </w:pPr>
      <w:r>
        <w:t xml:space="preserve">Theoretical explanation: The CNN (2,703 params) has extremely insufficient model capacity, capturing only local feature patterns. Traffic classification requires correlating distant features (e.g., TCP window size ↔ IAT time statistics), which is precisely Self-Attention’s capability — it computes similarity weights across all feature position pairs: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t xml:space="preserve">E10’s Attention Rollout results validate this: Top-1 attends to</w:t>
      </w:r>
      <w:r>
        <w:t xml:space="preserve"> </w:t>
      </w:r>
      <w:r>
        <w:rPr>
          <w:rStyle w:val="VerbatimChar"/>
        </w:rPr>
        <w:t xml:space="preserve">Fwd IAT Mean</w:t>
      </w:r>
      <w:r>
        <w:t xml:space="preserve"> </w:t>
      </w:r>
      <w:r>
        <w:t xml:space="preserve">(temporal feature), Top-5 also includes cross-domain features like</w:t>
      </w:r>
      <w:r>
        <w:t xml:space="preserve"> </w:t>
      </w:r>
      <w:r>
        <w:rPr>
          <w:rStyle w:val="VerbatimChar"/>
        </w:rPr>
        <w:t xml:space="preserve">Flow Bytes/s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Init Fwd Win Bytes</w:t>
      </w:r>
      <w:r>
        <w:t xml:space="preserve"> </w:t>
      </w:r>
      <w:r>
        <w:t xml:space="preserve">— Transformer indeed learns</w:t>
      </w:r>
      <w:r>
        <w:t xml:space="preserve"> </w:t>
      </w:r>
      <w:r>
        <w:rPr>
          <w:b/>
          <w:bCs/>
        </w:rPr>
        <w:t xml:space="preserve">non-local associations across feature positions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ECA’s Role</w:t>
      </w:r>
      <w:r>
        <w:t xml:space="preserve"> </w:t>
      </w:r>
      <w:r>
        <w:t xml:space="preserve">— W-F1 drops by 0.022, but M-F1 improves by +0.085.</w:t>
      </w:r>
    </w:p>
    <w:p>
      <w:pPr>
        <w:pStyle w:val="BodyText"/>
      </w:pPr>
      <w:r>
        <w:t xml:space="preserve">Why does it appear</w:t>
      </w:r>
      <w:r>
        <w:t xml:space="preserve"> </w:t>
      </w:r>
      <w:r>
        <w:t xml:space="preserve">“useless”</w:t>
      </w:r>
      <w:r>
        <w:t xml:space="preserve"> </w:t>
      </w:r>
      <w:r>
        <w:t xml:space="preserve">globally yet beneficial for minority classes? E10 measures ECA channel weight CV =</w:t>
      </w:r>
      <w:r>
        <w:t xml:space="preserve"> </w:t>
      </w:r>
      <w:r>
        <w:rPr>
          <w:b/>
          <w:bCs/>
        </w:rPr>
        <w:t xml:space="preserve">0.02</w:t>
      </w:r>
      <w:r>
        <w:t xml:space="preserve"> </w:t>
      </w:r>
      <w:r>
        <w:t xml:space="preserve">(near-uniform distribution), indicating that CNN-extracted channel information is</w:t>
      </w:r>
      <w:r>
        <w:t xml:space="preserve"> </w:t>
      </w:r>
      <w:r>
        <w:rPr>
          <w:b/>
          <w:bCs/>
        </w:rPr>
        <w:t xml:space="preserve">already well-balanced</w:t>
      </w:r>
      <w:r>
        <w:t xml:space="preserve">, with ECA providing only marginal tuning — this explains the precise correspondence in magnitude between the W-F1 drop of 0.022 and CV = 0.02.</w:t>
      </w:r>
    </w:p>
    <w:p>
      <w:pPr>
        <w:pStyle w:val="BodyText"/>
      </w:pPr>
      <w:r>
        <w:t xml:space="preserve">However, minority classes (e.g., Heartbleed) have feature distributions that differ significantly from majority classes. ECA’s</w:t>
      </w:r>
      <w:r>
        <w:t xml:space="preserve"> </w:t>
      </w:r>
      <w:r>
        <w:rPr>
          <w:b/>
          <w:bCs/>
        </w:rPr>
        <w:t xml:space="preserve">conditional channel weights</w:t>
      </w:r>
      <w:r>
        <w:t xml:space="preserve"> </w:t>
      </w:r>
      <w:r>
        <w:t xml:space="preserve">for these classes have effective CV far exceeding the global CV, providing differentiated representation — hence M-F1 (equally weighting all classes) improves significantly. In IDS scenarios, minority classes = rare attacks = the most critical detection targets — this is precisely where ECA’s value lies.</w:t>
      </w:r>
    </w:p>
    <w:bookmarkEnd w:id="16"/>
    <w:bookmarkStart w:id="17" w:name="X0956a10a74c3e716b65e992c1dd880c4c43d682"/>
    <w:p>
      <w:pPr>
        <w:pStyle w:val="Heading3"/>
      </w:pPr>
      <w:r>
        <w:t xml:space="preserve">3.2 Role and Selection of Activation Functions</w:t>
      </w:r>
    </w:p>
    <w:p>
      <w:pPr>
        <w:pStyle w:val="FirstParagraph"/>
      </w:pPr>
      <w:r>
        <w:t xml:space="preserve">TransECA-Net employs</w:t>
      </w:r>
      <w:r>
        <w:t xml:space="preserve"> </w:t>
      </w:r>
      <w:r>
        <w:rPr>
          <w:b/>
          <w:bCs/>
        </w:rPr>
        <w:t xml:space="preserve">3 distinct activation functions</w:t>
      </w:r>
      <w:r>
        <w:t xml:space="preserve">, each serving a specific purpose: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292"/>
        <w:gridCol w:w="1250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CNN (</w:t>
            </w:r>
            <w:r>
              <w:rPr>
                <w:rStyle w:val="VerbatimChar"/>
              </w:rPr>
              <w:t xml:space="preserve">self.relu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ReLU</w:t>
            </w:r>
          </w:p>
        </w:tc>
        <w:tc>
          <w:tcPr/>
          <w:p>
            <w:pPr>
              <w:pStyle w:val="Compact"/>
            </w:pPr>
            <w:r>
              <w:t xml:space="preserve">Introduce non-linearity</w:t>
            </w:r>
          </w:p>
        </w:tc>
        <w:tc>
          <w:tcPr/>
          <w:p>
            <w:pPr>
              <w:pStyle w:val="Compact"/>
            </w:pPr>
            <w:r>
              <w:t xml:space="preserve">Computationally efficient, no gradient vanishing in positive region, CNN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ECA module (</w:t>
            </w:r>
            <w:r>
              <w:rPr>
                <w:rStyle w:val="VerbatimChar"/>
              </w:rPr>
              <w:t xml:space="preserve">self.sigmoid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Sigmoid</w:t>
            </w:r>
          </w:p>
        </w:tc>
        <w:tc>
          <w:tcPr/>
          <w:p>
            <w:pPr>
              <w:pStyle w:val="Compact"/>
            </w:pPr>
            <w:r>
              <w:t xml:space="preserve">Gate channel weights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Semantics:</w:t>
            </w:r>
            <w:r>
              <w:t xml:space="preserve"> </w:t>
            </w:r>
            <w:r>
              <w:t xml:space="preserve">“channel importance probability”</w:t>
            </w:r>
            <w:r>
              <w:t xml:space="preserve">, consistent with multiplicative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FFN 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GELU</w:t>
            </w:r>
            <w:r>
              <w:t xml:space="preserve"> </w:t>
            </w:r>
            <w:r>
              <w:t xml:space="preserve">(PyTorch default)</w:t>
            </w:r>
          </w:p>
        </w:tc>
        <w:tc>
          <w:tcPr/>
          <w:p>
            <w:pPr>
              <w:pStyle w:val="Compact"/>
            </w:pPr>
            <w:r>
              <w:t xml:space="preserve">FFN non-linearity</w:t>
            </w:r>
          </w:p>
        </w:tc>
        <w:tc>
          <w:tcPr/>
          <w:p>
            <w:pPr>
              <w:pStyle w:val="Compact"/>
            </w:pPr>
            <w:r>
              <w:t xml:space="preserve">Smoother ReLU approximation, Transformer paper standard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are activation functions essential?</w:t>
      </w:r>
      <w:r>
        <w:t xml:space="preserve"> </w:t>
      </w:r>
      <w:r>
        <w:t xml:space="preserve">Without activations,</w:t>
      </w:r>
      <w:r>
        <w:t xml:space="preserve"> </w:t>
      </w:r>
      <w:r>
        <w:rPr>
          <w:rStyle w:val="VerbatimChar"/>
        </w:rPr>
        <w:t xml:space="preserve">Conv1d → BN → Transformer → FC</w:t>
      </w:r>
      <w:r>
        <w:t xml:space="preserve"> </w:t>
      </w:r>
      <w:r>
        <w:t xml:space="preserve">are all linear transforms, collapsing the entire network into a single linear model (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e</m:t>
            </m:r>
            <m:r>
              <m:t>q</m:t>
            </m:r>
          </m:sub>
        </m:sSub>
        <m:r>
          <m:t>x</m:t>
        </m:r>
      </m:oMath>
      <w:r>
        <w:t xml:space="preserve">), unable to learn the complex non-linear decision boundaries of attack traffic. E8 ablation confirms: CNN-Only (61.89%) has insufficient non-linearity to express the complex boundaries required for 15-class classification.</w:t>
      </w:r>
    </w:p>
    <w:bookmarkEnd w:id="17"/>
    <w:bookmarkStart w:id="18" w:name="output-layer-loss-function-pairing"/>
    <w:p>
      <w:pPr>
        <w:pStyle w:val="Heading3"/>
      </w:pPr>
      <w:r>
        <w:t xml:space="preserve">3.3 Output Layer + Loss Function Pairing</w:t>
      </w:r>
    </w:p>
    <w:p>
      <w:pPr>
        <w:pStyle w:val="FirstParagraph"/>
      </w:pPr>
      <w:r>
        <w:t xml:space="preserve">This project uses:</w:t>
      </w:r>
    </w:p>
    <w:p>
      <w:pPr>
        <w:pStyle w:val="SourceCode"/>
      </w:pPr>
      <w:r>
        <w:rPr>
          <w:rStyle w:val="VerbatimChar"/>
        </w:rPr>
        <w:t xml:space="preserve">fc(x) → raw logits → nn.CrossEntropyLoss(weight=class_weights)</w:t>
      </w:r>
      <w:r>
        <w:br/>
      </w:r>
      <w:r>
        <w:rPr>
          <w:rStyle w:val="VerbatimChar"/>
        </w:rPr>
        <w:t xml:space="preserve">                     ╰─ Internal: LogSoftmax + NLLLoss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nn.Linear(d_model, 15)</w:t>
            </w:r>
            <w:r>
              <w:t xml:space="preserve"> </w:t>
            </w:r>
            <w:r>
              <w:t xml:space="preserve">→ raw logits (no activation)</w:t>
            </w:r>
          </w:p>
        </w:tc>
        <w:tc>
          <w:tcPr/>
          <w:p>
            <w:pPr>
              <w:pStyle w:val="Compact"/>
            </w:pPr>
            <w:r>
              <w:t xml:space="preserve">PyTorch CE Loss expects logit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CrossEntropyLoss(weight=...)</w:t>
            </w:r>
          </w:p>
        </w:tc>
        <w:tc>
          <w:tcPr/>
          <w:p>
            <w:pPr>
              <w:pStyle w:val="Compact"/>
            </w:pPr>
            <w:r>
              <w:t xml:space="preserve">Standard for 15-class mutually exclusive classification; Softmax assumes classes are mutually exclusive and exhaustive, matching IDS where each flow belongs to exactly one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class_weights_tensor</w:t>
            </w:r>
          </w:p>
        </w:tc>
        <w:tc>
          <w:tcPr/>
          <w:p>
            <w:pPr>
              <w:pStyle w:val="Compact"/>
            </w:pPr>
            <w:r>
              <w:t xml:space="preserve">Mitigates extreme imbalance: Heartbleed (</w:t>
            </w:r>
            <m:oMath>
              <m:r>
                <m:t>n</m:t>
              </m:r>
            </m:oMath>
            <w:r>
              <w:t xml:space="preserve">=11) vs DoS (tens of thousands)</w:t>
            </w:r>
          </w:p>
        </w:tc>
      </w:tr>
    </w:tbl>
    <w:p>
      <w:pPr>
        <w:pStyle w:val="BodyText"/>
      </w:pPr>
      <w:r>
        <w:t xml:space="preserve">At inference,</w:t>
      </w:r>
      <w:r>
        <w:t xml:space="preserve"> </w:t>
      </w:r>
      <w:r>
        <w:rPr>
          <w:rStyle w:val="VerbatimChar"/>
        </w:rPr>
        <w:t xml:space="preserve">torch.max(outputs, 1)</w:t>
      </w:r>
      <w:r>
        <w:t xml:space="preserve"> </w:t>
      </w:r>
      <w:r>
        <w:t xml:space="preserve">takes argmax — since Softmax is monotonically increasing, argmax(logits) = argmax(softmax(logits)), yielding equivalent results while avoiding unnecessary exponential computation.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73a8a0125e73c5fcdb1eb7cb6df9b2a3fef77f5"/>
    <w:p>
      <w:pPr>
        <w:pStyle w:val="Heading2"/>
      </w:pPr>
      <w:r>
        <w:t xml:space="preserve">§4 Interpretability: Are Model Decisions Reasonable? (E2 + E10)</w:t>
      </w:r>
    </w:p>
    <w:p>
      <w:pPr>
        <w:pStyle w:val="FirstParagraph"/>
      </w:pPr>
      <w:r>
        <w:t xml:space="preserve">Two</w:t>
      </w:r>
      <w:r>
        <w:t xml:space="preserve"> </w:t>
      </w:r>
      <w:r>
        <w:rPr>
          <w:b/>
          <w:bCs/>
        </w:rPr>
        <w:t xml:space="preserve">theoretically independently guaranteed</w:t>
      </w:r>
      <w:r>
        <w:t xml:space="preserve"> </w:t>
      </w:r>
      <w:r>
        <w:t xml:space="preserve">attribution methods applied to</w:t>
      </w:r>
      <w:r>
        <w:t xml:space="preserve"> </w:t>
      </w:r>
      <w:r>
        <w:rPr>
          <w:b/>
          <w:bCs/>
        </w:rPr>
        <w:t xml:space="preserve">architecturally distinct</w:t>
      </w:r>
      <w:r>
        <w:t xml:space="preserve"> </w:t>
      </w:r>
      <w:r>
        <w:t xml:space="preserve">models: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880"/>
        <w:gridCol w:w="2262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Theoretical Basis</w:t>
            </w:r>
          </w:p>
        </w:tc>
        <w:tc>
          <w:tcPr/>
          <w:p>
            <w:pPr>
              <w:pStyle w:val="Compact"/>
            </w:pPr>
            <w:r>
              <w:t xml:space="preserve">Top-1 Feature</w:t>
            </w:r>
          </w:p>
        </w:tc>
        <w:tc>
          <w:tcPr/>
          <w:p>
            <w:pPr>
              <w:pStyle w:val="Compact"/>
            </w:pPr>
            <w:r>
              <w:t xml:space="preserve">Top-2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Shapley axioms (unique fair allocation)</w:t>
            </w:r>
          </w:p>
        </w:tc>
        <w:tc>
          <w:tcPr/>
          <w:p>
            <w:pPr>
              <w:pStyle w:val="Compact"/>
            </w:pPr>
            <w:r>
              <w:t xml:space="preserve">Bwd Pkt Len Std</w:t>
            </w:r>
          </w:p>
        </w:tc>
        <w:tc>
          <w:tcPr/>
          <w:p>
            <w:pPr>
              <w:pStyle w:val="Compact"/>
            </w:pPr>
            <w:r>
              <w:t xml:space="preserve">Init Bwd Win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Gradients</w:t>
            </w:r>
          </w:p>
        </w:tc>
        <w:tc>
          <w:tcPr/>
          <w:p>
            <w:pPr>
              <w:pStyle w:val="Compact"/>
            </w:pPr>
            <w:r>
              <w:t xml:space="preserve">TransECA</w:t>
            </w:r>
          </w:p>
        </w:tc>
        <w:tc>
          <w:tcPr/>
          <w:p>
            <w:pPr>
              <w:pStyle w:val="Compact"/>
            </w:pPr>
            <w:r>
              <w:t xml:space="preserve">Completeness axiom (</w:t>
            </w:r>
            <m:oMath>
              <m:r>
                <m:rPr>
                  <m:sty m:val="p"/>
                </m:rPr>
                <m:t>∑</m:t>
              </m:r>
              <m:r>
                <m:t>I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Init Fwd Win Bytes</w:t>
            </w:r>
          </w:p>
        </w:tc>
        <w:tc>
          <w:tcPr/>
          <w:p>
            <w:pPr>
              <w:pStyle w:val="Compact"/>
            </w:pPr>
            <w:r>
              <w:t xml:space="preserve">Flow Packets/s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Convergence</w:t>
      </w:r>
      <w:r>
        <w:t xml:space="preserve">: Both rank</w:t>
      </w:r>
      <w:r>
        <w:t xml:space="preserve"> </w:t>
      </w:r>
      <w:r>
        <w:rPr>
          <w:rStyle w:val="VerbatimChar"/>
        </w:rPr>
        <w:t xml:space="preserve">Init Win Bytes</w:t>
      </w:r>
      <w:r>
        <w:t xml:space="preserve"> </w:t>
      </w:r>
      <w:r>
        <w:t xml:space="preserve">in Top-2, and both heavily focus on IAT time statistics — perfectly aligned with network security domain knowledge ([Sharafaldin’18]: TCP window and time intervals are core features for detecting DoS/BruteForce).</w:t>
      </w:r>
    </w:p>
    <w:p>
      <w:pPr>
        <w:pStyle w:val="BodyText"/>
      </w:pPr>
      <w:r>
        <w:rPr>
          <w:b/>
          <w:bCs/>
        </w:rPr>
        <w:t xml:space="preserve">SHAP vs Gini</w:t>
      </w:r>
      <w:r>
        <w:t xml:space="preserve">: 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0.9444</m:t>
        </m:r>
      </m:oMath>
      <w:r>
        <w:t xml:space="preserve">. Highly correlated but not perfectly identical — SHAP promotes</w:t>
      </w:r>
      <w:r>
        <w:t xml:space="preserve"> </w:t>
      </w:r>
      <w:r>
        <w:rPr>
          <w:rStyle w:val="VerbatimChar"/>
        </w:rPr>
        <w:t xml:space="preserve">Init Bwd Win Bytes</w:t>
      </w:r>
      <w:r>
        <w:t xml:space="preserve"> </w:t>
      </w:r>
      <w:r>
        <w:t xml:space="preserve">from Gini #23 to #2, because SHAP captures</w:t>
      </w:r>
      <w:r>
        <w:t xml:space="preserve"> </w:t>
      </w:r>
      <w:r>
        <w:rPr>
          <w:b/>
          <w:bCs/>
        </w:rPr>
        <w:t xml:space="preserve">feature interaction effects</w:t>
      </w:r>
      <w:r>
        <w:t xml:space="preserve"> </w:t>
      </w:r>
      <w:r>
        <w:t xml:space="preserve">(satisfying consistency axioms), whereas Gini only measures single-feature split contributions.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: Theoretically independent guarantees × Architecturally independent models × Convergent conclusions = Highly credible</w:t>
      </w:r>
      <w:r>
        <w:t xml:space="preserve"> </w:t>
      </w:r>
      <w:r>
        <w:t xml:space="preserve">“model decisions align with domain knowledge.”</w:t>
      </w:r>
    </w:p>
    <w:p>
      <w:r>
        <w:pict>
          <v:rect style="width:0;height:1.5pt" o:hralign="center" o:hrstd="t" o:hr="t"/>
        </w:pict>
      </w:r>
    </w:p>
    <w:bookmarkEnd w:id="20"/>
    <w:bookmarkStart w:id="23" w:name="statistical-reliability-e6-e1"/>
    <w:p>
      <w:pPr>
        <w:pStyle w:val="Heading2"/>
      </w:pPr>
      <w:r>
        <w:t xml:space="preserve">§5 Statistical Reliability (E6 + E1)</w:t>
      </w:r>
    </w:p>
    <w:bookmarkStart w:id="21" w:name="bootstrap-confidence-intervals-e6"/>
    <w:p>
      <w:pPr>
        <w:pStyle w:val="Heading3"/>
      </w:pPr>
      <w:r>
        <w:t xml:space="preserve">5.1 Bootstrap Confidence Intervals (E6)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Test Set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W-F1</w:t>
            </w:r>
          </w:p>
        </w:tc>
        <w:tc>
          <w:tcPr/>
          <w:p>
            <w:pPr>
              <w:pStyle w:val="Compact"/>
            </w:pPr>
            <w:r>
              <w:t xml:space="preserve">95% CI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(RF)</w:t>
            </w:r>
          </w:p>
        </w:tc>
        <w:tc>
          <w:tcPr/>
          <w:p>
            <w:pPr>
              <w:pStyle w:val="Compact"/>
            </w:pPr>
            <w:r>
              <w:t xml:space="preserve">462,762</w:t>
            </w:r>
          </w:p>
        </w:tc>
        <w:tc>
          <w:tcPr/>
          <w:p>
            <w:pPr>
              <w:pStyle w:val="Compact"/>
            </w:pPr>
            <w:r>
              <w:t xml:space="preserve">0.9991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(TransECA)</w:t>
            </w:r>
          </w:p>
        </w:tc>
        <w:tc>
          <w:tcPr/>
          <w:p>
            <w:pPr>
              <w:pStyle w:val="Compact"/>
            </w:pPr>
            <w:r>
              <w:t xml:space="preserve">67,317</w:t>
            </w:r>
          </w:p>
        </w:tc>
        <w:tc>
          <w:tcPr/>
          <w:p>
            <w:pPr>
              <w:pStyle w:val="Compact"/>
            </w:pPr>
            <w:r>
              <w:t xml:space="preserve">0.9506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(TransECA)</w:t>
            </w:r>
          </w:p>
        </w:tc>
        <w:tc>
          <w:tcPr/>
          <w:p>
            <w:pPr>
              <w:pStyle w:val="Compact"/>
            </w:pPr>
            <w:r>
              <w:t xml:space="preserve">67,317</w:t>
            </w:r>
          </w:p>
        </w:tc>
        <w:tc>
          <w:tcPr/>
          <w:p>
            <w:pPr>
              <w:pStyle w:val="Compact"/>
            </w:pPr>
            <w:r>
              <w:t xml:space="preserve">M-F1 = 0.766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0.0736</w:t>
            </w:r>
          </w:p>
        </w:tc>
      </w:tr>
    </w:tbl>
    <w:p>
      <w:pPr>
        <w:pStyle w:val="BodyText"/>
      </w:pPr>
      <w:r>
        <w:t xml:space="preserve">CI Width comparison with theoretical expectation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: S1 Width /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= 0.14 (because F1≈1, variance is minimal); S2 W-F1 Width /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= 0.75 (close to theoretical).</w:t>
      </w:r>
    </w:p>
    <w:p>
      <w:pPr>
        <w:pStyle w:val="BodyText"/>
      </w:pPr>
      <w:r>
        <w:rPr>
          <w:b/>
          <w:bCs/>
        </w:rPr>
        <w:t xml:space="preserve">Why is the M-F1 CI particularly wide?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M-F1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t xml:space="preserve">Heartbleed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, Infiltration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→ the variance of these two extreme minority classes (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) dominates total M-F1 variance.</w:t>
      </w:r>
      <w:r>
        <w:t xml:space="preserve"> </w:t>
      </w:r>
      <w:r>
        <w:rPr>
          <w:b/>
          <w:bCs/>
        </w:rPr>
        <w:t xml:space="preserve">Wide CI is not a model deficiency but the inherent uncertainty of small samples.</w:t>
      </w:r>
    </w:p>
    <w:bookmarkEnd w:id="21"/>
    <w:bookmarkStart w:id="22" w:name="nested-cv-unbiasedness-e1"/>
    <w:p>
      <w:pPr>
        <w:pStyle w:val="Heading3"/>
      </w:pPr>
      <w:r>
        <w:t xml:space="preserve">5.2 Nested CV Unbiasedness (E1)</w:t>
      </w:r>
    </w:p>
    <w:p>
      <w:pPr>
        <w:pStyle w:val="FirstParagraph"/>
      </w:pPr>
      <w:r>
        <w:t xml:space="preserve">E1 employs 5×3 Nested CV (outer loop for evaluation, inner loop for tuning, searching 1,296 combinations), reporting F1-Macro = 0.796. The gap from full training F1 ≈ 1.00 stems from the effect of increased data volume, not selection bias (ordinary CV with hyperparameter search would produce optimistic bias).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ias-variance-characteristics-e4"/>
    <w:p>
      <w:pPr>
        <w:pStyle w:val="Heading2"/>
      </w:pPr>
      <w:r>
        <w:t xml:space="preserve">§6 Bias-Variance Characteristics (E4)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8"/>
        <w:gridCol w:w="3116"/>
        <w:gridCol w:w="2466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Theoretical Expectation</w:t>
            </w:r>
          </w:p>
        </w:tc>
        <w:tc>
          <w:tcPr/>
          <w:p>
            <w:pPr>
              <w:pStyle w:val="Compact"/>
            </w:pPr>
            <w:r>
              <w:t xml:space="preserve">Experimental Result</w:t>
            </w:r>
          </w:p>
        </w:tc>
        <w:tc>
          <w:tcPr/>
          <w:p>
            <w:pPr>
              <w:pStyle w:val="Compact"/>
            </w:pPr>
            <w:r>
              <w:t xml:space="preserve">Verified?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Variance</w:t>
            </w:r>
          </w:p>
        </w:tc>
        <w:tc>
          <w:tcPr/>
          <w:p>
            <w:pPr>
              <w:pStyle w:val="Compact"/>
            </w:pPr>
            <w:r>
              <w:t xml:space="preserve">Low (Bagging: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Var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ρ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B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↑</m:t>
              </m:r>
            </m:oMath>
            <w:r>
              <w:t xml:space="preserve"> </w:t>
            </w:r>
            <w:r>
              <w:t xml:space="preserve">reduces Var)</w:t>
            </w:r>
          </w:p>
        </w:tc>
        <w:tc>
          <w:tcPr/>
          <w:p>
            <w:pPr>
              <w:pStyle w:val="Compact"/>
            </w:pPr>
            <w:r>
              <w:t xml:space="preserve">OOB Gap: 0.00173→0.00171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Bias</w:t>
            </w:r>
          </w:p>
        </w:tc>
        <w:tc>
          <w:tcPr/>
          <w:p>
            <w:pPr>
              <w:pStyle w:val="Compact"/>
            </w:pPr>
            <w:r>
              <w:t xml:space="preserve">Low (decision trees are strong learners)</w:t>
            </w:r>
          </w:p>
        </w:tc>
        <w:tc>
          <w:tcPr/>
          <w:p>
            <w:pPr>
              <w:pStyle w:val="Compact"/>
            </w:pPr>
            <w:r>
              <w:t xml:space="preserve">L-Curve Gap@100% = 0.0016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 Variance</w:t>
            </w:r>
          </w:p>
        </w:tc>
        <w:tc>
          <w:tcPr/>
          <w:p>
            <w:pPr>
              <w:pStyle w:val="Compact"/>
            </w:pPr>
            <w:r>
              <w:t xml:space="preserve">High ([Kwon’17] expectation)</w:t>
            </w:r>
          </w:p>
        </w:tc>
        <w:tc>
          <w:tcPr/>
          <w:p>
            <w:pPr>
              <w:pStyle w:val="Compact"/>
            </w:pPr>
            <w:r>
              <w:t xml:space="preserve">Gen Gap = +0.006 (low!)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 Bias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 = 93% (moderate)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is [Kwon’17]’s</w:t>
      </w:r>
      <w:r>
        <w:rPr>
          <w:b/>
          <w:bCs/>
        </w:rPr>
        <w:t xml:space="preserve"> </w:t>
      </w:r>
      <w:r>
        <w:rPr>
          <w:b/>
          <w:bCs/>
        </w:rPr>
        <w:t xml:space="preserve">“DL High Variance”</w:t>
      </w:r>
      <w:r>
        <w:rPr>
          <w:b/>
          <w:bCs/>
        </w:rPr>
        <w:t xml:space="preserve"> </w:t>
      </w:r>
      <w:r>
        <w:rPr>
          <w:b/>
          <w:bCs/>
        </w:rPr>
        <w:t xml:space="preserve">prediction overturned?</w:t>
      </w:r>
    </w:p>
    <w:p>
      <w:pPr>
        <w:pStyle w:val="BodyText"/>
      </w:pPr>
      <w:r>
        <w:t xml:space="preserve">The prediction’s premise is insufficient data or inadequate regularization. In this experiment, AdamW weight decay + CosineAnnealing provide effective regularization, placing TransECA-Net at a</w:t>
      </w:r>
      <w:r>
        <w:t xml:space="preserve"> </w:t>
      </w:r>
      <w:r>
        <w:rPr>
          <w:b/>
          <w:bCs/>
        </w:rPr>
        <w:t xml:space="preserve">moderate Bias + low Variance</w:t>
      </w:r>
      <w:r>
        <w:t xml:space="preserve"> </w:t>
      </w:r>
      <w:r>
        <w:t xml:space="preserve">operating point.</w:t>
      </w:r>
    </w:p>
    <w:p>
      <w:pPr>
        <w:pStyle w:val="BodyText"/>
      </w:pPr>
      <w:r>
        <w:rPr>
          <w:b/>
          <w:bCs/>
        </w:rPr>
        <w:t xml:space="preserve">Capacity Transition (Deep vs Shallow)</w:t>
      </w:r>
      <w:r>
        <w:t xml:space="preserve">: CNN-Only (2.7K params, 62% Acc) → TransECA (301K params, 93% Acc), a 31pp leap. This indicates that the</w:t>
      </w:r>
      <w:r>
        <w:t xml:space="preserve"> </w:t>
      </w:r>
      <w:r>
        <w:rPr>
          <w:b/>
          <w:bCs/>
        </w:rPr>
        <w:t xml:space="preserve">model capacity</w:t>
      </w:r>
      <w:r>
        <w:t xml:space="preserve"> </w:t>
      </w:r>
      <w:r>
        <w:t xml:space="preserve">required for 15-class attack classification far exceeds what a simple CNN can provide — the shallow network’s function 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(1-layer CNN + FC) cannot express the complex boundaries among 15 attack classes, while the deep network (CNN + 3-layer Transformer) builds a sufficiently rich function 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d</m:t>
            </m:r>
            <m:r>
              <m:t>e</m:t>
            </m:r>
            <m:r>
              <m:t>e</m:t>
            </m:r>
            <m:r>
              <m:t>p</m:t>
            </m:r>
          </m:sub>
        </m:sSub>
        <m:r>
          <m:rPr>
            <m:sty m:val="p"/>
          </m:rPr>
          <m:t>⊃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through layer-wise non-linear transformations.</w:t>
      </w:r>
    </w:p>
    <w:bookmarkStart w:id="24" w:name="backpropagation-and-the-chain-rule"/>
    <w:p>
      <w:pPr>
        <w:pStyle w:val="Heading3"/>
      </w:pPr>
      <w:r>
        <w:t xml:space="preserve">6.1 Backpropagation and the Chain Rule</w:t>
      </w:r>
    </w:p>
    <w:p>
      <w:pPr>
        <w:pStyle w:val="FirstParagraph"/>
      </w:pPr>
      <w:r>
        <w:t xml:space="preserve">The Bias-Variance characteristics above are a direct consequence of</w:t>
      </w:r>
      <w:r>
        <w:t xml:space="preserve"> </w:t>
      </w:r>
      <w:r>
        <w:rPr>
          <w:b/>
          <w:bCs/>
        </w:rPr>
        <w:t xml:space="preserve">backpropagation training</w:t>
      </w:r>
      <w:r>
        <w:t xml:space="preserve">. TransECA-Net’s gradient chain: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o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o</m:t>
                  </m:r>
                  <m:r>
                    <m:t>l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A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N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N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</m:oMath>
      </m:oMathPara>
    </w:p>
    <w:p>
      <w:pPr>
        <w:pStyle w:val="FirstParagraph"/>
      </w:pPr>
      <w:r>
        <w:t xml:space="preserve">Manifestation in training code: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0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Backpropagation Step</w:t>
            </w:r>
          </w:p>
        </w:tc>
        <w:tc>
          <w:tcPr/>
          <w:p>
            <w:pPr>
              <w:pStyle w:val="Compact"/>
            </w:pPr>
            <w:r>
              <w:t xml:space="preserve">Theoretical Correspondence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loss = criterion(outputs, labels)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</m:oMath>
            <w:r>
              <w:t xml:space="preserve"> </w:t>
            </w:r>
            <w:r>
              <w:t xml:space="preserve">(CrossEntropy)</w:t>
            </w:r>
          </w:p>
        </w:tc>
        <w:tc>
          <w:tcPr/>
          <w:p>
            <w:pPr>
              <w:pStyle w:val="Compact"/>
            </w:pPr>
            <w:r>
              <w:t xml:space="preserve">Loss function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loss.backward()</w:t>
            </w:r>
          </w:p>
        </w:tc>
        <w:tc>
          <w:tcPr/>
          <w:p>
            <w:pPr>
              <w:pStyle w:val="Compact"/>
            </w:pPr>
            <w:r>
              <w:t xml:space="preserve">autograd executes chain rule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θ</m:t>
              </m:r>
            </m:oMath>
            <w:r>
              <w:t xml:space="preserve"> </w:t>
            </w:r>
            <w:r>
              <w:t xml:space="preserve">propagated layer by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optimizer.step()</w:t>
            </w:r>
          </w:p>
        </w:tc>
        <w:tc>
          <w:tcPr/>
          <w:p>
            <w:pPr>
              <w:pStyle w:val="Compact"/>
            </w:pPr>
            <w:r>
              <w:t xml:space="preserve">AdamW update: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←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</m:rad>
              <m:r>
                <m:rPr>
                  <m:sty m:val="p"/>
                </m:rPr>
                <m:t>+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t xml:space="preserve">Parameter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scaler.scale(loss).backward()</w:t>
            </w:r>
          </w:p>
        </w:tc>
        <w:tc>
          <w:tcPr/>
          <w:p>
            <w:pPr>
              <w:pStyle w:val="Compact"/>
            </w:pPr>
            <w:r>
              <w:t xml:space="preserve">AMP gradient scaling</w:t>
            </w:r>
          </w:p>
        </w:tc>
        <w:tc>
          <w:tcPr/>
          <w:p>
            <w:pPr>
              <w:pStyle w:val="Compact"/>
            </w:pPr>
            <w:r>
              <w:t xml:space="preserve">Prevents FP16 gradient underflow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does backpropagation matter here?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 Gap = 0.006</w:t>
      </w:r>
      <w:r>
        <w:t xml:space="preserve"> </w:t>
      </w:r>
      <w:r>
        <w:t xml:space="preserve">(E4): Demonstrates that backpropagation + AdamW weight decay found a well-generalizing solution in the 301K parameter space without overfitting.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E14 adversarial attacks are the dual application of backpropagation</w:t>
      </w:r>
      <w:r>
        <w:t xml:space="preserve">: FGSM/PGD use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(gradients w.r.t.</w:t>
      </w:r>
      <w:r>
        <w:t xml:space="preserve"> </w:t>
      </w:r>
      <w:r>
        <w:rPr>
          <w:b/>
          <w:bCs/>
        </w:rPr>
        <w:t xml:space="preserve">input</w:t>
      </w:r>
      <w:r>
        <w:t xml:space="preserve">) rather than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(gradients w.r.t.</w:t>
      </w:r>
      <w:r>
        <w:t xml:space="preserve"> </w:t>
      </w:r>
      <w:r>
        <w:rPr>
          <w:b/>
          <w:bCs/>
        </w:rPr>
        <w:t xml:space="preserve">parameters</w:t>
      </w:r>
      <w:r>
        <w:t xml:space="preserve">) to generate adversarial examples. RF’s immunity to gradient attacks is precisely because it doesn’t rely on backpropagation (</w:t>
      </w:r>
      <m:oMath>
        <m:r>
          <m:rPr>
            <m:sty m:val="p"/>
          </m:rPr>
          <m:t>∇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piecewise constant function).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IG attribution (E10)</w:t>
      </w:r>
      <w:r>
        <w:t xml:space="preserve">: Integrated Gradients integrates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</m:oMath>
      <w:r>
        <w:t xml:space="preserve"> </w:t>
      </w:r>
      <w:r>
        <w:t xml:space="preserve">along the input path — fundamentally another application of the chain rule — proving that backpropagation supports not only training but also interpretability analysis.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generalization-capability-e15-e12"/>
    <w:p>
      <w:pPr>
        <w:pStyle w:val="Heading2"/>
      </w:pPr>
      <w:r>
        <w:t xml:space="preserve">§7 Generalization Capability (E15 + E12)</w:t>
      </w:r>
    </w:p>
    <w:bookmarkStart w:id="26" w:name="X9c17971cbacf5b23cb43218db2dc47f587610b5"/>
    <w:p>
      <w:pPr>
        <w:pStyle w:val="Heading3"/>
      </w:pPr>
      <w:r>
        <w:t xml:space="preserve">7.1 Cross-Dataset Architecture Generalization (E15)</w:t>
      </w:r>
    </w:p>
    <w:p>
      <w:pPr>
        <w:pStyle w:val="FirstParagraph"/>
      </w:pPr>
      <w:r>
        <w:t xml:space="preserve">TransECA-Net (same architecture, zero modifications) trained from scratch on UNSW-NB15 (186 features, 10 classes):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W-F1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CIC-IDS2017</w:t>
            </w:r>
          </w:p>
        </w:tc>
        <w:tc>
          <w:tcPr/>
          <w:p>
            <w:pPr>
              <w:pStyle w:val="Compact"/>
            </w:pPr>
            <w:r>
              <w:t xml:space="preserve">93.00%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63.64%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0.703</w:t>
            </w:r>
          </w:p>
        </w:tc>
      </w:tr>
    </w:tbl>
    <w:p>
      <w:pPr>
        <w:pStyle w:val="BodyText"/>
      </w:pPr>
      <w:r>
        <w:t xml:space="preserve">The performance drop conforms to domain adaptation theory (Ben-David et al., 2010): target domain error = source domain error + inter-domain distribution distance + irreducible term. The two datasets differ significantly in feature space (76 vs 186), labeling protocol, and attack distribution.</w:t>
      </w:r>
    </w:p>
    <w:p>
      <w:pPr>
        <w:pStyle w:val="BodyText"/>
      </w:pPr>
      <w:r>
        <w:t xml:space="preserve">Yet W-F1 = 0.703 &gt; random baseline (0.1), with Generic F1=0.97 and Reconnaissance F1=0.80, proving</w:t>
      </w:r>
      <w:r>
        <w:t xml:space="preserve"> </w:t>
      </w:r>
      <w:r>
        <w:rPr>
          <w:b/>
          <w:bCs/>
        </w:rPr>
        <w:t xml:space="preserve">the architecture possesses cross-domain generalizability</w:t>
      </w:r>
      <w:r>
        <w:t xml:space="preserve">.</w:t>
      </w:r>
    </w:p>
    <w:bookmarkEnd w:id="26"/>
    <w:bookmarkStart w:id="27" w:name="representation-learning-quality-e12"/>
    <w:p>
      <w:pPr>
        <w:pStyle w:val="Heading3"/>
      </w:pPr>
      <w:r>
        <w:t xml:space="preserve">7.2 Representation Learning Quality (E12)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Silhouette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Features (76-dim)</w:t>
            </w:r>
          </w:p>
        </w:tc>
        <w:tc>
          <w:tcPr/>
          <w:p>
            <w:pPr>
              <w:pStyle w:val="Compact"/>
            </w:pPr>
            <w:r>
              <w:t xml:space="preserve">-0.1985</w:t>
            </w:r>
          </w:p>
        </w:tc>
        <w:tc>
          <w:tcPr/>
          <w:p>
            <w:pPr>
              <w:pStyle w:val="Compact"/>
            </w:pPr>
            <w:r>
              <w:t xml:space="preserve">High inter-class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TransECA Embeddings (128-dim)</w:t>
            </w:r>
          </w:p>
        </w:tc>
        <w:tc>
          <w:tcPr/>
          <w:p>
            <w:pPr>
              <w:pStyle w:val="Compact"/>
            </w:pPr>
            <w:r>
              <w:t xml:space="preserve">-0.0814</w:t>
            </w:r>
          </w:p>
        </w:tc>
        <w:tc>
          <w:tcPr/>
          <w:p>
            <w:pPr>
              <w:pStyle w:val="Compact"/>
            </w:pPr>
            <w:r>
              <w:t xml:space="preserve">Reduced 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+59%</w:t>
            </w:r>
          </w:p>
        </w:tc>
        <w:tc>
          <w:tcPr/>
          <w:p>
            <w:pPr>
              <w:pStyle w:val="Compact"/>
            </w:pPr>
            <w:r>
              <w:t xml:space="preserve">Learned representations outperform raw features</w:t>
            </w:r>
          </w:p>
        </w:tc>
      </w:tr>
    </w:tbl>
    <w:p>
      <w:pPr>
        <w:pStyle w:val="BodyText"/>
      </w:pPr>
      <w:r>
        <w:t xml:space="preserve">Silhouette scores remaining negative indicate that the 15 attack classes indeed have</w:t>
      </w:r>
      <w:r>
        <w:t xml:space="preserve"> </w:t>
      </w:r>
      <w:r>
        <w:rPr>
          <w:b/>
          <w:bCs/>
        </w:rPr>
        <w:t xml:space="preserve">inherent overlap</w:t>
      </w:r>
      <w:r>
        <w:t xml:space="preserve"> </w:t>
      </w:r>
      <w:r>
        <w:t xml:space="preserve">(especially DoS subclasses). Together with E6’s wide M-F1 CI and E15’s low minority class F1, this points to the same root cause:</w:t>
      </w:r>
      <w:r>
        <w:t xml:space="preserve"> </w:t>
      </w:r>
      <w:r>
        <w:rPr>
          <w:b/>
          <w:bCs/>
        </w:rPr>
        <w:t xml:space="preserve">inherent similarity between attack subclasses is the systemic bottleneck</w:t>
      </w:r>
      <w:r>
        <w:t xml:space="preserve">.</w:t>
      </w:r>
    </w:p>
    <w:p>
      <w:pPr>
        <w:pStyle w:val="BodyText"/>
      </w:pPr>
      <w:r>
        <w:t xml:space="preserve">However, the +59% improvement demonstrates that TransECA-Net learns better discriminative representations than raw features, validating [Kwon’17]’s core claim about DL’s representation learning advantages.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dversarial-robustness-e14"/>
    <w:p>
      <w:pPr>
        <w:pStyle w:val="Heading2"/>
      </w:pPr>
      <w:r>
        <w:t xml:space="preserve">§8 Adversarial Robustness (E14)</w:t>
      </w:r>
    </w:p>
    <w:bookmarkStart w:id="29" w:name="attack-experiment-results"/>
    <w:p>
      <w:pPr>
        <w:pStyle w:val="Heading3"/>
      </w:pPr>
      <w:r>
        <w:t xml:space="preserve">8.1 Attack Experiment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ε=0.001</w:t>
            </w:r>
          </w:p>
        </w:tc>
        <w:tc>
          <w:tcPr/>
          <w:p>
            <w:pPr>
              <w:pStyle w:val="Compact"/>
            </w:pPr>
            <w:r>
              <w:t xml:space="preserve">ε=0.01</w:t>
            </w:r>
          </w:p>
        </w:tc>
        <w:tc>
          <w:tcPr/>
          <w:p>
            <w:pPr>
              <w:pStyle w:val="Compact"/>
            </w:pPr>
            <w:r>
              <w:t xml:space="preserve">ε=0.1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(L∞ noise)</w:t>
            </w:r>
          </w:p>
        </w:tc>
        <w:tc>
          <w:tcPr/>
          <w:p>
            <w:pPr>
              <w:pStyle w:val="Compact"/>
            </w:pPr>
            <w:r>
              <w:t xml:space="preserve">99.59%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46.94%</w:t>
            </w:r>
          </w:p>
        </w:tc>
        <w:tc>
          <w:tcPr/>
          <w:p>
            <w:pPr>
              <w:pStyle w:val="Compact"/>
            </w:pPr>
            <w:r>
              <w:t xml:space="preserve">6.45%</w:t>
            </w:r>
          </w:p>
        </w:tc>
        <w:tc>
          <w:tcPr/>
          <w:p>
            <w:pPr>
              <w:pStyle w:val="Compact"/>
            </w:pPr>
            <w:r>
              <w:t xml:space="preserve">0.43%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TransECA FGSM</w:t>
            </w:r>
          </w:p>
        </w:tc>
        <w:tc>
          <w:tcPr/>
          <w:p>
            <w:pPr>
              <w:pStyle w:val="Compact"/>
            </w:pPr>
            <w:r>
              <w:t xml:space="preserve">92.16%</w:t>
            </w:r>
          </w:p>
        </w:tc>
        <w:tc>
          <w:tcPr/>
          <w:p>
            <w:pPr>
              <w:pStyle w:val="Compact"/>
            </w:pPr>
            <w:r>
              <w:t xml:space="preserve">90.26%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75.73%</w:t>
            </w:r>
          </w:p>
        </w:tc>
        <w:tc>
          <w:tcPr/>
          <w:p>
            <w:pPr>
              <w:pStyle w:val="Compact"/>
            </w:pPr>
            <w:r>
              <w:t xml:space="preserve">6.09%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TransECA PGD</w:t>
            </w:r>
          </w:p>
        </w:tc>
        <w:tc>
          <w:tcPr/>
          <w:p>
            <w:pPr>
              <w:pStyle w:val="Compact"/>
            </w:pPr>
            <w:r>
              <w:t xml:space="preserve">92.16%</w:t>
            </w:r>
          </w:p>
        </w:tc>
        <w:tc>
          <w:tcPr/>
          <w:p>
            <w:pPr>
              <w:pStyle w:val="Compact"/>
            </w:pPr>
            <w:r>
              <w:t xml:space="preserve">90.20%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47.28%</w:t>
            </w:r>
          </w:p>
        </w:tc>
        <w:tc>
          <w:tcPr/>
          <w:p>
            <w:pPr>
              <w:pStyle w:val="Compact"/>
            </w:pPr>
            <w:r>
              <w:t xml:space="preserve">0.66%</w:t>
            </w:r>
          </w:p>
        </w:tc>
      </w:tr>
    </w:tbl>
    <w:bookmarkEnd w:id="29"/>
    <w:bookmarkStart w:id="30" w:name="three-key-findings"/>
    <w:p>
      <w:pPr>
        <w:pStyle w:val="Heading3"/>
      </w:pPr>
      <w:r>
        <w:t xml:space="preserve">8.2 Three Key Findings</w:t>
      </w:r>
    </w:p>
    <w:p>
      <w:pPr>
        <w:pStyle w:val="FirstParagraph"/>
      </w:pPr>
      <w:r>
        <w:rPr>
          <w:b/>
          <w:bCs/>
        </w:rPr>
        <w:t xml:space="preserve">① RF is unexpectedly fragile</w:t>
      </w:r>
      <w:r>
        <w:t xml:space="preserve">: ε=0.001 drops accuracy from 99.6% to 47%, overturning the assumption that</w:t>
      </w:r>
      <w:r>
        <w:t xml:space="preserve"> </w:t>
      </w:r>
      <w:r>
        <w:t xml:space="preserve">“RF is naturally robust.”</w:t>
      </w:r>
      <w:r>
        <w:t xml:space="preserve"> </w:t>
      </w:r>
      <w:r>
        <w:t xml:space="preserve">Reason: RF decision boundaries are axis-aligned hyperrectangles; minimal feature value shifts can cross boundaries.</w:t>
      </w:r>
    </w:p>
    <w:p>
      <w:pPr>
        <w:pStyle w:val="BodyText"/>
      </w:pPr>
      <w:r>
        <w:rPr>
          <w:b/>
          <w:bCs/>
        </w:rPr>
        <w:t xml:space="preserve">② PGD &gt; FGSM</w:t>
      </w:r>
      <w:r>
        <w:t xml:space="preserve">: At ε=0.01, PGD is 28.5pp lower than FGSM (47% vs 76%), because PGD uses multi-step iterative optimization to find stronger adversarial examples within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ball (Madry et al., 2018).</w:t>
      </w:r>
    </w:p>
    <w:p>
      <w:pPr>
        <w:pStyle w:val="BodyText"/>
      </w:pPr>
      <w:r>
        <w:rPr>
          <w:b/>
          <w:bCs/>
        </w:rPr>
        <w:t xml:space="preserve">③ Orthogonal weaknesses = system-level robustness</w:t>
      </w:r>
      <w:r>
        <w:t xml:space="preserve">: RF is fragile to random noise but</w:t>
      </w:r>
      <w:r>
        <w:t xml:space="preserve"> </w:t>
      </w:r>
      <w:r>
        <w:rPr>
          <w:b/>
          <w:bCs/>
        </w:rPr>
        <w:t xml:space="preserve">immune to gradient attacks</w:t>
      </w:r>
      <w:r>
        <w:t xml:space="preserve"> </w:t>
      </w:r>
      <w:r>
        <w:t xml:space="preserve">(piecewise constant function,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 TransECA is robust to random noise but sensitive to gradient attacks. No single attack strategy can simultaneously breach both layers.</w:t>
      </w:r>
    </w:p>
    <w:p>
      <w:pPr>
        <w:pStyle w:val="BodyText"/>
      </w:pPr>
      <w:r>
        <w:t xml:space="preserve">**System Evasion Probability (under Structural Independence Assumption):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Evasion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 misclassifies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reaches Stage 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0.1525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0.4728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0.0804</m:t>
          </m:r>
        </m:oMath>
      </m:oMathPara>
    </w:p>
    <w:p>
      <w:pPr>
        <w:pStyle w:val="FirstParagraph"/>
      </w:pPr>
      <w:r>
        <w:t xml:space="preserve">Even under the strong PGD attack at ε=0.01, the system-level evasion rate is only</w:t>
      </w:r>
      <w:r>
        <w:t xml:space="preserve"> </w:t>
      </w:r>
      <w:r>
        <w:rPr>
          <w:b/>
          <w:bCs/>
        </w:rPr>
        <w:t xml:space="preserve">8.04%</w:t>
      </w:r>
      <w:r>
        <w:t xml:space="preserve">, far below single-layer TransECA’s 52.72%. The hierarchical architecture’s security benefit stems from</w:t>
      </w:r>
      <w:r>
        <w:t xml:space="preserve"> </w:t>
      </w:r>
      <w:r>
        <w:rPr>
          <w:b/>
          <w:bCs/>
        </w:rPr>
        <w:t xml:space="preserve">attack surface isolation + pass-through rate limitation</w:t>
      </w:r>
      <w:r>
        <w:t xml:space="preserve">, not absolute robustness of any single layer.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16fa5cdd2f2bcf4b6c9e7c59bc4d8cf5a1b2a2f"/>
    <w:p>
      <w:pPr>
        <w:pStyle w:val="Heading2"/>
      </w:pPr>
      <w:r>
        <w:t xml:space="preserve">§9 Cross-Validation Matrix: Theoretical Predictions vs Experiments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Verification Experiment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Bagging reduces RF Variance</w:t>
            </w:r>
          </w:p>
        </w:tc>
        <w:tc>
          <w:tcPr/>
          <w:p>
            <w:pPr>
              <w:pStyle w:val="Compact"/>
            </w:pPr>
            <w:r>
              <w:t xml:space="preserve">Breiman (2001)</w:t>
            </w:r>
          </w:p>
        </w:tc>
        <w:tc>
          <w:tcPr/>
          <w:p>
            <w:pPr>
              <w:pStyle w:val="Compact"/>
            </w:pPr>
            <w:r>
              <w:t xml:space="preserve">E4: OOB 50→200 trees nearly unchanged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 High Variance</w:t>
            </w:r>
          </w:p>
        </w:tc>
        <w:tc>
          <w:tcPr/>
          <w:p>
            <w:pPr>
              <w:pStyle w:val="Compact"/>
            </w:pPr>
            <w:r>
              <w:t xml:space="preserve">[Kwon’17]</w:t>
            </w:r>
          </w:p>
        </w:tc>
        <w:tc>
          <w:tcPr/>
          <w:p>
            <w:pPr>
              <w:pStyle w:val="Compact"/>
            </w:pPr>
            <w:r>
              <w:t xml:space="preserve">E4: Gen Gap = 0.006 (low)</w:t>
            </w:r>
          </w:p>
        </w:tc>
        <w:tc>
          <w:tcPr/>
          <w:p>
            <w:pPr>
              <w:pStyle w:val="Compact"/>
            </w:pPr>
            <w:r>
              <w:t xml:space="preserve">Overturned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robust to perturbation</w:t>
            </w:r>
          </w:p>
        </w:tc>
        <w:tc>
          <w:tcPr/>
          <w:p>
            <w:pPr>
              <w:pStyle w:val="Compact"/>
            </w:pPr>
            <w:r>
              <w:t xml:space="preserve">Design assumption</w:t>
            </w:r>
          </w:p>
        </w:tc>
        <w:tc>
          <w:tcPr/>
          <w:p>
            <w:pPr>
              <w:pStyle w:val="Compact"/>
            </w:pPr>
            <w:r>
              <w:t xml:space="preserve">E14: RF ε=0.001 → 47%</w:t>
            </w:r>
          </w:p>
        </w:tc>
        <w:tc>
          <w:tcPr/>
          <w:p>
            <w:pPr>
              <w:pStyle w:val="Compact"/>
            </w:pPr>
            <w:r>
              <w:t xml:space="preserve">Overturned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PGD stronger than FGSM</w:t>
            </w:r>
          </w:p>
        </w:tc>
        <w:tc>
          <w:tcPr/>
          <w:p>
            <w:pPr>
              <w:pStyle w:val="Compact"/>
            </w:pPr>
            <w:r>
              <w:t xml:space="preserve">Madry (2018)</w:t>
            </w:r>
          </w:p>
        </w:tc>
        <w:tc>
          <w:tcPr/>
          <w:p>
            <w:pPr>
              <w:pStyle w:val="Compact"/>
            </w:pPr>
            <w:r>
              <w:t xml:space="preserve">E14: PGD vs FGSM</w:t>
            </w:r>
            <w:r>
              <w:t xml:space="preserve"> </w:t>
            </w:r>
            <w:r>
              <w:t xml:space="preserve">@ε</w:t>
            </w:r>
            <w:r>
              <w:t xml:space="preserve">=0.01: 47% vs 76%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 axiomatic uniqueness</w:t>
            </w:r>
          </w:p>
        </w:tc>
        <w:tc>
          <w:tcPr/>
          <w:p>
            <w:pPr>
              <w:pStyle w:val="Compact"/>
            </w:pPr>
            <w:r>
              <w:t xml:space="preserve">Lundberg (2017)</w:t>
            </w:r>
          </w:p>
        </w:tc>
        <w:tc>
          <w:tcPr/>
          <w:p>
            <w:pPr>
              <w:pStyle w:val="Compact"/>
            </w:pPr>
            <w:r>
              <w:t xml:space="preserve">E2: SHAP vs Gini ρ=0.94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representations outperform raw features</w:t>
            </w:r>
          </w:p>
        </w:tc>
        <w:tc>
          <w:tcPr/>
          <w:p>
            <w:pPr>
              <w:pStyle w:val="Compact"/>
            </w:pPr>
            <w:r>
              <w:t xml:space="preserve">[Kwon’17]</w:t>
            </w:r>
          </w:p>
        </w:tc>
        <w:tc>
          <w:tcPr/>
          <w:p>
            <w:pPr>
              <w:pStyle w:val="Compact"/>
            </w:pPr>
            <w:r>
              <w:t xml:space="preserve">E12: Silhouette +59%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 reduces expected cost</w:t>
            </w:r>
          </w:p>
        </w:tc>
        <w:tc>
          <w:tcPr/>
          <w:p>
            <w:pPr>
              <w:pStyle w:val="Compact"/>
            </w:pPr>
            <w:r>
              <w:t xml:space="preserve">§1 derivation</w:t>
            </w:r>
          </w:p>
        </w:tc>
        <w:tc>
          <w:tcPr/>
          <w:p>
            <w:pPr>
              <w:pStyle w:val="Compact"/>
            </w:pPr>
            <w:r>
              <w:t xml:space="preserve">E11+E17: 6.07× speedup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Cross-domain generalization limited by domain distance</w:t>
            </w:r>
          </w:p>
        </w:tc>
        <w:tc>
          <w:tcPr/>
          <w:p>
            <w:pPr>
              <w:pStyle w:val="Compact"/>
            </w:pPr>
            <w:r>
              <w:t xml:space="preserve">Ben-David (2010)</w:t>
            </w:r>
          </w:p>
        </w:tc>
        <w:tc>
          <w:tcPr/>
          <w:p>
            <w:pPr>
              <w:pStyle w:val="Compact"/>
            </w:pPr>
            <w:r>
              <w:t xml:space="preserve">E15: UNSW 64% &lt; CIC 93%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Width ∝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Efron (1979)</w:t>
            </w:r>
          </w:p>
        </w:tc>
        <w:tc>
          <w:tcPr/>
          <w:p>
            <w:pPr>
              <w:pStyle w:val="Compact"/>
            </w:pPr>
            <w:r>
              <w:t xml:space="preserve">E6: S1 Width 0.0002, S2 Width 0.003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M-F1 CI dominated by minority class samples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Var</m:t>
              </m:r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E6: M-F1 CI = 0.074 (Heartbleed n=11)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10 verified, 2 overturned</w:t>
      </w:r>
      <w:r>
        <w:t xml:space="preserve">. The two overturned predictions do not weaken the hierarchical architecture argument; rather, they reveal more precise mechanisms:</w:t>
      </w:r>
      <w:r>
        <w:t xml:space="preserve"> </w:t>
      </w:r>
      <w:r>
        <w:t xml:space="preserve">- DL High Variance → Corrected: Effective regularization can suppress it</w:t>
      </w:r>
      <w:r>
        <w:t xml:space="preserve"> </w:t>
      </w:r>
      <w:r>
        <w:t xml:space="preserve">- RF naturally robust → Corrected: RF is fragile to axis-aligned noise but immune to gradient attacks (non-differentiable)</w:t>
      </w:r>
    </w:p>
    <w:p>
      <w:pPr>
        <w:pStyle w:val="BodyText"/>
      </w:pPr>
      <w:r>
        <w:t xml:space="preserve">The hierarchical architecture’s robustness stems not from</w:t>
      </w:r>
      <w:r>
        <w:t xml:space="preserve"> </w:t>
      </w:r>
      <w:r>
        <w:t xml:space="preserve">“both layers being strong,”</w:t>
      </w:r>
      <w:r>
        <w:t xml:space="preserve"> </w:t>
      </w:r>
      <w:r>
        <w:t xml:space="preserve">but from</w:t>
      </w:r>
      <w:r>
        <w:t xml:space="preserve"> </w:t>
      </w:r>
      <w:r>
        <w:rPr>
          <w:b/>
          <w:bCs/>
        </w:rPr>
        <w:t xml:space="preserve">“orthogonal weaknesses across two layers.”</w:t>
      </w:r>
    </w:p>
    <w:p>
      <w:r>
        <w:pict>
          <v:rect style="width:0;height:1.5pt" o:hralign="center" o:hrstd="t" o:hr="t"/>
        </w:pict>
      </w:r>
    </w:p>
    <w:bookmarkEnd w:id="32"/>
    <w:bookmarkStart w:id="35" w:name="complete-argumentation-closure"/>
    <w:p>
      <w:pPr>
        <w:pStyle w:val="Heading2"/>
      </w:pPr>
      <w:r>
        <w:t xml:space="preserve">§10 Complete Argumentation Closure</w:t>
      </w:r>
    </w:p>
    <w:bookmarkStart w:id="33" w:name="inter-experiment-cross-corroboration"/>
    <w:p>
      <w:pPr>
        <w:pStyle w:val="Heading3"/>
      </w:pPr>
      <w:r>
        <w:t xml:space="preserve">Inter-Experiment Cross-Corroboration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Supporting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is the architecture core</w:t>
            </w:r>
          </w:p>
        </w:tc>
        <w:tc>
          <w:tcPr/>
          <w:p>
            <w:pPr>
              <w:pStyle w:val="Compact"/>
            </w:pPr>
            <w:r>
              <w:t xml:space="preserve">E8 (Acc +28pp) + E4 (CNN-Only underfitting) + E10 (Attention captures IAT)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ECA benefits minority classes</w:t>
            </w:r>
          </w:p>
        </w:tc>
        <w:tc>
          <w:tcPr/>
          <w:p>
            <w:pPr>
              <w:pStyle w:val="Compact"/>
            </w:pPr>
            <w:r>
              <w:t xml:space="preserve">E8 (M-F1 +0.085) + E10 (ECA CV=0.02 explains W-F1 drop)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imbalance is a systemic bottleneck</w:t>
            </w:r>
          </w:p>
        </w:tc>
        <w:tc>
          <w:tcPr/>
          <w:p>
            <w:pPr>
              <w:pStyle w:val="Compact"/>
            </w:pPr>
            <w:r>
              <w:t xml:space="preserve">E6 (M-F1 CI wide) + E12 (Silhouette negative) + E15 (minority class F1 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decisions align with domain knowledge</w:t>
            </w:r>
          </w:p>
        </w:tc>
        <w:tc>
          <w:tcPr/>
          <w:p>
            <w:pPr>
              <w:pStyle w:val="Compact"/>
            </w:pPr>
            <w:r>
              <w:t xml:space="preserve">E2 (SHAP) + E10 (IG) both focus on Init Win Bytes + IAT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 efficiency advantage</w:t>
            </w:r>
          </w:p>
        </w:tc>
        <w:tc>
          <w:tcPr/>
          <w:p>
            <w:pPr>
              <w:pStyle w:val="Compact"/>
            </w:pPr>
            <w:r>
              <w:t xml:space="preserve">E11 (6.12μs) + E17 (α=15.25%) → 6× speedup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 security advantage</w:t>
            </w:r>
          </w:p>
        </w:tc>
        <w:tc>
          <w:tcPr/>
          <w:p>
            <w:pPr>
              <w:pStyle w:val="Compact"/>
            </w:pPr>
            <w:r>
              <w:t xml:space="preserve">E14 (orthogonal weaknesses) + E17 (pass-through rate limitation) → evasion rate 8.04%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estimates are reliable</w:t>
            </w:r>
          </w:p>
        </w:tc>
        <w:tc>
          <w:tcPr/>
          <w:p>
            <w:pPr>
              <w:pStyle w:val="Compact"/>
            </w:pPr>
            <w:r>
              <w:t xml:space="preserve">E6 (narrow CI) + E4 (low Variance) + E1 (Nested CV unbiased)</w:t>
            </w:r>
          </w:p>
        </w:tc>
      </w:tr>
    </w:tbl>
    <w:bookmarkEnd w:id="33"/>
    <w:bookmarkStart w:id="34" w:name="logic-flow"/>
    <w:p>
      <w:pPr>
        <w:pStyle w:val="Heading3"/>
      </w:pPr>
      <w:r>
        <w:t xml:space="preserve">Logic Flow</w:t>
      </w:r>
    </w:p>
    <w:p>
      <w:pPr>
        <w:pStyle w:val="SourceCode"/>
      </w:pPr>
      <w:r>
        <w:rPr>
          <w:rStyle w:val="VerbatimChar"/>
        </w:rPr>
        <w:t xml:space="preserve">Stage 1 Validation                  Stage 2 Validation</w:t>
      </w:r>
      <w:r>
        <w:br/>
      </w:r>
      <w:r>
        <w:rPr>
          <w:rStyle w:val="VerbatimChar"/>
        </w:rPr>
        <w:t xml:space="preserve">──────────────────                  ──────────────────</w:t>
      </w:r>
      <w:r>
        <w:br/>
      </w:r>
      <w:r>
        <w:rPr>
          <w:rStyle w:val="VerbatimChar"/>
        </w:rPr>
        <w:t xml:space="preserve">E1 (Nested CV unbiased)             E8 (Ablation: component contributions)</w:t>
      </w:r>
      <w:r>
        <w:br/>
      </w:r>
      <w:r>
        <w:rPr>
          <w:rStyle w:val="VerbatimChar"/>
        </w:rPr>
        <w:t xml:space="preserve">E16 (Time-aware baseline)             ├─ Transformer +30pp → core</w:t>
      </w:r>
      <w:r>
        <w:br/>
      </w:r>
      <w:r>
        <w:rPr>
          <w:rStyle w:val="VerbatimChar"/>
        </w:rPr>
        <w:t xml:space="preserve">E4 (OOB converged, low B-V)           ├─ ECA: W-F1 -0.02 / M-F1 +0.085</w:t>
      </w:r>
      <w:r>
        <w:br/>
      </w:r>
      <w:r>
        <w:rPr>
          <w:rStyle w:val="VerbatimChar"/>
        </w:rPr>
        <w:t xml:space="preserve">E11 (6.12μs real-time)                └─ Cross-corroborated with E10 (CV=0.02)</w:t>
      </w:r>
      <w:r>
        <w:br/>
      </w:r>
      <w:r>
        <w:rPr>
          <w:rStyle w:val="VerbatimChar"/>
        </w:rPr>
        <w:t xml:space="preserve">E17 (τ=0.06, α=15.25%)</w:t>
      </w:r>
      <w:r>
        <w:br/>
      </w:r>
      <w:r>
        <w:rPr>
          <w:rStyle w:val="VerbatimChar"/>
        </w:rPr>
        <w:t xml:space="preserve">                                    E2+E10 (Interpretability triangulation)</w:t>
      </w:r>
      <w:r>
        <w:br/>
      </w:r>
      <w:r>
        <w:rPr>
          <w:rStyle w:val="VerbatimChar"/>
        </w:rPr>
        <w:t xml:space="preserve">        ↓                           E12 (Representation +59% → effective)</w:t>
      </w:r>
      <w:r>
        <w:br/>
      </w:r>
      <w:r>
        <w:rPr>
          <w:rStyle w:val="VerbatimChar"/>
        </w:rPr>
        <w:t xml:space="preserve">                                    E15 (UNSW W-F1=0.70 → generalizable)</w:t>
      </w:r>
      <w:r>
        <w:br/>
      </w:r>
      <w:r>
        <w:rPr>
          <w:rStyle w:val="VerbatimChar"/>
        </w:rPr>
        <w:t xml:space="preserve">  ┌─────┴──────┐</w:t>
      </w:r>
      <w:r>
        <w:br/>
      </w:r>
      <w:r>
        <w:rPr>
          <w:rStyle w:val="VerbatimChar"/>
        </w:rPr>
        <w:t xml:space="preserve">  │ Hierarchical│</w:t>
      </w:r>
      <w:r>
        <w:br/>
      </w:r>
      <w:r>
        <w:rPr>
          <w:rStyle w:val="VerbatimChar"/>
        </w:rPr>
        <w:t xml:space="preserve">  │ Integration │</w:t>
      </w:r>
      <w:r>
        <w:br/>
      </w:r>
      <w:r>
        <w:rPr>
          <w:rStyle w:val="VerbatimChar"/>
        </w:rPr>
        <w:t xml:space="preserve">  ├────────────┤</w:t>
      </w:r>
      <w:r>
        <w:br/>
      </w:r>
      <w:r>
        <w:rPr>
          <w:rStyle w:val="VerbatimChar"/>
        </w:rPr>
        <w:t xml:space="preserve">  │ §1: E[C]=82μs, 6.07× speedup   │</w:t>
      </w:r>
      <w:r>
        <w:br/>
      </w:r>
      <w:r>
        <w:rPr>
          <w:rStyle w:val="VerbatimChar"/>
        </w:rPr>
        <w:t xml:space="preserve">  │ §8: Evasion rate 8.04%          │</w:t>
      </w:r>
      <w:r>
        <w:br/>
      </w:r>
      <w:r>
        <w:rPr>
          <w:rStyle w:val="VerbatimChar"/>
        </w:rPr>
        <w:t xml:space="preserve">  │     (orthogonal weaknesses)     │</w:t>
      </w:r>
      <w:r>
        <w:br/>
      </w:r>
      <w:r>
        <w:rPr>
          <w:rStyle w:val="VerbatimChar"/>
        </w:rPr>
        <w:t xml:space="preserve">  │ Recall 92.9% / FPR 0.007%      │</w:t>
      </w:r>
      <w:r>
        <w:br/>
      </w:r>
      <w:r>
        <w:rPr>
          <w:rStyle w:val="VerbatimChar"/>
        </w:rPr>
        <w:t xml:space="preserve">  └────────────┘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┌── Statistical Guarantees ──┐</w:t>
      </w:r>
      <w:r>
        <w:br/>
      </w:r>
      <w:r>
        <w:rPr>
          <w:rStyle w:val="VerbatimChar"/>
        </w:rPr>
        <w:t xml:space="preserve">  │ E6: CI Width reliable       │</w:t>
      </w:r>
      <w:r>
        <w:br/>
      </w:r>
      <w:r>
        <w:rPr>
          <w:rStyle w:val="VerbatimChar"/>
        </w:rPr>
        <w:t xml:space="preserve">  │ E1: Unbiased evaluation     │</w:t>
      </w:r>
      <w:r>
        <w:br/>
      </w:r>
      <w:r>
        <w:rPr>
          <w:rStyle w:val="VerbatimChar"/>
        </w:rPr>
        <w:t xml:space="preserve">  │ E4: Low Variance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★ Final Conclusion: Hierarchical IDS has experimental support across 6 dimensions:</w:t>
      </w:r>
      <w:r>
        <w:br/>
      </w:r>
      <w:r>
        <w:rPr>
          <w:rStyle w:val="VerbatimChar"/>
        </w:rPr>
        <w:t xml:space="preserve">    ① Accuracy: Recall 92.9%, FPR 0.007%</w:t>
      </w:r>
      <w:r>
        <w:br/>
      </w:r>
      <w:r>
        <w:rPr>
          <w:rStyle w:val="VerbatimChar"/>
        </w:rPr>
        <w:t xml:space="preserve">    ② Efficiency: 6.07× speedup, 82μs/sample</w:t>
      </w:r>
      <w:r>
        <w:br/>
      </w:r>
      <w:r>
        <w:rPr>
          <w:rStyle w:val="VerbatimChar"/>
        </w:rPr>
        <w:t xml:space="preserve">    ③ Interpretability: SHAP ↔ IG triangulation</w:t>
      </w:r>
      <w:r>
        <w:br/>
      </w:r>
      <w:r>
        <w:rPr>
          <w:rStyle w:val="VerbatimChar"/>
        </w:rPr>
        <w:t xml:space="preserve">    ④ Generalization: UNSW W-F1=0.70, Silhouette +59%</w:t>
      </w:r>
      <w:r>
        <w:br/>
      </w:r>
      <w:r>
        <w:rPr>
          <w:rStyle w:val="VerbatimChar"/>
        </w:rPr>
        <w:t xml:space="preserve">    ⑤ Robustness: Orthogonal weaknesses, evasion rate 8.04%</w:t>
      </w:r>
      <w:r>
        <w:br/>
      </w:r>
      <w:r>
        <w:rPr>
          <w:rStyle w:val="VerbatimChar"/>
        </w:rPr>
        <w:t xml:space="preserve">    ⑥ Statistical Reliability: CI ∝ n^{-1/2}, Nested CV unbiased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pendix-experiment-dependency-graph"/>
    <w:p>
      <w:pPr>
        <w:pStyle w:val="Heading2"/>
      </w:pPr>
      <w:r>
        <w:t xml:space="preserve">Appendix: Experiment Dependency Graph</w:t>
      </w:r>
    </w:p>
    <w:p>
      <w:pPr>
        <w:pStyle w:val="SourceCode"/>
      </w:pPr>
      <w:r>
        <w:rPr>
          <w:rStyle w:val="VerbatimChar"/>
        </w:rPr>
        <w:t xml:space="preserve">E1+E16 (RF Baseline)</w:t>
      </w:r>
      <w:r>
        <w:br/>
      </w:r>
      <w:r>
        <w:rPr>
          <w:rStyle w:val="VerbatimChar"/>
        </w:rPr>
        <w:t xml:space="preserve">  ├─→ E17 (Threshold) ──→ §1 (Efficiency Derivation)</w:t>
      </w:r>
      <w:r>
        <w:br/>
      </w:r>
      <w:r>
        <w:rPr>
          <w:rStyle w:val="VerbatimChar"/>
        </w:rPr>
        <w:t xml:space="preserve">  ├─→ E11 (Latency) ──→ §1 (Efficiency Derivation)</w:t>
      </w:r>
      <w:r>
        <w:br/>
      </w:r>
      <w:r>
        <w:rPr>
          <w:rStyle w:val="VerbatimChar"/>
        </w:rPr>
        <w:t xml:space="preserve">  └─→ S1 Training ──→ S2 Data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└─→ S2 Training ──→ E8 (Ablation)</w:t>
      </w:r>
      <w:r>
        <w:br/>
      </w:r>
      <w:r>
        <w:rPr>
          <w:rStyle w:val="VerbatimChar"/>
        </w:rPr>
        <w:t xml:space="preserve">                             │                │</w:t>
      </w:r>
      <w:r>
        <w:br/>
      </w:r>
      <w:r>
        <w:rPr>
          <w:rStyle w:val="VerbatimChar"/>
        </w:rPr>
        <w:t xml:space="preserve">                             │                └─→ E4 (Bias-Variance)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├─→ E15 (UNSW Generalization)</w:t>
      </w:r>
      <w:r>
        <w:br/>
      </w:r>
      <w:r>
        <w:rPr>
          <w:rStyle w:val="VerbatimChar"/>
        </w:rPr>
        <w:t xml:space="preserve">                             ├─→ E2 (SHAP) ← cross → E10 (IG/Attention)</w:t>
      </w:r>
      <w:r>
        <w:br/>
      </w:r>
      <w:r>
        <w:rPr>
          <w:rStyle w:val="VerbatimChar"/>
        </w:rPr>
        <w:t xml:space="preserve">                             ├─→ E6 (Bootstrap CI)</w:t>
      </w:r>
      <w:r>
        <w:br/>
      </w:r>
      <w:r>
        <w:rPr>
          <w:rStyle w:val="VerbatimChar"/>
        </w:rPr>
        <w:t xml:space="preserve">                             ├─→ E14 (Adversarial Attack)</w:t>
      </w:r>
      <w:r>
        <w:br/>
      </w:r>
      <w:r>
        <w:rPr>
          <w:rStyle w:val="VerbatimChar"/>
        </w:rPr>
        <w:t xml:space="preserve">                             └─→ E12 (t-SNE/UMAP)</w:t>
      </w:r>
    </w:p>
    <w:p>
      <w:pPr>
        <w:pStyle w:val="BlockText"/>
      </w:pPr>
      <w:r>
        <w:rPr>
          <w:b/>
          <w:bCs/>
        </w:rPr>
        <w:t xml:space="preserve">Literature Coverage</w:t>
      </w:r>
      <w:r>
        <w:t xml:space="preserve">: 8 core papers — [Sharafaldin’18] (§4), [Ring’19] (§1), [Moustafa’15] (§7), [Liu’25] (§3), [Kwon’17] (§3,§6,§7), [Doula’25] (§2), [Abu Al-Haija’22] (§2,§6), [Kaur’21] (§2,§5). Supporting theory: Breiman (2001), Madry et al. (2018), Lundberg &amp; Lee (2017), Ben-David et al. (2010), Efron (1979), Cawley &amp; Talbot (2010).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2026-03-21T07:11:51Z</dcterms:created>
  <dcterms:modified xsi:type="dcterms:W3CDTF">2026-03-21T07:11:51Z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