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  <w:lang w:val="fr-FR"/>
        </w:rPr>
      </w:pPr>
      <w:r>
        <w:rPr>
          <w:lang w:val="fr-FR"/>
        </w:rPr>
        <w:t xml:space="preserve">Bonjour,</w:t>
      </w:r>
      <w:r>
        <w:rPr>
          <w:highlight w:val="none"/>
          <w:lang w:val="fr-FR"/>
        </w:rPr>
      </w:r>
    </w:p>
    <w:p w14:paraId="1D1417D4">
      <w:pPr>
        <w:pBdr/>
        <w:spacing/>
        <w:ind/>
        <w:rPr>
          <w:lang w:val="fr-FR"/>
        </w:rPr>
      </w:pPr>
      <w:r>
        <w:rPr>
          <w:lang w:val="fr-FR" w:bidi="fr-FR"/>
        </w:rPr>
      </w:r>
      <w:r>
        <w:rPr>
          <w:lang w:val="fr-FR"/>
        </w:rPr>
      </w:r>
    </w:p>
    <w:p w14:paraId="00CC9E38">
      <w:pPr>
        <w:pBdr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  <w:t xml:space="preserve">Merci pour la production des documents relatif aux comptes annuels de la société. </w:t>
      </w:r>
      <w:r>
        <w:rPr>
          <w:highlight w:val="none"/>
          <w:lang w:val="fr-FR"/>
        </w:rPr>
      </w:r>
    </w:p>
    <w:p w14:paraId="4AB22FAE">
      <w:pPr>
        <w:pBdr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  <w:t xml:space="preserve">Lors de la lecture de ces documents, plusieurs questions se sont posées. Nous les listons ci-dessous.</w:t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5A0251AA">
      <w:pPr>
        <w:pBdr/>
        <w:spacing/>
        <w:ind/>
        <w:rPr>
          <w:highlight w:val="none"/>
          <w:lang w:val="fr-FR"/>
        </w:rPr>
      </w:pPr>
      <w:r>
        <w:rPr>
          <w:highlight w:val="none"/>
          <w:lang w:val="fr-FR" w:bidi="fr-FR"/>
        </w:rPr>
        <w:t xml:space="preserve">Les documents mentionnés sont en pièce jointe (fichier .zip) et annotés en jaune pour facilité la lecture.</w:t>
      </w: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</w:p>
    <w:p w14:paraId="6E659F32">
      <w:pPr>
        <w:pBdr/>
        <w:spacing/>
        <w:ind/>
        <w:rPr>
          <w:highlight w:val="none"/>
          <w:lang w:val="fr-FR"/>
        </w:rPr>
      </w:pP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  <w:r>
        <w:rPr>
          <w:highlight w:val="none"/>
          <w:lang w:val="fr-FR"/>
        </w:rPr>
      </w:r>
    </w:p>
    <w:p w14:paraId="525C540B">
      <w:pPr>
        <w:pBdr/>
        <w:spacing/>
        <w:ind/>
        <w:rPr>
          <w:b/>
          <w:bCs/>
          <w:sz w:val="32"/>
          <w:szCs w:val="32"/>
          <w:highlight w:val="none"/>
          <w:u w:val="single"/>
          <w:lang w:val="fr-FR"/>
        </w:rPr>
      </w:pPr>
      <w:r>
        <w:rPr>
          <w:b/>
          <w:bCs/>
          <w:sz w:val="32"/>
          <w:szCs w:val="32"/>
          <w:highlight w:val="none"/>
          <w:u w:val="single"/>
          <w:lang w:val="fr-FR"/>
        </w:rPr>
        <w:t xml:space="preserve">I – Déclaration de TVA</w:t>
      </w:r>
      <w:r>
        <w:rPr>
          <w:b/>
          <w:bCs/>
          <w:sz w:val="32"/>
          <w:szCs w:val="32"/>
          <w:highlight w:val="none"/>
          <w:u w:val="single"/>
          <w:lang w:val="fr-FR"/>
        </w:rPr>
        <w:t xml:space="preserve"> annuelle</w:t>
      </w:r>
      <w:r>
        <w:rPr>
          <w:b/>
          <w:bCs/>
          <w:sz w:val="32"/>
          <w:szCs w:val="32"/>
          <w:u w:val="single"/>
          <w:lang w:val="fr-FR" w:bidi="fr-FR"/>
        </w:rPr>
      </w:r>
      <w:r>
        <w:rPr>
          <w:b/>
          <w:bCs/>
          <w:sz w:val="32"/>
          <w:szCs w:val="32"/>
          <w:highlight w:val="none"/>
          <w:u w:val="single"/>
          <w:lang w:val="fr-FR"/>
        </w:rPr>
      </w:r>
    </w:p>
    <w:p w14:paraId="626DA3F5">
      <w:pPr>
        <w:pBdr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  <w:t xml:space="preserve">Dans la déclaration de TVA annuelle, je suppose que cela ce calcule par l’addition suivante : </w:t>
      </w:r>
      <w:r>
        <w:rPr>
          <w:highlight w:val="none"/>
          <w:lang w:val="fr-FR"/>
        </w:rPr>
      </w:r>
    </w:p>
    <w:p w14:paraId="32904245">
      <w:pPr>
        <w:pBdr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  <w:t xml:space="preserve">TVA 2025</w:t>
      </w:r>
      <w:r>
        <w:rPr>
          <w:highlight w:val="none"/>
          <w:lang w:val="fr-FR"/>
        </w:rPr>
        <w:t xml:space="preserve">Q1</w:t>
      </w:r>
      <w:r>
        <w:rPr>
          <w:highlight w:val="none"/>
          <w:lang w:val="fr-FR"/>
        </w:rPr>
        <w:t xml:space="preserve"> + </w:t>
      </w:r>
      <w:r>
        <w:rPr>
          <w:highlight w:val="none"/>
          <w:lang w:val="fr-FR"/>
        </w:rPr>
        <w:t xml:space="preserve">TVA 2025</w:t>
      </w:r>
      <w:r>
        <w:rPr>
          <w:highlight w:val="none"/>
          <w:lang w:val="fr-FR"/>
        </w:rPr>
        <w:t xml:space="preserve">Q2</w:t>
      </w:r>
      <w:r>
        <w:rPr>
          <w:highlight w:val="none"/>
          <w:lang w:val="fr-FR"/>
        </w:rPr>
        <w:t xml:space="preserve"> + </w:t>
      </w:r>
      <w:r>
        <w:rPr>
          <w:highlight w:val="none"/>
          <w:lang w:val="fr-FR"/>
        </w:rPr>
        <w:t xml:space="preserve">TVA 2025</w:t>
      </w:r>
      <w:r>
        <w:rPr>
          <w:highlight w:val="none"/>
          <w:lang w:val="fr-FR"/>
        </w:rPr>
        <w:t xml:space="preserve">Q3</w:t>
      </w:r>
      <w:r>
        <w:rPr>
          <w:highlight w:val="none"/>
          <w:lang w:val="fr-FR"/>
        </w:rPr>
        <w:t xml:space="preserve"> + </w:t>
      </w:r>
      <w:r>
        <w:rPr>
          <w:highlight w:val="none"/>
          <w:lang w:val="fr-FR"/>
        </w:rPr>
        <w:t xml:space="preserve">TVA 2025</w:t>
      </w:r>
      <w:r>
        <w:rPr>
          <w:highlight w:val="none"/>
          <w:lang w:val="fr-FR"/>
        </w:rPr>
        <w:t xml:space="preserve">Q4</w:t>
      </w:r>
      <w:r>
        <w:rPr>
          <w:highlight w:val="none"/>
          <w:lang w:val="fr-FR"/>
        </w:rPr>
        <w:t xml:space="preserve"> = TVA 2025.</w:t>
      </w:r>
      <w:r>
        <w:rPr>
          <w:highlight w:val="none"/>
          <w:lang w:val="fr-FR"/>
        </w:rPr>
      </w:r>
    </w:p>
    <w:p w14:paraId="2AF8C2B7">
      <w:pPr>
        <w:pBdr/>
        <w:spacing/>
        <w:ind/>
        <w:rPr>
          <w:highlight w:val="none"/>
          <w:lang w:val="fr-FR" w:bidi="fr-FR"/>
        </w:rPr>
      </w:pPr>
      <w:r>
        <w:rPr>
          <w:highlight w:val="none"/>
          <w:lang w:val="fr-FR"/>
        </w:rPr>
        <w:t xml:space="preserve">Actuellement, nous avons seulement les chiffres de Q3 et Q4 et y sont ajoutés les dépenses antécédentes de la création de la société mais pour la « «future » société.</w:t>
      </w:r>
      <w:r>
        <w:rPr>
          <w:highlight w:val="none"/>
          <w:lang w:val="fr-FR" w:bidi="fr-FR"/>
        </w:rPr>
      </w:r>
      <w:r>
        <w:rPr>
          <w:highlight w:val="none"/>
          <w:lang w:val="fr-FR"/>
        </w:rPr>
      </w:r>
    </w:p>
    <w:p w14:paraId="5F1F3BD2">
      <w:pPr>
        <w:pBdr/>
        <w:spacing/>
        <w:ind/>
        <w:rPr>
          <w:highlight w:val="none"/>
          <w:lang w:val="fr-FR"/>
        </w:rPr>
      </w:pPr>
      <w:r>
        <w:rPr>
          <w:highlight w:val="none"/>
          <w:lang w:val="fr-FR" w:bidi="fr-FR"/>
        </w:rPr>
        <w:t xml:space="preserve">Le restant des questions sur ce document se base sur cette logique.</w:t>
      </w: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</w:p>
    <w:p w14:paraId="312D6189">
      <w:pPr>
        <w:pBdr/>
        <w:spacing/>
        <w:ind/>
        <w:rPr>
          <w:highlight w:val="none"/>
          <w:lang w:val="fr-FR"/>
        </w:rPr>
      </w:pP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  <w:r>
        <w:rPr>
          <w:highlight w:val="none"/>
          <w:lang w:val="fr-FR"/>
        </w:rPr>
      </w:r>
    </w:p>
    <w:p w14:paraId="4C5BEC44">
      <w:pPr>
        <w:pBdr/>
        <w:spacing/>
        <w:ind w:firstLine="0" w:left="0"/>
        <w:rPr>
          <w:b/>
          <w:bCs/>
          <w:u w:val="single"/>
          <w:lang w:val="fr-FR"/>
        </w:rPr>
      </w:pPr>
      <w:r>
        <w:rPr>
          <w:b/>
          <w:bCs/>
          <w:highlight w:val="none"/>
          <w:u w:val="single"/>
          <w:lang w:val="fr-FR"/>
        </w:rPr>
        <w:t xml:space="preserve">Début de document</w:t>
      </w:r>
      <w:r>
        <w:rPr>
          <w:b/>
          <w:bCs/>
          <w:u w:val="single"/>
          <w:lang w:val="fr-FR" w:bidi="fr-FR"/>
        </w:rPr>
      </w:r>
      <w:r>
        <w:rPr>
          <w:b/>
          <w:bCs/>
          <w:u w:val="single"/>
          <w:lang w:val="fr-FR"/>
        </w:rPr>
      </w:r>
    </w:p>
    <w:p w14:paraId="5F3BEA14">
      <w:pPr>
        <w:pBdr/>
        <w:spacing/>
        <w:ind/>
        <w:rPr>
          <w:highlight w:val="none"/>
          <w:lang w:val="fr-FR"/>
        </w:rPr>
      </w:pPr>
      <w:r>
        <w:rPr>
          <w:highlight w:val="none"/>
          <w:lang w:val="fr-FR" w:bidi="fr-FR"/>
        </w:rPr>
        <w:t xml:space="preserve">Nous avons remarqué l’oublie de deux éléments en début de document :</w:t>
      </w: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</w:p>
    <w:p w14:paraId="3F6A5C6F">
      <w:pPr>
        <w:pStyle w:val="898"/>
        <w:numPr>
          <w:ilvl w:val="0"/>
          <w:numId w:val="2"/>
        </w:numPr>
        <w:pBdr/>
        <w:spacing/>
        <w:ind/>
        <w:rPr>
          <w:highlight w:val="none"/>
          <w:lang w:val="fr-FR"/>
        </w:rPr>
      </w:pPr>
      <w:r>
        <w:rPr>
          <w:highlight w:val="none"/>
          <w:lang w:val="fr-FR" w:bidi="fr-FR"/>
        </w:rPr>
        <w:t xml:space="preserve">Bureau d’imposition (n’est pas marqué)</w:t>
      </w:r>
      <w:r>
        <w:rPr>
          <w:highlight w:val="none"/>
          <w:lang w:val="fr-FR" w:bidi="fr-FR"/>
        </w:rPr>
      </w:r>
      <w:r>
        <w:rPr>
          <w:highlight w:val="none"/>
          <w:lang w:val="fr-FR"/>
        </w:rPr>
      </w:r>
    </w:p>
    <w:p w14:paraId="09B7EA1D">
      <w:pPr>
        <w:pStyle w:val="898"/>
        <w:numPr>
          <w:ilvl w:val="0"/>
          <w:numId w:val="2"/>
        </w:numPr>
        <w:pBdr/>
        <w:spacing/>
        <w:ind/>
        <w:rPr>
          <w:highlight w:val="none"/>
          <w:lang w:val="fr-FR"/>
        </w:rPr>
      </w:pPr>
      <w:r>
        <w:rPr>
          <w:highlight w:val="none"/>
          <w:lang w:val="fr-FR" w:bidi="fr-FR"/>
        </w:rPr>
        <w:t xml:space="preserve">Régime de déclaration (rien n’est coché)</w:t>
      </w:r>
      <w:r>
        <w:rPr>
          <w:highlight w:val="none"/>
          <w:lang w:val="fr-FR" w:bidi="fr-FR"/>
        </w:rPr>
      </w:r>
      <w:r>
        <w:rPr>
          <w:highlight w:val="none"/>
          <w:lang w:val="fr-FR"/>
        </w:rPr>
      </w:r>
    </w:p>
    <w:p w14:paraId="3DB9C24B">
      <w:pPr>
        <w:pBdr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  <w:t xml:space="preserve"> </w:t>
      </w:r>
      <w:r>
        <w:rPr>
          <w:highlight w:val="none"/>
          <w:lang w:val="fr-FR"/>
        </w:rPr>
      </w:r>
    </w:p>
    <w:p w14:paraId="5C01E5E3">
      <w:pPr>
        <w:pBdr/>
        <w:spacing/>
        <w:ind w:firstLine="0" w:left="0"/>
        <w:rPr>
          <w:b/>
          <w:bCs/>
          <w:u w:val="single"/>
          <w:lang w:val="fr-FR"/>
        </w:rPr>
      </w:pPr>
      <w:r>
        <w:rPr>
          <w:b/>
          <w:bCs/>
          <w:highlight w:val="none"/>
          <w:u w:val="single"/>
          <w:lang w:val="fr-FR"/>
        </w:rPr>
        <w:t xml:space="preserve">Section II.B.</w:t>
      </w:r>
      <w:r>
        <w:rPr>
          <w:b/>
          <w:bCs/>
          <w:u w:val="single"/>
          <w:lang w:val="fr-FR" w:bidi="fr-FR"/>
        </w:rPr>
      </w:r>
      <w:r>
        <w:rPr>
          <w:b/>
          <w:bCs/>
          <w:u w:val="single"/>
          <w:lang w:val="fr-FR"/>
        </w:rPr>
      </w:r>
    </w:p>
    <w:p w14:paraId="4563BC56">
      <w:pPr>
        <w:pBdr/>
        <w:spacing/>
        <w:ind w:firstLine="0" w:left="0"/>
        <w:rPr>
          <w:highlight w:val="none"/>
          <w:lang w:val="fr-FR"/>
        </w:rPr>
      </w:pPr>
      <w:r>
        <w:rPr>
          <w:highlight w:val="none"/>
          <w:lang w:val="fr-FR" w:bidi="fr-FR"/>
        </w:rPr>
      </w:r>
      <w:r>
        <w:rPr>
          <w:highlight w:val="none"/>
          <w:lang w:val="fr-FR"/>
        </w:rPr>
        <w:t xml:space="preserve">Entre la déclaration annuelle et la somme Q3 et Q4, nous avons remarqué une différence de 1200€. Après lecture des autres documents, les 1200€ représentent la dépense sur le brevet EUIPO.</w:t>
      </w:r>
      <w:r>
        <w:rPr>
          <w:highlight w:val="none"/>
          <w:lang w:val="fr-FR"/>
        </w:rPr>
      </w:r>
    </w:p>
    <w:p w14:paraId="05ECCC5D">
      <w:pPr>
        <w:pBdr/>
        <w:spacing/>
        <w:ind w:firstLine="0" w:left="0"/>
        <w:rPr>
          <w:highlight w:val="none"/>
          <w:lang w:val="fr-FR"/>
        </w:rPr>
      </w:pPr>
      <w:r>
        <w:rPr>
          <w:highlight w:val="none"/>
          <w:lang w:val="fr-FR"/>
        </w:rPr>
        <w:t xml:space="preserve">Néanmoins, les brevets </w:t>
      </w:r>
      <w:r>
        <w:rPr>
          <w:b/>
          <w:bCs/>
          <w:highlight w:val="none"/>
          <w:lang w:val="fr-FR"/>
        </w:rPr>
        <w:t xml:space="preserve">EUIPO sont exonérés de TVA</w:t>
      </w:r>
      <w:r>
        <w:rPr>
          <w:highlight w:val="none"/>
          <w:lang w:val="fr-FR"/>
        </w:rPr>
        <w:t xml:space="preserve"> (de m</w:t>
      </w:r>
      <w:r>
        <w:rPr>
          <w:highlight w:val="none"/>
          <w:lang w:val="fr-FR"/>
        </w:rPr>
        <w:t xml:space="preserve">ême pour </w:t>
      </w:r>
      <w:r>
        <w:rPr>
          <w:b/>
          <w:bCs/>
          <w:highlight w:val="none"/>
          <w:lang w:val="fr-FR"/>
        </w:rPr>
        <w:t xml:space="preserve">la dépense de 37€ concernant I-DEPOT du BOIP</w:t>
      </w:r>
      <w:r>
        <w:rPr>
          <w:highlight w:val="none"/>
          <w:lang w:val="fr-FR"/>
        </w:rPr>
        <w:t xml:space="preserve"> (</w:t>
      </w:r>
      <w:r>
        <w:rPr>
          <w:highlight w:val="none"/>
          <w:lang w:val="fr-FR"/>
        </w:rPr>
        <w:t xml:space="preserve">Benelux Office for Intellectual Property</w:t>
      </w:r>
      <w:r>
        <w:rPr>
          <w:highlight w:val="none"/>
          <w:lang w:val="fr-FR"/>
        </w:rPr>
        <w:t xml:space="preserve">) ).</w:t>
      </w:r>
      <w:r>
        <w:rPr>
          <w:highlight w:val="none"/>
          <w:lang w:val="fr-FR" w:bidi="fr-FR"/>
        </w:rPr>
      </w:r>
      <w:r>
        <w:rPr>
          <w:highlight w:val="none"/>
          <w:lang w:val="fr-FR"/>
        </w:rPr>
      </w:r>
    </w:p>
    <w:p w14:paraId="33BE5E63">
      <w:pPr>
        <w:pBdr/>
        <w:spacing/>
        <w:ind w:firstLine="0" w:left="0"/>
        <w:rPr>
          <w:highlight w:val="none"/>
          <w:lang w:val="fr-FR"/>
        </w:rPr>
      </w:pPr>
      <w:r>
        <w:rPr>
          <w:highlight w:val="none"/>
          <w:lang w:val="fr-FR" w:bidi="fr-FR"/>
        </w:rPr>
        <w:t xml:space="preserve">Dans l’historique des comptes, les références sont:</w:t>
      </w: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</w:p>
    <w:p w14:paraId="69F398D6">
      <w:pPr>
        <w:pStyle w:val="898"/>
        <w:numPr>
          <w:ilvl w:val="0"/>
          <w:numId w:val="4"/>
        </w:numPr>
        <w:pBdr/>
        <w:spacing/>
        <w:ind/>
        <w:rPr>
          <w:highlight w:val="none"/>
          <w:lang w:val="fr-FR"/>
        </w:rPr>
      </w:pPr>
      <w:r>
        <w:rPr>
          <w:highlight w:val="none"/>
          <w:lang w:val="fr-FR" w:bidi="fr-FR"/>
        </w:rPr>
        <w:t xml:space="preserve">Libellé : </w:t>
      </w:r>
      <w:r>
        <w:rPr>
          <w:lang w:val="fr-FR"/>
        </w:rPr>
        <w:t xml:space="preserve">49 13-09-2025</w:t>
      </w:r>
      <w:r>
        <w:rPr>
          <w:lang w:val="fr-FR"/>
        </w:rPr>
        <w:t xml:space="preserve"> (concernant I-DEPOT, ref. tiers : BENELUX)</w:t>
      </w:r>
      <w:r>
        <w:rPr>
          <w:highlight w:val="none"/>
          <w:lang w:val="fr-FR" w:bidi="fr-FR"/>
        </w:rPr>
      </w:r>
      <w:r>
        <w:rPr>
          <w:highlight w:val="none"/>
          <w:lang w:val="fr-FR"/>
        </w:rPr>
      </w:r>
    </w:p>
    <w:p w14:paraId="29554982">
      <w:pPr>
        <w:pStyle w:val="898"/>
        <w:numPr>
          <w:ilvl w:val="0"/>
          <w:numId w:val="4"/>
        </w:numPr>
        <w:pBdr/>
        <w:spacing/>
        <w:ind/>
        <w:rPr>
          <w:highlight w:val="none"/>
          <w:lang w:val="fr-FR"/>
        </w:rPr>
      </w:pPr>
      <w:r>
        <w:rPr>
          <w:highlight w:val="none"/>
          <w:lang w:val="fr-FR" w:bidi="fr-FR"/>
        </w:rPr>
      </w:r>
      <w:r>
        <w:rPr>
          <w:lang w:val="fr-FR"/>
        </w:rPr>
        <w:t xml:space="preserve">Libellé : 47 13-09-2025</w:t>
      </w:r>
      <w:r>
        <w:rPr>
          <w:highlight w:val="none"/>
          <w:lang w:val="fr-FR" w:bidi="fr-FR"/>
        </w:rPr>
        <w:t xml:space="preserve"> (concernant EUIPO, ref. Tiers : EUIPO)</w:t>
      </w:r>
      <w:r>
        <w:rPr>
          <w:highlight w:val="none"/>
          <w:lang w:val="fr-FR" w:bidi="fr-FR"/>
        </w:rPr>
      </w:r>
      <w:r>
        <w:rPr>
          <w:highlight w:val="none"/>
          <w:lang w:val="fr-FR"/>
        </w:rPr>
      </w:r>
    </w:p>
    <w:p w14:paraId="6187ED70">
      <w:pPr>
        <w:pBdr/>
        <w:spacing/>
        <w:ind w:firstLine="0" w:left="0"/>
        <w:rPr>
          <w:lang w:val="fr-FR"/>
        </w:rPr>
      </w:pPr>
      <w:r>
        <w:rPr>
          <w:lang w:val="fr-FR" w:bidi="fr-FR"/>
        </w:rPr>
      </w:r>
      <w:r>
        <w:rPr>
          <w:lang w:val="fr-FR"/>
        </w:rPr>
      </w:r>
    </w:p>
    <w:p w14:paraId="7FD32B95">
      <w:pPr>
        <w:pBdr/>
        <w:spacing/>
        <w:ind w:firstLine="0" w:left="0"/>
        <w:rPr>
          <w:b/>
          <w:bCs/>
          <w:u w:val="single"/>
          <w:lang w:val="fr-FR"/>
        </w:rPr>
      </w:pPr>
      <w:r>
        <w:rPr>
          <w:b/>
          <w:bCs/>
          <w:highlight w:val="none"/>
          <w:u w:val="single"/>
          <w:lang w:val="fr-FR"/>
        </w:rPr>
        <w:t xml:space="preserve">Section II.E.2. </w:t>
      </w:r>
      <w:r>
        <w:rPr>
          <w:b/>
          <w:bCs/>
          <w:u w:val="single"/>
          <w:lang w:val="fr-FR" w:bidi="fr-FR"/>
        </w:rPr>
      </w:r>
      <w:r>
        <w:rPr>
          <w:b/>
          <w:bCs/>
          <w:u w:val="single"/>
          <w:lang w:val="fr-FR"/>
        </w:rPr>
      </w:r>
    </w:p>
    <w:p w14:paraId="54ACBE9F">
      <w:pPr>
        <w:pBdr/>
        <w:spacing/>
        <w:ind w:firstLine="0" w:left="0"/>
        <w:rPr>
          <w:highlight w:val="none"/>
          <w:lang w:val="fr-FR"/>
        </w:rPr>
      </w:pPr>
      <w:r>
        <w:rPr>
          <w:highlight w:val="none"/>
          <w:lang w:val="fr-FR" w:bidi="fr-FR"/>
        </w:rPr>
      </w:r>
      <w:r>
        <w:rPr>
          <w:highlight w:val="none"/>
          <w:lang w:val="fr-FR"/>
        </w:rPr>
        <w:t xml:space="preserve">Voici les déclarations faites :</w:t>
      </w:r>
      <w:r>
        <w:rPr>
          <w:highlight w:val="none"/>
          <w:lang w:val="fr-FR"/>
        </w:rPr>
      </w:r>
    </w:p>
    <w:p w14:paraId="63F65CA4">
      <w:pPr>
        <w:pStyle w:val="898"/>
        <w:numPr>
          <w:ilvl w:val="0"/>
          <w:numId w:val="3"/>
        </w:numPr>
        <w:pBdr/>
        <w:spacing/>
        <w:ind/>
        <w:rPr>
          <w:lang w:val="fr-FR"/>
        </w:rPr>
      </w:pPr>
      <w:r>
        <w:rPr>
          <w:highlight w:val="none"/>
          <w:lang w:val="fr-FR"/>
        </w:rPr>
        <w:t xml:space="preserve">Q3 : 57.41€</w:t>
      </w:r>
      <w:r>
        <w:rPr>
          <w:lang w:val="fr-FR"/>
        </w:rPr>
      </w:r>
    </w:p>
    <w:p w14:paraId="38122D96">
      <w:pPr>
        <w:pStyle w:val="898"/>
        <w:numPr>
          <w:ilvl w:val="0"/>
          <w:numId w:val="3"/>
        </w:numPr>
        <w:pBdr/>
        <w:spacing/>
        <w:ind/>
        <w:rPr>
          <w:lang w:val="fr-FR"/>
        </w:rPr>
      </w:pPr>
      <w:r>
        <w:rPr>
          <w:highlight w:val="none"/>
          <w:lang w:val="fr-FR"/>
        </w:rPr>
        <w:t xml:space="preserve">Q4 : 40.00€</w:t>
      </w:r>
      <w:r>
        <w:rPr>
          <w:lang w:val="fr-FR"/>
        </w:rPr>
      </w:r>
    </w:p>
    <w:p w14:paraId="796571B1">
      <w:pPr>
        <w:pBdr/>
        <w:spacing/>
        <w:ind/>
        <w:rPr>
          <w:lang w:val="fr-FR"/>
        </w:rPr>
      </w:pPr>
      <w:r>
        <w:rPr>
          <w:highlight w:val="none"/>
          <w:lang w:val="fr-FR"/>
        </w:rPr>
        <w:t xml:space="preserve">Or, dans la déclaration annuelle, rien est marqué (un oublie je pense). Ainsi, cela fausse le résultat de la section II.E.</w:t>
      </w:r>
      <w:r>
        <w:rPr>
          <w:highlight w:val="none"/>
          <w:lang w:val="fr-FR" w:bidi="fr-FR"/>
        </w:rPr>
      </w:r>
      <w:r>
        <w:rPr>
          <w:lang w:val="fr-FR"/>
        </w:rPr>
      </w:r>
    </w:p>
    <w:p w14:paraId="6BFB7978">
      <w:pPr>
        <w:pBdr/>
        <w:spacing/>
        <w:ind/>
        <w:rPr>
          <w:lang w:val="fr-FR"/>
        </w:rPr>
      </w:pPr>
      <w:r>
        <w:rPr>
          <w:lang w:val="fr-FR" w:bidi="fr-FR"/>
        </w:rPr>
      </w:r>
      <w:r>
        <w:rPr>
          <w:lang w:val="fr-FR"/>
        </w:rPr>
      </w:r>
    </w:p>
    <w:p w14:paraId="6C7F1EFD">
      <w:pPr>
        <w:pBdr/>
        <w:spacing/>
        <w:ind w:firstLine="0" w:left="0"/>
        <w:rPr>
          <w:b/>
          <w:bCs/>
          <w:lang w:val="fr-FR"/>
        </w:rPr>
      </w:pPr>
      <w:r>
        <w:rPr>
          <w:b/>
          <w:bCs/>
          <w:highlight w:val="none"/>
          <w:lang w:val="fr-FR"/>
        </w:rPr>
        <w:t xml:space="preserve">Avec les remarques (si elle sont vraies), une modification doit </w:t>
      </w:r>
      <w:r>
        <w:rPr>
          <w:b/>
          <w:bCs/>
          <w:highlight w:val="none"/>
          <w:lang w:val="fr-FR"/>
        </w:rPr>
        <w:t xml:space="preserve">être fait pour la partie II.H (total aval).</w:t>
      </w:r>
      <w:r>
        <w:rPr>
          <w:b/>
          <w:bCs/>
          <w:lang w:val="fr-FR" w:bidi="fr-FR"/>
        </w:rPr>
      </w:r>
      <w:r>
        <w:rPr>
          <w:b/>
          <w:bCs/>
          <w:lang w:val="fr-FR"/>
        </w:rPr>
      </w:r>
    </w:p>
    <w:p w14:paraId="110AEF41">
      <w:pPr>
        <w:pBdr/>
        <w:spacing/>
        <w:ind/>
        <w:rPr>
          <w:lang w:val="fr-FR"/>
        </w:rPr>
      </w:pPr>
      <w:r>
        <w:rPr>
          <w:lang w:val="fr-FR" w:bidi="fr-FR"/>
        </w:rPr>
      </w:r>
      <w:r>
        <w:rPr>
          <w:lang w:val="fr-FR"/>
        </w:rPr>
      </w:r>
    </w:p>
    <w:p w14:paraId="0FBDA0D8">
      <w:pPr>
        <w:pBdr/>
        <w:spacing/>
        <w:ind/>
        <w:rPr>
          <w:b/>
          <w:bCs/>
          <w:u w:val="single"/>
          <w:lang w:val="fr-FR"/>
        </w:rPr>
      </w:pPr>
      <w:r>
        <w:rPr>
          <w:b/>
          <w:bCs/>
          <w:u w:val="single"/>
          <w:lang w:val="fr-FR"/>
        </w:rPr>
        <w:t xml:space="preserve">Section III.</w:t>
      </w:r>
      <w:r>
        <w:rPr>
          <w:b/>
          <w:bCs/>
          <w:u w:val="single"/>
          <w:lang w:val="fr-FR" w:bidi="fr-FR"/>
        </w:rPr>
      </w:r>
      <w:r>
        <w:rPr>
          <w:b/>
          <w:bCs/>
          <w:u w:val="single"/>
          <w:lang w:val="fr-FR"/>
        </w:rPr>
      </w:r>
    </w:p>
    <w:p w14:paraId="3EC907E5">
      <w:pPr>
        <w:pBdr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  <w:t xml:space="preserve">Nous avons remarqué que les codes et les noms des parties sont différentes entre les déclarations Q3, Q4 et la déclaration annuelle.</w:t>
      </w:r>
      <w:r>
        <w:rPr>
          <w:highlight w:val="none"/>
          <w:lang w:val="fr-FR" w:bidi="fr-FR"/>
        </w:rPr>
      </w:r>
      <w:r>
        <w:rPr>
          <w:highlight w:val="none"/>
          <w:lang w:val="fr-FR"/>
        </w:rPr>
      </w:r>
    </w:p>
    <w:p w14:paraId="6644164D">
      <w:pPr>
        <w:pBdr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  <w:t xml:space="preserve">Est-ce que cela est normal ou non ?</w:t>
      </w:r>
      <w:r>
        <w:rPr>
          <w:highlight w:val="none"/>
          <w:lang w:val="fr-FR"/>
        </w:rPr>
      </w:r>
    </w:p>
    <w:p w14:paraId="12536B9A">
      <w:pPr>
        <w:pBdr/>
        <w:spacing/>
        <w:ind/>
        <w:rPr>
          <w:lang w:val="fr-FR"/>
        </w:rPr>
      </w:pPr>
      <w:r>
        <w:rPr>
          <w:highlight w:val="none"/>
          <w:lang w:val="fr-FR"/>
        </w:rPr>
        <w:t xml:space="preserve">(La vérification des chiffres est impossible pour cette partie là)</w:t>
      </w:r>
      <w:r>
        <w:rPr>
          <w:highlight w:val="none"/>
          <w:lang w:val="fr-FR" w:bidi="fr-FR"/>
        </w:rPr>
      </w:r>
      <w:r>
        <w:rPr>
          <w:lang w:val="fr-FR"/>
        </w:rPr>
      </w:r>
    </w:p>
    <w:p w14:paraId="1A94CF5A">
      <w:pPr>
        <w:pBdr/>
        <w:spacing/>
        <w:ind/>
        <w:rPr>
          <w:lang w:val="fr-FR"/>
        </w:rPr>
      </w:pPr>
      <w:r>
        <w:rPr>
          <w:lang w:val="fr-FR" w:bidi="fr-FR"/>
        </w:rPr>
      </w:r>
      <w:r>
        <w:rPr>
          <w:lang w:val="fr-FR"/>
        </w:rPr>
      </w:r>
    </w:p>
    <w:p w14:paraId="441BF371">
      <w:pPr>
        <w:pBdr/>
        <w:spacing/>
        <w:ind/>
        <w:rPr>
          <w:lang w:val="fr-FR"/>
        </w:rPr>
      </w:pPr>
      <w:r>
        <w:rPr>
          <w:lang w:val="fr-FR" w:bidi="fr-FR"/>
        </w:rPr>
      </w:r>
      <w:r>
        <w:rPr>
          <w:lang w:val="fr-FR"/>
        </w:rPr>
      </w:r>
    </w:p>
    <w:p w14:paraId="330AE674">
      <w:pPr>
        <w:pBdr/>
        <w:spacing/>
        <w:ind/>
        <w:rPr>
          <w:b/>
          <w:bCs/>
          <w:sz w:val="32"/>
          <w:szCs w:val="32"/>
          <w:highlight w:val="none"/>
          <w:u w:val="single"/>
          <w:lang w:val="fr-FR"/>
        </w:rPr>
      </w:pPr>
      <w:r>
        <w:rPr>
          <w:b/>
          <w:bCs/>
          <w:sz w:val="32"/>
          <w:szCs w:val="32"/>
          <w:highlight w:val="none"/>
          <w:u w:val="single"/>
          <w:lang w:val="fr-FR"/>
        </w:rPr>
        <w:t xml:space="preserve">II – Déclaration IS</w:t>
      </w:r>
      <w:r>
        <w:rPr>
          <w:b/>
          <w:bCs/>
          <w:sz w:val="32"/>
          <w:szCs w:val="32"/>
          <w:highlight w:val="none"/>
          <w:u w:val="single"/>
          <w:lang w:val="fr-FR" w:bidi="fr-FR"/>
        </w:rPr>
      </w:r>
      <w:r>
        <w:rPr>
          <w:b/>
          <w:bCs/>
          <w:sz w:val="32"/>
          <w:szCs w:val="32"/>
          <w:highlight w:val="none"/>
          <w:u w:val="single"/>
          <w:lang w:val="fr-FR"/>
        </w:rPr>
      </w:r>
    </w:p>
    <w:p w14:paraId="72523784">
      <w:pPr>
        <w:pBdr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  <w:t xml:space="preserve">Nous avons remarqué que la déclaration sur le paiement l’imp</w:t>
      </w:r>
      <w:r>
        <w:rPr>
          <w:highlight w:val="none"/>
          <w:lang w:val="fr-FR"/>
        </w:rPr>
        <w:t xml:space="preserve">ôt sur la fortune n’est pas noté (je pense qu’il faut la noter dans R0150, je ne suis pas s</w:t>
      </w:r>
      <w:r>
        <w:rPr>
          <w:highlight w:val="none"/>
          <w:lang w:val="fr-FR"/>
        </w:rPr>
        <w:t xml:space="preserve">ûr).</w:t>
      </w:r>
      <w:r>
        <w:rPr>
          <w:highlight w:val="none"/>
          <w:lang w:val="fr-FR" w:bidi="fr-FR"/>
        </w:rPr>
      </w:r>
      <w:r>
        <w:rPr>
          <w:highlight w:val="none"/>
          <w:lang w:val="fr-FR"/>
        </w:rPr>
      </w:r>
    </w:p>
    <w:p w14:paraId="04BB7FA6">
      <w:pPr>
        <w:pBdr/>
        <w:spacing/>
        <w:ind/>
        <w:rPr>
          <w:highlight w:val="none"/>
          <w:lang w:val="fr-FR"/>
        </w:rPr>
      </w:pPr>
      <w:r>
        <w:rPr>
          <w:highlight w:val="none"/>
          <w:lang w:val="fr-FR" w:bidi="fr-FR"/>
        </w:rPr>
        <w:t xml:space="preserve">Or, nous l’avons payé pour 2025Q4. Dans l’historique des comptes, la transaction date du </w:t>
      </w:r>
      <w:r>
        <w:rPr>
          <w:lang w:val="fr-FR"/>
        </w:rPr>
        <w:t xml:space="preserve">04-11-2025</w:t>
      </w:r>
      <w:r>
        <w:rPr>
          <w:highlight w:val="none"/>
          <w:lang w:val="fr-FR" w:bidi="fr-FR"/>
        </w:rPr>
        <w:t xml:space="preserve">, avec un montant de 133,75€ (voir la section référence comptable ‘</w:t>
      </w:r>
      <w:r>
        <w:rPr>
          <w:lang w:val="fr-FR"/>
        </w:rPr>
        <w:t xml:space="preserve">42143000</w:t>
      </w:r>
      <w:r>
        <w:rPr>
          <w:lang w:val="fr-FR"/>
        </w:rPr>
        <w:t xml:space="preserve">’</w:t>
      </w:r>
      <w:r>
        <w:rPr>
          <w:highlight w:val="none"/>
          <w:lang w:val="fr-FR" w:bidi="fr-FR"/>
        </w:rPr>
        <w:t xml:space="preserve">)</w:t>
      </w:r>
      <w:r>
        <w:rPr>
          <w:highlight w:val="none"/>
          <w:lang w:val="fr-FR" w:bidi="fr-FR"/>
        </w:rPr>
        <w:t xml:space="preserve">.</w:t>
      </w: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</w:p>
    <w:p w14:paraId="2FFAD74A">
      <w:pPr>
        <w:pBdr/>
        <w:spacing/>
        <w:ind/>
        <w:rPr>
          <w:highlight w:val="none"/>
          <w:lang w:val="fr-FR"/>
        </w:rPr>
      </w:pP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</w:p>
    <w:p w14:paraId="6C1E758D">
      <w:pPr>
        <w:pBdr/>
        <w:spacing/>
        <w:ind/>
        <w:rPr>
          <w:highlight w:val="none"/>
          <w:lang w:val="fr-FR"/>
        </w:rPr>
      </w:pP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</w:p>
    <w:p w14:paraId="519FDB7B">
      <w:pPr>
        <w:pBdr/>
        <w:spacing/>
        <w:ind/>
        <w:rPr>
          <w:b/>
          <w:bCs/>
          <w:sz w:val="32"/>
          <w:szCs w:val="32"/>
          <w:highlight w:val="none"/>
          <w:u w:val="single"/>
          <w:lang w:val="fr-FR"/>
        </w:rPr>
      </w:pPr>
      <w:r>
        <w:rPr>
          <w:b/>
          <w:bCs/>
          <w:sz w:val="32"/>
          <w:szCs w:val="32"/>
          <w:highlight w:val="none"/>
          <w:u w:val="single"/>
          <w:lang w:val="fr-FR"/>
        </w:rPr>
        <w:t xml:space="preserve">III – Déclaration </w:t>
      </w:r>
      <w:r>
        <w:rPr>
          <w:b/>
          <w:bCs/>
          <w:sz w:val="32"/>
          <w:szCs w:val="32"/>
          <w:highlight w:val="none"/>
          <w:u w:val="single"/>
          <w:lang w:val="fr-FR"/>
        </w:rPr>
        <w:t xml:space="preserve">Comptes annuels</w:t>
      </w:r>
      <w:r>
        <w:rPr>
          <w:b/>
          <w:bCs/>
          <w:sz w:val="32"/>
          <w:szCs w:val="32"/>
          <w:highlight w:val="none"/>
          <w:u w:val="single"/>
          <w:lang w:val="fr-FR" w:bidi="fr-FR"/>
        </w:rPr>
      </w:r>
      <w:r>
        <w:rPr>
          <w:b/>
          <w:bCs/>
          <w:sz w:val="32"/>
          <w:szCs w:val="32"/>
          <w:highlight w:val="none"/>
          <w:u w:val="single"/>
          <w:lang w:val="fr-FR"/>
        </w:rPr>
      </w:r>
    </w:p>
    <w:p w14:paraId="215F8C30">
      <w:pPr>
        <w:pBdr/>
        <w:spacing/>
        <w:ind/>
        <w:rPr>
          <w:b/>
          <w:bCs/>
          <w:sz w:val="24"/>
          <w:szCs w:val="24"/>
          <w:highlight w:val="none"/>
          <w:u w:val="single"/>
          <w:lang w:val="fr-FR"/>
        </w:rPr>
      </w:pPr>
      <w:r>
        <w:rPr>
          <w:b/>
          <w:bCs/>
          <w:sz w:val="24"/>
          <w:szCs w:val="24"/>
          <w:highlight w:val="none"/>
          <w:u w:val="single"/>
          <w:lang w:val="fr-FR" w:bidi="fr-FR"/>
        </w:rPr>
        <w:t xml:space="preserve">C – </w:t>
      </w:r>
      <w:r>
        <w:rPr>
          <w:b/>
          <w:bCs/>
          <w:sz w:val="24"/>
          <w:szCs w:val="24"/>
          <w:highlight w:val="none"/>
          <w:u w:val="single"/>
          <w:lang w:val="fr-FR" w:bidi="fr-FR"/>
        </w:rPr>
        <w:t xml:space="preserve">Actif immobilisé</w:t>
      </w:r>
      <w:r>
        <w:rPr>
          <w:b/>
          <w:bCs/>
          <w:sz w:val="24"/>
          <w:szCs w:val="24"/>
          <w:highlight w:val="none"/>
          <w:u w:val="single"/>
          <w:lang w:val="fr-FR" w:bidi="fr-FR"/>
        </w:rPr>
      </w:r>
      <w:r>
        <w:rPr>
          <w:b/>
          <w:bCs/>
          <w:sz w:val="24"/>
          <w:szCs w:val="24"/>
          <w:highlight w:val="none"/>
          <w:u w:val="single"/>
          <w:lang w:val="fr-FR"/>
        </w:rPr>
      </w:r>
    </w:p>
    <w:p w14:paraId="166FF32C">
      <w:pPr>
        <w:pBdr/>
        <w:spacing/>
        <w:ind/>
        <w:rPr>
          <w:b w:val="0"/>
          <w:bCs w:val="0"/>
          <w:sz w:val="24"/>
          <w:szCs w:val="24"/>
          <w:highlight w:val="none"/>
          <w:u w:val="none"/>
          <w:lang w:val="fr-FR"/>
        </w:rPr>
      </w:pPr>
      <w:r>
        <w:rPr>
          <w:b w:val="0"/>
          <w:bCs w:val="0"/>
          <w:sz w:val="24"/>
          <w:szCs w:val="24"/>
          <w:highlight w:val="none"/>
          <w:u w:val="none"/>
          <w:lang w:val="fr-FR" w:bidi="fr-FR"/>
        </w:rPr>
      </w:r>
      <w:r>
        <w:rPr>
          <w:b w:val="0"/>
          <w:bCs w:val="0"/>
          <w:sz w:val="24"/>
          <w:szCs w:val="24"/>
          <w:highlight w:val="none"/>
          <w:u w:val="none"/>
          <w:lang w:val="fr-FR"/>
        </w:rPr>
        <w:t xml:space="preserve">Est-ce qu’il faut ajouter le I-Dép</w:t>
      </w:r>
      <w:r>
        <w:rPr>
          <w:b w:val="0"/>
          <w:bCs w:val="0"/>
          <w:sz w:val="24"/>
          <w:szCs w:val="24"/>
          <w:highlight w:val="none"/>
          <w:u w:val="none"/>
          <w:lang w:val="fr-FR"/>
        </w:rPr>
        <w:t xml:space="preserve">ôt de BOIP (37,00€) en tant qu’immobilisation incorporelle ? </w:t>
      </w:r>
      <w:r>
        <w:rPr>
          <w:b w:val="0"/>
          <w:bCs w:val="0"/>
          <w:sz w:val="24"/>
          <w:szCs w:val="24"/>
          <w:highlight w:val="none"/>
          <w:u w:val="none"/>
          <w:lang w:val="fr-FR" w:bidi="fr-FR"/>
        </w:rPr>
      </w:r>
      <w:r>
        <w:rPr>
          <w:b w:val="0"/>
          <w:bCs w:val="0"/>
          <w:sz w:val="24"/>
          <w:szCs w:val="24"/>
          <w:highlight w:val="none"/>
          <w:u w:val="none"/>
          <w:lang w:val="fr-FR"/>
        </w:rPr>
      </w:r>
    </w:p>
    <w:p w14:paraId="0022E83B">
      <w:pPr>
        <w:pBdr/>
        <w:spacing/>
        <w:ind/>
        <w:rPr>
          <w:b w:val="0"/>
          <w:bCs w:val="0"/>
          <w:sz w:val="24"/>
          <w:szCs w:val="24"/>
          <w:highlight w:val="none"/>
          <w:u w:val="none"/>
          <w:lang w:val="fr-FR"/>
        </w:rPr>
      </w:pPr>
      <w:r>
        <w:rPr>
          <w:b w:val="0"/>
          <w:bCs w:val="0"/>
          <w:sz w:val="24"/>
          <w:szCs w:val="24"/>
          <w:highlight w:val="none"/>
          <w:u w:val="none"/>
          <w:lang w:val="fr-FR"/>
        </w:rPr>
        <w:t xml:space="preserve">C’est un dép</w:t>
      </w:r>
      <w:r>
        <w:rPr>
          <w:b w:val="0"/>
          <w:bCs w:val="0"/>
          <w:sz w:val="24"/>
          <w:szCs w:val="24"/>
          <w:highlight w:val="none"/>
          <w:u w:val="none"/>
          <w:lang w:val="fr-FR"/>
        </w:rPr>
        <w:t xml:space="preserve">ôt de notre code et notre propriété intellectuelle pour 5 ans.</w:t>
      </w:r>
      <w:r>
        <w:rPr>
          <w:b w:val="0"/>
          <w:bCs w:val="0"/>
          <w:sz w:val="24"/>
          <w:szCs w:val="24"/>
          <w:highlight w:val="none"/>
          <w:u w:val="none"/>
          <w:lang w:val="fr-FR" w:bidi="fr-FR"/>
        </w:rPr>
      </w:r>
      <w:r>
        <w:rPr>
          <w:b w:val="0"/>
          <w:bCs w:val="0"/>
          <w:sz w:val="24"/>
          <w:szCs w:val="24"/>
          <w:highlight w:val="none"/>
          <w:u w:val="none"/>
          <w:lang w:val="fr-FR"/>
        </w:rPr>
      </w:r>
    </w:p>
    <w:p w14:paraId="24D687BE">
      <w:pPr>
        <w:pBdr/>
        <w:spacing/>
        <w:ind/>
        <w:rPr>
          <w:b w:val="0"/>
          <w:bCs w:val="0"/>
          <w:sz w:val="24"/>
          <w:szCs w:val="24"/>
          <w:highlight w:val="none"/>
          <w:u w:val="none"/>
          <w:lang w:val="fr-FR"/>
        </w:rPr>
      </w:pPr>
      <w:r>
        <w:rPr>
          <w:b w:val="0"/>
          <w:bCs w:val="0"/>
          <w:sz w:val="24"/>
          <w:szCs w:val="24"/>
          <w:highlight w:val="none"/>
          <w:u w:val="none"/>
          <w:lang w:val="fr-FR" w:bidi="fr-FR"/>
        </w:rPr>
      </w:r>
      <w:r>
        <w:rPr>
          <w:b w:val="0"/>
          <w:bCs w:val="0"/>
          <w:sz w:val="24"/>
          <w:szCs w:val="24"/>
          <w:highlight w:val="none"/>
          <w:u w:val="none"/>
          <w:lang w:val="fr-FR" w:bidi="fr-FR"/>
        </w:rPr>
      </w:r>
      <w:r>
        <w:rPr>
          <w:b w:val="0"/>
          <w:bCs w:val="0"/>
          <w:sz w:val="24"/>
          <w:szCs w:val="24"/>
          <w:highlight w:val="none"/>
          <w:u w:val="none"/>
          <w:lang w:val="fr-FR"/>
        </w:rPr>
      </w:r>
    </w:p>
    <w:p w14:paraId="7A1D3BB6">
      <w:pPr>
        <w:pBdr/>
        <w:spacing/>
        <w:ind/>
        <w:rPr>
          <w:highlight w:val="none"/>
          <w:lang w:val="fr-FR"/>
        </w:rPr>
      </w:pP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</w:p>
    <w:p w14:paraId="176CE7A7">
      <w:pPr>
        <w:pBdr/>
        <w:spacing/>
        <w:ind/>
        <w:rPr>
          <w:b/>
          <w:bCs/>
          <w:highlight w:val="none"/>
          <w:u w:val="single"/>
          <w:lang w:val="fr-FR"/>
        </w:rPr>
      </w:pPr>
      <w:r>
        <w:rPr>
          <w:b/>
          <w:bCs/>
          <w:highlight w:val="none"/>
          <w:u w:val="single"/>
          <w:lang w:val="fr-FR" w:bidi="fr-FR"/>
        </w:rPr>
        <w:t xml:space="preserve">5. </w:t>
      </w:r>
      <w:r>
        <w:rPr>
          <w:b/>
          <w:bCs/>
          <w:u w:val="single"/>
          <w:lang w:val="fr-FR"/>
        </w:rPr>
        <w:t xml:space="preserve">Matières premières et consommables et autres charges externes </w:t>
      </w:r>
      <w:r>
        <w:rPr>
          <w:b/>
          <w:bCs/>
          <w:highlight w:val="none"/>
          <w:u w:val="single"/>
          <w:lang w:val="fr-FR" w:bidi="fr-FR"/>
        </w:rPr>
      </w:r>
      <w:r>
        <w:rPr>
          <w:b/>
          <w:bCs/>
          <w:highlight w:val="none"/>
          <w:u w:val="single"/>
          <w:lang w:val="fr-FR"/>
        </w:rPr>
      </w:r>
    </w:p>
    <w:p w14:paraId="7B6EAF05">
      <w:pPr>
        <w:pBdr/>
        <w:spacing/>
        <w:ind/>
        <w:rPr>
          <w:highlight w:val="none"/>
          <w:lang w:val="fr-FR"/>
        </w:rPr>
      </w:pP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  <w:t xml:space="preserve">‘LOCATION WHALLER’ (code 61128010) est un service que l’on paye par mois pour un espace de stockage informatique type Sharepoint pour Microsoft ou bien Google drive</w:t>
      </w:r>
      <w:r>
        <w:rPr>
          <w:highlight w:val="none"/>
          <w:lang w:val="fr-FR" w:bidi="fr-FR"/>
        </w:rPr>
        <w:t xml:space="preserve">.</w:t>
      </w: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</w:p>
    <w:p w14:paraId="2F810705">
      <w:pPr>
        <w:pBdr/>
        <w:spacing/>
        <w:ind/>
        <w:rPr>
          <w:highlight w:val="none"/>
          <w:lang w:val="fr-FR"/>
        </w:rPr>
      </w:pPr>
      <w:r>
        <w:rPr>
          <w:highlight w:val="none"/>
          <w:lang w:val="fr-FR" w:bidi="fr-FR"/>
        </w:rPr>
        <w:t xml:space="preserve">Avec en plus la possibilité de faire des réunions (type Teams), ...</w:t>
      </w: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</w:p>
    <w:p w14:paraId="085F6538">
      <w:pPr>
        <w:pBdr/>
        <w:spacing/>
        <w:ind/>
        <w:rPr>
          <w:highlight w:val="none"/>
          <w:lang w:val="fr-FR"/>
        </w:rPr>
      </w:pPr>
      <w:r>
        <w:rPr>
          <w:highlight w:val="none"/>
          <w:lang w:val="fr-FR" w:bidi="fr-FR"/>
        </w:rPr>
        <w:t xml:space="preserve">Est-ce qu’il ne doit pas </w:t>
      </w:r>
      <w:r>
        <w:rPr>
          <w:highlight w:val="none"/>
          <w:lang w:val="fr-FR" w:bidi="fr-FR"/>
        </w:rPr>
        <w:t xml:space="preserve">être mis en tant que ‘Services informatiques’ ?</w:t>
      </w: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</w:p>
    <w:p w14:paraId="2535B586">
      <w:pPr>
        <w:pBdr/>
        <w:spacing/>
        <w:ind/>
        <w:rPr>
          <w:highlight w:val="none"/>
          <w:lang w:val="fr-FR"/>
        </w:rPr>
      </w:pP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</w:p>
    <w:p w14:paraId="77C64AC0">
      <w:pPr>
        <w:pBdr/>
        <w:spacing/>
        <w:ind/>
        <w:rPr>
          <w:highlight w:val="none"/>
          <w:lang w:val="fr-FR"/>
        </w:rPr>
      </w:pP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</w:p>
    <w:p w14:paraId="26E9C6D2">
      <w:pPr>
        <w:pBdr/>
        <w:spacing/>
        <w:ind/>
        <w:rPr>
          <w:highlight w:val="none"/>
          <w:lang w:val="fr-FR"/>
        </w:rPr>
      </w:pP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</w:p>
    <w:p w14:paraId="3812B570">
      <w:pPr>
        <w:pBdr/>
        <w:spacing/>
        <w:ind/>
        <w:rPr>
          <w:b/>
          <w:bCs/>
          <w:sz w:val="32"/>
          <w:szCs w:val="32"/>
          <w:highlight w:val="none"/>
          <w:u w:val="single"/>
          <w:lang w:val="fr-FR"/>
        </w:rPr>
      </w:pPr>
      <w:r>
        <w:rPr>
          <w:b/>
          <w:bCs/>
          <w:sz w:val="32"/>
          <w:szCs w:val="32"/>
          <w:highlight w:val="none"/>
          <w:u w:val="single"/>
          <w:lang w:val="fr-FR"/>
        </w:rPr>
        <w:t xml:space="preserve">III – Historique des comptes généraux</w:t>
      </w:r>
      <w:r>
        <w:rPr>
          <w:b/>
          <w:bCs/>
          <w:sz w:val="32"/>
          <w:szCs w:val="32"/>
          <w:highlight w:val="none"/>
          <w:u w:val="single"/>
          <w:lang w:val="fr-FR" w:bidi="fr-FR"/>
        </w:rPr>
      </w:r>
      <w:r>
        <w:rPr>
          <w:b/>
          <w:bCs/>
          <w:sz w:val="32"/>
          <w:szCs w:val="32"/>
          <w:highlight w:val="none"/>
          <w:u w:val="single"/>
          <w:lang w:val="fr-FR"/>
        </w:rPr>
      </w:r>
    </w:p>
    <w:p w14:paraId="6EB532F5">
      <w:pPr>
        <w:pBdr/>
        <w:spacing/>
        <w:ind/>
        <w:rPr>
          <w:b/>
          <w:bCs/>
          <w:highlight w:val="none"/>
          <w:u w:val="single"/>
          <w:lang w:val="fr-FR"/>
        </w:rPr>
      </w:pPr>
      <w:r>
        <w:rPr>
          <w:b/>
          <w:bCs/>
          <w:highlight w:val="none"/>
          <w:u w:val="single"/>
          <w:lang w:val="fr-FR" w:bidi="fr-FR"/>
        </w:rPr>
        <w:t xml:space="preserve">Transaction EUIPO :</w:t>
      </w:r>
      <w:r>
        <w:rPr>
          <w:b/>
          <w:bCs/>
          <w:highlight w:val="none"/>
          <w:u w:val="single"/>
          <w:lang w:val="fr-FR" w:bidi="fr-FR"/>
        </w:rPr>
      </w:r>
      <w:r>
        <w:rPr>
          <w:b/>
          <w:bCs/>
          <w:highlight w:val="none"/>
          <w:u w:val="single"/>
          <w:lang w:val="fr-FR"/>
        </w:rPr>
      </w:r>
    </w:p>
    <w:p w14:paraId="0C5AED27">
      <w:pPr>
        <w:pBdr/>
        <w:spacing/>
        <w:ind/>
        <w:rPr>
          <w:highlight w:val="none"/>
          <w:u w:val="none"/>
          <w:lang w:val="fr-FR"/>
        </w:rPr>
      </w:pPr>
      <w:r>
        <w:rPr>
          <w:highlight w:val="none"/>
          <w:u w:val="none"/>
          <w:lang w:val="fr-FR" w:bidi="fr-FR"/>
        </w:rPr>
        <w:t xml:space="preserve">J’ai remarqué que la transaction EUIPO (libellé ‘47 13-09-2025</w:t>
      </w:r>
      <w:r>
        <w:rPr>
          <w:highlight w:val="none"/>
          <w:u w:val="none"/>
          <w:lang w:val="fr-FR"/>
        </w:rPr>
        <w:t xml:space="preserve">’) </w:t>
      </w:r>
      <w:r>
        <w:rPr>
          <w:b/>
          <w:bCs/>
          <w:highlight w:val="none"/>
          <w:u w:val="none"/>
          <w:lang w:val="fr-FR"/>
        </w:rPr>
        <w:t xml:space="preserve">est noté en TVA en amont et TVA en aval</w:t>
      </w:r>
      <w:r>
        <w:rPr>
          <w:highlight w:val="none"/>
          <w:u w:val="none"/>
          <w:lang w:val="fr-FR"/>
        </w:rPr>
        <w:t xml:space="preserve">.</w:t>
      </w:r>
      <w:r>
        <w:rPr>
          <w:highlight w:val="none"/>
          <w:u w:val="none"/>
          <w:lang w:val="fr-FR" w:bidi="fr-FR"/>
        </w:rPr>
      </w:r>
      <w:r>
        <w:rPr>
          <w:highlight w:val="none"/>
          <w:u w:val="none"/>
          <w:lang w:val="fr-FR"/>
        </w:rPr>
      </w:r>
    </w:p>
    <w:p w14:paraId="00CF7E6B">
      <w:pPr>
        <w:pBdr/>
        <w:spacing/>
        <w:ind/>
        <w:rPr>
          <w:highlight w:val="none"/>
          <w:u w:val="none"/>
          <w:lang w:val="fr-FR"/>
        </w:rPr>
      </w:pPr>
      <w:r>
        <w:rPr>
          <w:highlight w:val="none"/>
          <w:u w:val="none"/>
          <w:lang w:val="fr-FR"/>
        </w:rPr>
        <w:t xml:space="preserve">Est-ce normal ?</w:t>
      </w:r>
      <w:r>
        <w:rPr>
          <w:highlight w:val="none"/>
          <w:u w:val="none"/>
          <w:lang w:val="fr-FR" w:bidi="fr-FR"/>
        </w:rPr>
      </w:r>
      <w:r>
        <w:rPr>
          <w:highlight w:val="none"/>
          <w:u w:val="none"/>
          <w:lang w:val="fr-FR"/>
        </w:rPr>
      </w:r>
    </w:p>
    <w:p w14:paraId="43D89414">
      <w:pPr>
        <w:pBdr/>
        <w:spacing/>
        <w:ind/>
        <w:rPr>
          <w:highlight w:val="none"/>
          <w:u w:val="none"/>
          <w:lang w:val="fr-FR"/>
        </w:rPr>
      </w:pPr>
      <w:r>
        <w:rPr>
          <w:highlight w:val="none"/>
          <w:u w:val="none"/>
          <w:lang w:val="fr-FR" w:bidi="fr-FR"/>
        </w:rPr>
      </w:r>
      <w:r>
        <w:rPr>
          <w:highlight w:val="none"/>
          <w:u w:val="none"/>
          <w:lang w:val="fr-FR" w:bidi="fr-FR"/>
        </w:rPr>
      </w:r>
      <w:r>
        <w:rPr>
          <w:highlight w:val="none"/>
          <w:u w:val="none"/>
          <w:lang w:val="fr-FR"/>
        </w:rPr>
      </w:r>
    </w:p>
    <w:p w14:paraId="4970DE8B">
      <w:pPr>
        <w:pBdr/>
        <w:spacing/>
        <w:ind/>
        <w:rPr>
          <w:b/>
          <w:bCs/>
          <w:highlight w:val="none"/>
          <w:u w:val="single"/>
          <w:lang w:val="fr-FR"/>
        </w:rPr>
      </w:pPr>
      <w:r>
        <w:rPr>
          <w:b/>
          <w:bCs/>
          <w:highlight w:val="none"/>
          <w:u w:val="single"/>
          <w:lang w:val="fr-FR" w:bidi="fr-FR"/>
        </w:rPr>
      </w:r>
      <w:r>
        <w:rPr>
          <w:b/>
          <w:bCs/>
          <w:highlight w:val="none"/>
          <w:u w:val="single"/>
          <w:lang w:val="fr-FR"/>
        </w:rPr>
        <w:t xml:space="preserve">TVA en aval (id : 46141100) :</w:t>
      </w:r>
      <w:r>
        <w:rPr>
          <w:b/>
          <w:bCs/>
          <w:highlight w:val="none"/>
          <w:u w:val="single"/>
          <w:lang w:val="fr-FR" w:bidi="fr-FR"/>
        </w:rPr>
      </w:r>
      <w:r>
        <w:rPr>
          <w:b/>
          <w:bCs/>
          <w:highlight w:val="none"/>
          <w:u w:val="single"/>
          <w:lang w:val="fr-FR"/>
        </w:rPr>
      </w:r>
    </w:p>
    <w:p w14:paraId="02977810">
      <w:pPr>
        <w:pBdr/>
        <w:spacing/>
        <w:ind/>
        <w:rPr>
          <w:b w:val="0"/>
          <w:bCs w:val="0"/>
          <w:highlight w:val="none"/>
          <w:u w:val="none"/>
          <w:lang w:val="fr-FR"/>
        </w:rPr>
      </w:pPr>
      <w:r>
        <w:rPr>
          <w:b w:val="0"/>
          <w:bCs w:val="0"/>
          <w:highlight w:val="none"/>
          <w:u w:val="none"/>
          <w:lang w:val="fr-FR"/>
        </w:rPr>
        <w:t xml:space="preserve">J’ai remarqué que </w:t>
      </w:r>
      <w:r>
        <w:rPr>
          <w:b/>
          <w:bCs/>
          <w:highlight w:val="none"/>
          <w:u w:val="none"/>
          <w:lang w:val="fr-FR"/>
        </w:rPr>
        <w:t xml:space="preserve">certaines de nos dépenses était marqué dans TVA en aval</w:t>
      </w:r>
      <w:r>
        <w:rPr>
          <w:b w:val="0"/>
          <w:bCs w:val="0"/>
          <w:highlight w:val="none"/>
          <w:u w:val="none"/>
          <w:lang w:val="fr-FR"/>
        </w:rPr>
        <w:t xml:space="preserve"> (je les ai marqué en orange dans le document).</w:t>
      </w:r>
      <w:r>
        <w:rPr>
          <w:b w:val="0"/>
          <w:bCs w:val="0"/>
          <w:highlight w:val="none"/>
          <w:u w:val="none"/>
          <w:lang w:val="fr-FR" w:bidi="fr-FR"/>
        </w:rPr>
      </w:r>
      <w:r>
        <w:rPr>
          <w:b w:val="0"/>
          <w:bCs w:val="0"/>
          <w:highlight w:val="none"/>
          <w:u w:val="none"/>
          <w:lang w:val="fr-FR"/>
        </w:rPr>
      </w:r>
    </w:p>
    <w:p w14:paraId="1685E4AF">
      <w:pPr>
        <w:pBdr/>
        <w:spacing/>
        <w:ind/>
        <w:rPr>
          <w:b w:val="0"/>
          <w:bCs w:val="0"/>
          <w:highlight w:val="none"/>
          <w:u w:val="none"/>
          <w:lang w:val="fr-FR"/>
        </w:rPr>
      </w:pPr>
      <w:r>
        <w:rPr>
          <w:b w:val="0"/>
          <w:bCs w:val="0"/>
          <w:highlight w:val="none"/>
          <w:u w:val="none"/>
          <w:lang w:val="fr-FR"/>
        </w:rPr>
        <w:t xml:space="preserve">Durant 2025, nous collectons la TVA qu’avec NSI (le seul service à l’époque).</w:t>
      </w:r>
      <w:r>
        <w:rPr>
          <w:b w:val="0"/>
          <w:bCs w:val="0"/>
          <w:highlight w:val="none"/>
          <w:u w:val="none"/>
          <w:lang w:val="fr-FR" w:bidi="fr-FR"/>
        </w:rPr>
      </w:r>
      <w:r>
        <w:rPr>
          <w:b w:val="0"/>
          <w:bCs w:val="0"/>
          <w:highlight w:val="none"/>
          <w:u w:val="none"/>
          <w:lang w:val="fr-FR"/>
        </w:rPr>
      </w:r>
    </w:p>
    <w:p w14:paraId="7D1454BB">
      <w:pPr>
        <w:pBdr/>
        <w:spacing/>
        <w:ind/>
        <w:rPr>
          <w:b w:val="0"/>
          <w:bCs w:val="0"/>
          <w:highlight w:val="none"/>
          <w:u w:val="none"/>
          <w:lang w:val="fr-FR"/>
        </w:rPr>
      </w:pPr>
      <w:r>
        <w:rPr>
          <w:b w:val="0"/>
          <w:bCs w:val="0"/>
          <w:highlight w:val="none"/>
          <w:u w:val="none"/>
          <w:lang w:val="fr-FR" w:bidi="fr-FR"/>
        </w:rPr>
      </w:r>
      <w:r>
        <w:rPr>
          <w:b w:val="0"/>
          <w:bCs w:val="0"/>
          <w:highlight w:val="none"/>
          <w:u w:val="none"/>
          <w:lang w:val="fr-FR" w:bidi="fr-FR"/>
        </w:rPr>
      </w:r>
      <w:r>
        <w:rPr>
          <w:b w:val="0"/>
          <w:bCs w:val="0"/>
          <w:highlight w:val="none"/>
          <w:u w:val="none"/>
          <w:lang w:val="fr-FR"/>
        </w:rPr>
      </w:r>
    </w:p>
    <w:p w14:paraId="48C43F78">
      <w:pPr>
        <w:pBdr/>
        <w:spacing/>
        <w:ind/>
        <w:rPr>
          <w:b w:val="0"/>
          <w:bCs w:val="0"/>
          <w:highlight w:val="none"/>
          <w:u w:val="none"/>
          <w:lang w:val="fr-FR"/>
        </w:rPr>
      </w:pPr>
      <w:r>
        <w:rPr>
          <w:b w:val="0"/>
          <w:bCs w:val="0"/>
          <w:highlight w:val="none"/>
          <w:u w:val="none"/>
          <w:lang w:val="fr-FR"/>
        </w:rPr>
        <w:t xml:space="preserve">Nous sommes disponibles pour une visioconférence si nécessaire pour répondre à toutes ces questions.</w:t>
      </w:r>
      <w:r>
        <w:rPr>
          <w:b w:val="0"/>
          <w:bCs w:val="0"/>
          <w:highlight w:val="none"/>
          <w:u w:val="none"/>
          <w:lang w:val="fr-FR"/>
        </w:rPr>
      </w:r>
    </w:p>
    <w:p w14:paraId="0EBC0A64">
      <w:pPr>
        <w:pBdr/>
        <w:spacing/>
        <w:ind/>
        <w:rPr>
          <w:b w:val="0"/>
          <w:bCs w:val="0"/>
          <w:highlight w:val="none"/>
          <w:u w:val="none"/>
          <w:lang w:val="fr-FR"/>
        </w:rPr>
      </w:pPr>
      <w:r>
        <w:rPr>
          <w:b w:val="0"/>
          <w:bCs w:val="0"/>
          <w:highlight w:val="none"/>
          <w:u w:val="none"/>
          <w:lang w:val="fr-FR" w:bidi="fr-FR"/>
        </w:rPr>
      </w:r>
      <w:r>
        <w:rPr>
          <w:b w:val="0"/>
          <w:bCs w:val="0"/>
          <w:highlight w:val="none"/>
          <w:u w:val="none"/>
          <w:lang w:val="fr-FR" w:bidi="fr-FR"/>
        </w:rPr>
      </w:r>
      <w:r>
        <w:rPr>
          <w:b w:val="0"/>
          <w:bCs w:val="0"/>
          <w:highlight w:val="none"/>
          <w:u w:val="none"/>
          <w:lang w:val="fr-FR"/>
        </w:rPr>
      </w:r>
    </w:p>
    <w:p w14:paraId="742E78C4">
      <w:pPr>
        <w:pBdr/>
        <w:spacing/>
        <w:ind/>
        <w:rPr>
          <w:b w:val="0"/>
          <w:bCs w:val="0"/>
          <w:highlight w:val="none"/>
          <w:u w:val="none"/>
          <w:lang w:val="fr-FR"/>
        </w:rPr>
      </w:pPr>
      <w:r>
        <w:rPr>
          <w:b w:val="0"/>
          <w:bCs w:val="0"/>
          <w:highlight w:val="none"/>
          <w:u w:val="none"/>
          <w:lang w:val="fr-FR"/>
        </w:rPr>
        <w:t xml:space="preserve">En attente de votre retour,</w:t>
      </w:r>
      <w:r>
        <w:rPr>
          <w:b w:val="0"/>
          <w:bCs w:val="0"/>
          <w:highlight w:val="none"/>
          <w:u w:val="none"/>
          <w:lang w:val="fr-FR" w:bidi="fr-FR"/>
        </w:rPr>
      </w:r>
      <w:r>
        <w:rPr>
          <w:b w:val="0"/>
          <w:bCs w:val="0"/>
          <w:highlight w:val="none"/>
          <w:u w:val="none"/>
          <w:lang w:val="fr-FR"/>
        </w:rPr>
      </w:r>
    </w:p>
    <w:p w14:paraId="738CA38E">
      <w:pPr>
        <w:pBdr/>
        <w:spacing/>
        <w:ind/>
        <w:rPr>
          <w:b w:val="0"/>
          <w:bCs w:val="0"/>
          <w:highlight w:val="none"/>
          <w:u w:val="none"/>
          <w:lang w:val="fr-FR"/>
        </w:rPr>
      </w:pPr>
      <w:r>
        <w:rPr>
          <w:b w:val="0"/>
          <w:bCs w:val="0"/>
          <w:highlight w:val="none"/>
          <w:u w:val="none"/>
          <w:lang w:val="fr-FR"/>
        </w:rPr>
        <w:t xml:space="preserve">Bien cordialement,</w:t>
      </w:r>
      <w:r>
        <w:rPr>
          <w:b w:val="0"/>
          <w:bCs w:val="0"/>
          <w:highlight w:val="none"/>
          <w:u w:val="none"/>
          <w:lang w:val="fr-FR" w:bidi="fr-FR"/>
        </w:rPr>
      </w:r>
      <w:r>
        <w:rPr>
          <w:b w:val="0"/>
          <w:bCs w:val="0"/>
          <w:highlight w:val="none"/>
          <w:u w:val="none"/>
          <w:lang w:val="fr-FR"/>
        </w:rPr>
      </w:r>
    </w:p>
    <w:p w14:paraId="7F963C6C">
      <w:pPr>
        <w:pBdr/>
        <w:spacing/>
        <w:ind/>
        <w:rPr>
          <w:b w:val="0"/>
          <w:bCs w:val="0"/>
          <w:highlight w:val="none"/>
          <w:u w:val="none"/>
          <w:lang w:val="fr-FR"/>
        </w:rPr>
      </w:pPr>
      <w:r>
        <w:rPr>
          <w:b w:val="0"/>
          <w:bCs w:val="0"/>
          <w:highlight w:val="none"/>
          <w:u w:val="none"/>
          <w:lang w:val="fr-FR" w:bidi="fr-FR"/>
        </w:rPr>
      </w:r>
      <w:r>
        <w:rPr>
          <w:b w:val="0"/>
          <w:bCs w:val="0"/>
          <w:highlight w:val="none"/>
          <w:u w:val="none"/>
          <w:lang w:val="fr-FR" w:bidi="fr-FR"/>
        </w:rPr>
      </w:r>
      <w:r>
        <w:rPr>
          <w:b w:val="0"/>
          <w:bCs w:val="0"/>
          <w:highlight w:val="none"/>
          <w:u w:val="none"/>
          <w:lang w:val="fr-FR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247C33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80BED87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10E1FBF5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44D24C3D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9">
    <w:name w:val="Table Grid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Table Grid Light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1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2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1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2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3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5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6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5">
    <w:name w:val="Heading 1"/>
    <w:basedOn w:val="894"/>
    <w:next w:val="894"/>
    <w:link w:val="84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6">
    <w:name w:val="Heading 2"/>
    <w:basedOn w:val="894"/>
    <w:next w:val="894"/>
    <w:link w:val="84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7">
    <w:name w:val="Heading 3"/>
    <w:basedOn w:val="894"/>
    <w:next w:val="894"/>
    <w:link w:val="84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8">
    <w:name w:val="Heading 4"/>
    <w:basedOn w:val="894"/>
    <w:next w:val="894"/>
    <w:link w:val="84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9">
    <w:name w:val="Heading 5"/>
    <w:basedOn w:val="894"/>
    <w:next w:val="894"/>
    <w:link w:val="84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0">
    <w:name w:val="Heading 6"/>
    <w:basedOn w:val="894"/>
    <w:next w:val="894"/>
    <w:link w:val="85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1">
    <w:name w:val="Heading 7"/>
    <w:basedOn w:val="894"/>
    <w:next w:val="894"/>
    <w:link w:val="85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2">
    <w:name w:val="Heading 8"/>
    <w:basedOn w:val="894"/>
    <w:next w:val="894"/>
    <w:link w:val="85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3">
    <w:name w:val="Heading 9"/>
    <w:basedOn w:val="894"/>
    <w:next w:val="894"/>
    <w:link w:val="85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4" w:default="1">
    <w:name w:val="Default Paragraph Font"/>
    <w:uiPriority w:val="1"/>
    <w:semiHidden/>
    <w:unhideWhenUsed/>
    <w:pPr>
      <w:pBdr/>
      <w:spacing/>
      <w:ind/>
    </w:pPr>
  </w:style>
  <w:style w:type="character" w:styleId="845">
    <w:name w:val="Heading 1 Char"/>
    <w:basedOn w:val="844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6">
    <w:name w:val="Heading 2 Char"/>
    <w:basedOn w:val="844"/>
    <w:link w:val="8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7">
    <w:name w:val="Heading 3 Char"/>
    <w:basedOn w:val="844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8">
    <w:name w:val="Heading 4 Char"/>
    <w:basedOn w:val="844"/>
    <w:link w:val="83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9">
    <w:name w:val="Heading 5 Char"/>
    <w:basedOn w:val="844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0">
    <w:name w:val="Heading 6 Char"/>
    <w:basedOn w:val="844"/>
    <w:link w:val="84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1">
    <w:name w:val="Heading 7 Char"/>
    <w:basedOn w:val="844"/>
    <w:link w:val="84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2">
    <w:name w:val="Heading 8 Char"/>
    <w:basedOn w:val="844"/>
    <w:link w:val="8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3">
    <w:name w:val="Heading 9 Char"/>
    <w:basedOn w:val="844"/>
    <w:link w:val="84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4">
    <w:name w:val="Title"/>
    <w:basedOn w:val="894"/>
    <w:next w:val="894"/>
    <w:link w:val="85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5">
    <w:name w:val="Title Char"/>
    <w:basedOn w:val="844"/>
    <w:link w:val="85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6">
    <w:name w:val="Subtitle"/>
    <w:basedOn w:val="894"/>
    <w:next w:val="894"/>
    <w:link w:val="85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7">
    <w:name w:val="Subtitle Char"/>
    <w:basedOn w:val="844"/>
    <w:link w:val="85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8">
    <w:name w:val="Quote"/>
    <w:basedOn w:val="894"/>
    <w:next w:val="894"/>
    <w:link w:val="85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9">
    <w:name w:val="Quote Char"/>
    <w:basedOn w:val="844"/>
    <w:link w:val="85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0">
    <w:name w:val="Intense Emphasis"/>
    <w:basedOn w:val="84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1">
    <w:name w:val="Intense Quote"/>
    <w:basedOn w:val="894"/>
    <w:next w:val="894"/>
    <w:link w:val="86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2">
    <w:name w:val="Intense Quote Char"/>
    <w:basedOn w:val="844"/>
    <w:link w:val="86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3">
    <w:name w:val="Intense Reference"/>
    <w:basedOn w:val="84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4">
    <w:name w:val="Subtle Emphasis"/>
    <w:basedOn w:val="84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5">
    <w:name w:val="Emphasis"/>
    <w:basedOn w:val="844"/>
    <w:uiPriority w:val="20"/>
    <w:qFormat/>
    <w:pPr>
      <w:pBdr/>
      <w:spacing/>
      <w:ind/>
    </w:pPr>
    <w:rPr>
      <w:i/>
      <w:iCs/>
    </w:rPr>
  </w:style>
  <w:style w:type="character" w:styleId="866">
    <w:name w:val="Strong"/>
    <w:basedOn w:val="844"/>
    <w:uiPriority w:val="22"/>
    <w:qFormat/>
    <w:pPr>
      <w:pBdr/>
      <w:spacing/>
      <w:ind/>
    </w:pPr>
    <w:rPr>
      <w:b/>
      <w:bCs/>
    </w:rPr>
  </w:style>
  <w:style w:type="character" w:styleId="867">
    <w:name w:val="Subtle Reference"/>
    <w:basedOn w:val="84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8">
    <w:name w:val="Book Title"/>
    <w:basedOn w:val="84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9">
    <w:name w:val="Header"/>
    <w:basedOn w:val="894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Header Char"/>
    <w:basedOn w:val="844"/>
    <w:link w:val="869"/>
    <w:uiPriority w:val="99"/>
    <w:pPr>
      <w:pBdr/>
      <w:spacing/>
      <w:ind/>
    </w:pPr>
  </w:style>
  <w:style w:type="paragraph" w:styleId="871">
    <w:name w:val="Footer"/>
    <w:basedOn w:val="894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Footer Char"/>
    <w:basedOn w:val="844"/>
    <w:link w:val="871"/>
    <w:uiPriority w:val="99"/>
    <w:pPr>
      <w:pBdr/>
      <w:spacing/>
      <w:ind/>
    </w:pPr>
  </w:style>
  <w:style w:type="paragraph" w:styleId="873">
    <w:name w:val="Caption"/>
    <w:basedOn w:val="894"/>
    <w:next w:val="89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4">
    <w:name w:val="footnote text"/>
    <w:basedOn w:val="894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Footnote Text Char"/>
    <w:basedOn w:val="844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footnote reference"/>
    <w:basedOn w:val="844"/>
    <w:uiPriority w:val="99"/>
    <w:semiHidden/>
    <w:unhideWhenUsed/>
    <w:pPr>
      <w:pBdr/>
      <w:spacing/>
      <w:ind/>
    </w:pPr>
    <w:rPr>
      <w:vertAlign w:val="superscript"/>
    </w:rPr>
  </w:style>
  <w:style w:type="paragraph" w:styleId="877">
    <w:name w:val="endnote text"/>
    <w:basedOn w:val="894"/>
    <w:link w:val="87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8">
    <w:name w:val="Endnote Text Char"/>
    <w:basedOn w:val="844"/>
    <w:link w:val="877"/>
    <w:uiPriority w:val="99"/>
    <w:semiHidden/>
    <w:pPr>
      <w:pBdr/>
      <w:spacing/>
      <w:ind/>
    </w:pPr>
    <w:rPr>
      <w:sz w:val="20"/>
      <w:szCs w:val="20"/>
    </w:rPr>
  </w:style>
  <w:style w:type="character" w:styleId="879">
    <w:name w:val="endnote reference"/>
    <w:basedOn w:val="844"/>
    <w:uiPriority w:val="99"/>
    <w:semiHidden/>
    <w:unhideWhenUsed/>
    <w:pPr>
      <w:pBdr/>
      <w:spacing/>
      <w:ind/>
    </w:pPr>
    <w:rPr>
      <w:vertAlign w:val="superscript"/>
    </w:rPr>
  </w:style>
  <w:style w:type="character" w:styleId="880">
    <w:name w:val="Hyperlink"/>
    <w:basedOn w:val="84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1">
    <w:name w:val="FollowedHyperlink"/>
    <w:basedOn w:val="84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2">
    <w:name w:val="toc 1"/>
    <w:basedOn w:val="894"/>
    <w:next w:val="894"/>
    <w:uiPriority w:val="39"/>
    <w:unhideWhenUsed/>
    <w:pPr>
      <w:pBdr/>
      <w:spacing w:after="100"/>
      <w:ind/>
    </w:pPr>
  </w:style>
  <w:style w:type="paragraph" w:styleId="883">
    <w:name w:val="toc 2"/>
    <w:basedOn w:val="894"/>
    <w:next w:val="894"/>
    <w:uiPriority w:val="39"/>
    <w:unhideWhenUsed/>
    <w:pPr>
      <w:pBdr/>
      <w:spacing w:after="100"/>
      <w:ind w:left="220"/>
    </w:pPr>
  </w:style>
  <w:style w:type="paragraph" w:styleId="884">
    <w:name w:val="toc 3"/>
    <w:basedOn w:val="894"/>
    <w:next w:val="894"/>
    <w:uiPriority w:val="39"/>
    <w:unhideWhenUsed/>
    <w:pPr>
      <w:pBdr/>
      <w:spacing w:after="100"/>
      <w:ind w:left="440"/>
    </w:pPr>
  </w:style>
  <w:style w:type="paragraph" w:styleId="885">
    <w:name w:val="toc 4"/>
    <w:basedOn w:val="894"/>
    <w:next w:val="894"/>
    <w:uiPriority w:val="39"/>
    <w:unhideWhenUsed/>
    <w:pPr>
      <w:pBdr/>
      <w:spacing w:after="100"/>
      <w:ind w:left="660"/>
    </w:pPr>
  </w:style>
  <w:style w:type="paragraph" w:styleId="886">
    <w:name w:val="toc 5"/>
    <w:basedOn w:val="894"/>
    <w:next w:val="894"/>
    <w:uiPriority w:val="39"/>
    <w:unhideWhenUsed/>
    <w:pPr>
      <w:pBdr/>
      <w:spacing w:after="100"/>
      <w:ind w:left="880"/>
    </w:pPr>
  </w:style>
  <w:style w:type="paragraph" w:styleId="887">
    <w:name w:val="toc 6"/>
    <w:basedOn w:val="894"/>
    <w:next w:val="894"/>
    <w:uiPriority w:val="39"/>
    <w:unhideWhenUsed/>
    <w:pPr>
      <w:pBdr/>
      <w:spacing w:after="100"/>
      <w:ind w:left="1100"/>
    </w:pPr>
  </w:style>
  <w:style w:type="paragraph" w:styleId="888">
    <w:name w:val="toc 7"/>
    <w:basedOn w:val="894"/>
    <w:next w:val="894"/>
    <w:uiPriority w:val="39"/>
    <w:unhideWhenUsed/>
    <w:pPr>
      <w:pBdr/>
      <w:spacing w:after="100"/>
      <w:ind w:left="1320"/>
    </w:pPr>
  </w:style>
  <w:style w:type="paragraph" w:styleId="889">
    <w:name w:val="toc 8"/>
    <w:basedOn w:val="894"/>
    <w:next w:val="894"/>
    <w:uiPriority w:val="39"/>
    <w:unhideWhenUsed/>
    <w:pPr>
      <w:pBdr/>
      <w:spacing w:after="100"/>
      <w:ind w:left="1540"/>
    </w:pPr>
  </w:style>
  <w:style w:type="paragraph" w:styleId="890">
    <w:name w:val="toc 9"/>
    <w:basedOn w:val="894"/>
    <w:next w:val="894"/>
    <w:uiPriority w:val="39"/>
    <w:unhideWhenUsed/>
    <w:pPr>
      <w:pBdr/>
      <w:spacing w:after="100"/>
      <w:ind w:left="1760"/>
    </w:pPr>
  </w:style>
  <w:style w:type="character" w:styleId="891">
    <w:name w:val="Placeholder Text"/>
    <w:basedOn w:val="844"/>
    <w:uiPriority w:val="99"/>
    <w:semiHidden/>
    <w:pPr>
      <w:pBdr/>
      <w:spacing/>
      <w:ind/>
    </w:pPr>
    <w:rPr>
      <w:color w:val="666666"/>
    </w:rPr>
  </w:style>
  <w:style w:type="paragraph" w:styleId="892">
    <w:name w:val="TOC Heading"/>
    <w:uiPriority w:val="39"/>
    <w:unhideWhenUsed/>
    <w:pPr>
      <w:pBdr/>
      <w:spacing/>
      <w:ind/>
    </w:pPr>
  </w:style>
  <w:style w:type="paragraph" w:styleId="893">
    <w:name w:val="table of figures"/>
    <w:basedOn w:val="894"/>
    <w:next w:val="894"/>
    <w:uiPriority w:val="99"/>
    <w:unhideWhenUsed/>
    <w:pPr>
      <w:pBdr/>
      <w:spacing w:after="0" w:afterAutospacing="0"/>
      <w:ind/>
    </w:pPr>
  </w:style>
  <w:style w:type="paragraph" w:styleId="894" w:default="1">
    <w:name w:val="Normal"/>
    <w:qFormat/>
    <w:pPr>
      <w:pBdr/>
      <w:spacing/>
      <w:ind/>
    </w:pPr>
  </w:style>
  <w:style w:type="table" w:styleId="89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6" w:default="1">
    <w:name w:val="No List"/>
    <w:uiPriority w:val="99"/>
    <w:semiHidden/>
    <w:unhideWhenUsed/>
    <w:pPr>
      <w:pBdr/>
      <w:spacing/>
      <w:ind/>
    </w:pPr>
  </w:style>
  <w:style w:type="paragraph" w:styleId="897">
    <w:name w:val="No Spacing"/>
    <w:basedOn w:val="894"/>
    <w:uiPriority w:val="1"/>
    <w:qFormat/>
    <w:pPr>
      <w:pBdr/>
      <w:spacing w:after="0" w:line="240" w:lineRule="auto"/>
      <w:ind/>
    </w:pPr>
  </w:style>
  <w:style w:type="paragraph" w:styleId="898">
    <w:name w:val="List Paragraph"/>
    <w:basedOn w:val="89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2026-05-20T06:36:15Z</dcterms:modified>
</cp:coreProperties>
</file>