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111F"/>
          <w:sz w:val="48"/>
        </w:rPr>
        <w:t>HumanBridge Suite</w:t>
        <w:br/>
        <w:t>Manual Técnico e Operacional</w:t>
      </w:r>
    </w:p>
    <w:p>
      <w:pPr>
        <w:jc w:val="center"/>
      </w:pPr>
      <w:r>
        <w:rPr>
          <w:color w:val="4A5C76"/>
          <w:sz w:val="24"/>
        </w:rPr>
        <w:t>BridgeForm + ReadBuddy</w:t>
        <w:br/>
        <w:t>API FastAPI, Web em Next.js e Mobile em Expo</w:t>
      </w:r>
    </w:p>
    <w:p>
      <w:pPr>
        <w:jc w:val="center"/>
      </w:pPr>
      <w:r>
        <w:rPr>
          <w:b/>
        </w:rPr>
        <w:t>Entregável gerado em 21/03/2026</w:t>
        <w:br/>
      </w:r>
      <w:r>
        <w:t>Este documento acompanha o código completo do MVP e o roteiro de execução local.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— Arquitetura geral do MVP.</w:t>
      </w:r>
    </w:p>
    <w:p>
      <w:r>
        <w:rPr>
          <w:b/>
          <w:color w:val="08111F"/>
          <w:sz w:val="32"/>
        </w:rPr>
        <w:t>1. Escopo entregue</w:t>
      </w:r>
    </w:p>
    <w:p>
      <w:r>
        <w:t>O pacote contém três aplicações coordenadas por uma API única:</w:t>
      </w:r>
    </w:p>
    <w:p>
      <w:pPr>
        <w:pStyle w:val="ListBullet"/>
      </w:pPr>
      <w:r>
        <w:t>BridgeForm: análise e simplificação de documentos burocráticos em linguagem clara.</w:t>
      </w:r>
    </w:p>
    <w:p>
      <w:pPr>
        <w:pStyle w:val="ListBullet"/>
      </w:pPr>
      <w:r>
        <w:t>ReadBuddy: análise de leitura oral com feedback, métricas e microexercícios.</w:t>
      </w:r>
    </w:p>
    <w:p>
      <w:pPr>
        <w:pStyle w:val="ListBullet"/>
      </w:pPr>
      <w:r>
        <w:t>Frontend web: navegação por telas dedicadas em Next.js.</w:t>
      </w:r>
    </w:p>
    <w:p>
      <w:pPr>
        <w:pStyle w:val="ListBullet"/>
      </w:pPr>
      <w:r>
        <w:t>Aplicativo mobile: navegação e consumo da API em Expo/React Native.</w:t>
      </w:r>
    </w:p>
    <w:p>
      <w:r>
        <w:rPr>
          <w:b/>
          <w:color w:val="08111F"/>
          <w:sz w:val="32"/>
        </w:rPr>
        <w:t>2. Decisões de arquitetura</w:t>
      </w:r>
    </w:p>
    <w:p>
      <w:r>
        <w:t>O backend usa FastAPI com SQLite para reduzir custo e permitir execução imediata em ambiente local. O módulo BridgeForm funciona sem LLM externo usando heurísticas locais. O módulo ReadBuddy também roda sem serviços externos, calculando precisão estimada, velocidade de leitura e erros por comparação textual.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Camada</w:t>
            </w:r>
          </w:p>
        </w:tc>
        <w:tc>
          <w:tcPr>
            <w:tcW w:type="dxa" w:w="2484"/>
          </w:tcPr>
          <w:p>
            <w:r>
              <w:t>Tecnologia</w:t>
            </w:r>
          </w:p>
        </w:tc>
        <w:tc>
          <w:tcPr>
            <w:tcW w:type="dxa" w:w="2484"/>
          </w:tcPr>
          <w:p>
            <w:r>
              <w:t>Função</w:t>
            </w:r>
          </w:p>
        </w:tc>
        <w:tc>
          <w:tcPr>
            <w:tcW w:type="dxa" w:w="2484"/>
          </w:tcPr>
          <w:p>
            <w:r>
              <w:t>Observação</w:t>
            </w:r>
          </w:p>
        </w:tc>
      </w:tr>
      <w:tr>
        <w:tc>
          <w:tcPr>
            <w:tcW w:type="dxa" w:w="2484"/>
          </w:tcPr>
          <w:p>
            <w:r>
              <w:t>API</w:t>
            </w:r>
          </w:p>
        </w:tc>
        <w:tc>
          <w:tcPr>
            <w:tcW w:type="dxa" w:w="2484"/>
          </w:tcPr>
          <w:p>
            <w:r>
              <w:t>FastAPI</w:t>
            </w:r>
          </w:p>
        </w:tc>
        <w:tc>
          <w:tcPr>
            <w:tcW w:type="dxa" w:w="2484"/>
          </w:tcPr>
          <w:p>
            <w:r>
              <w:t>Endpoints REST, Swagger e regras de negócio</w:t>
            </w:r>
          </w:p>
        </w:tc>
        <w:tc>
          <w:tcPr>
            <w:tcW w:type="dxa" w:w="2484"/>
          </w:tcPr>
          <w:p>
            <w:r>
              <w:t>Roda sem infraestrutura externa</w:t>
            </w:r>
          </w:p>
        </w:tc>
      </w:tr>
      <w:tr>
        <w:tc>
          <w:tcPr>
            <w:tcW w:type="dxa" w:w="2484"/>
          </w:tcPr>
          <w:p>
            <w:r>
              <w:t>Persistência</w:t>
            </w:r>
          </w:p>
        </w:tc>
        <w:tc>
          <w:tcPr>
            <w:tcW w:type="dxa" w:w="2484"/>
          </w:tcPr>
          <w:p>
            <w:r>
              <w:t>SQLite</w:t>
            </w:r>
          </w:p>
        </w:tc>
        <w:tc>
          <w:tcPr>
            <w:tcW w:type="dxa" w:w="2484"/>
          </w:tcPr>
          <w:p>
            <w:r>
              <w:t>Perfis e sessões de leitura</w:t>
            </w:r>
          </w:p>
        </w:tc>
        <w:tc>
          <w:tcPr>
            <w:tcW w:type="dxa" w:w="2484"/>
          </w:tcPr>
          <w:p>
            <w:r>
              <w:t>MVP simples de instalar</w:t>
            </w:r>
          </w:p>
        </w:tc>
      </w:tr>
      <w:tr>
        <w:tc>
          <w:tcPr>
            <w:tcW w:type="dxa" w:w="2484"/>
          </w:tcPr>
          <w:p>
            <w:r>
              <w:t>Web</w:t>
            </w:r>
          </w:p>
        </w:tc>
        <w:tc>
          <w:tcPr>
            <w:tcW w:type="dxa" w:w="2484"/>
          </w:tcPr>
          <w:p>
            <w:r>
              <w:t>Next.js</w:t>
            </w:r>
          </w:p>
        </w:tc>
        <w:tc>
          <w:tcPr>
            <w:tcW w:type="dxa" w:w="2484"/>
          </w:tcPr>
          <w:p>
            <w:r>
              <w:t>Painel e formulários</w:t>
            </w:r>
          </w:p>
        </w:tc>
        <w:tc>
          <w:tcPr>
            <w:tcW w:type="dxa" w:w="2484"/>
          </w:tcPr>
          <w:p>
            <w:r>
              <w:t>Consumo direto da API</w:t>
            </w:r>
          </w:p>
        </w:tc>
      </w:tr>
      <w:tr>
        <w:tc>
          <w:tcPr>
            <w:tcW w:type="dxa" w:w="2484"/>
          </w:tcPr>
          <w:p>
            <w:r>
              <w:t>Mobile</w:t>
            </w:r>
          </w:p>
        </w:tc>
        <w:tc>
          <w:tcPr>
            <w:tcW w:type="dxa" w:w="2484"/>
          </w:tcPr>
          <w:p>
            <w:r>
              <w:t>Expo</w:t>
            </w:r>
          </w:p>
        </w:tc>
        <w:tc>
          <w:tcPr>
            <w:tcW w:type="dxa" w:w="2484"/>
          </w:tcPr>
          <w:p>
            <w:r>
              <w:t>Aplicativo React Native</w:t>
            </w:r>
          </w:p>
        </w:tc>
        <w:tc>
          <w:tcPr>
            <w:tcW w:type="dxa" w:w="2484"/>
          </w:tcPr>
          <w:p>
            <w:r>
              <w:t>Pronto para testes locais</w:t>
            </w:r>
          </w:p>
        </w:tc>
      </w:tr>
    </w:tbl>
    <w:p>
      <w:r>
        <w:rPr>
          <w:b/>
          <w:color w:val="08111F"/>
          <w:sz w:val="32"/>
        </w:rPr>
        <w:t>3. Principais fluxos</w:t>
      </w:r>
    </w:p>
    <w:p>
      <w:r>
        <w:drawing>
          <wp:inline xmlns:a="http://schemas.openxmlformats.org/drawingml/2006/main" xmlns:pic="http://schemas.openxmlformats.org/drawingml/2006/picture">
            <wp:extent cx="6217920" cy="2720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— Fluxos principais do usuário.</w:t>
      </w:r>
    </w:p>
    <w:p>
      <w:r>
        <w:rPr>
          <w:b/>
          <w:color w:val="08111F"/>
          <w:sz w:val="32"/>
        </w:rPr>
        <w:t>4. Estrutura do repositório</w:t>
      </w:r>
    </w:p>
    <w:p>
      <w:r>
        <w:rPr>
          <w:rFonts w:ascii="Courier New" w:hAnsi="Courier New"/>
          <w:sz w:val="20"/>
        </w:rPr>
        <w:t>humanbridge-suite/</w:t>
      </w:r>
    </w:p>
    <w:p>
      <w:r>
        <w:rPr>
          <w:rFonts w:ascii="Courier New" w:hAnsi="Courier New"/>
          <w:sz w:val="20"/>
        </w:rPr>
        <w:t>├─ api/                  Backend FastAPI</w:t>
      </w:r>
    </w:p>
    <w:p>
      <w:r>
        <w:rPr>
          <w:rFonts w:ascii="Courier New" w:hAnsi="Courier New"/>
          <w:sz w:val="20"/>
        </w:rPr>
        <w:t>├─ web/                  Frontend Next.js</w:t>
      </w:r>
    </w:p>
    <w:p>
      <w:r>
        <w:rPr>
          <w:rFonts w:ascii="Courier New" w:hAnsi="Courier New"/>
          <w:sz w:val="20"/>
        </w:rPr>
        <w:t>├─ mobile/               Aplicativo Expo</w:t>
      </w:r>
    </w:p>
    <w:p>
      <w:r>
        <w:rPr>
          <w:rFonts w:ascii="Courier New" w:hAnsi="Courier New"/>
          <w:sz w:val="20"/>
        </w:rPr>
        <w:t>├─ docs/                 Documentação e diagramas</w:t>
      </w:r>
    </w:p>
    <w:p>
      <w:r>
        <w:rPr>
          <w:rFonts w:ascii="Courier New" w:hAnsi="Courier New"/>
          <w:sz w:val="20"/>
        </w:rPr>
        <w:t>├─ sample-data/          Arquivos de teste</w:t>
      </w:r>
    </w:p>
    <w:p>
      <w:r>
        <w:rPr>
          <w:rFonts w:ascii="Courier New" w:hAnsi="Courier New"/>
          <w:sz w:val="20"/>
        </w:rPr>
        <w:t>└─ docker-compose.yml    Subida integrada</w:t>
      </w:r>
    </w:p>
    <w:p>
      <w:r>
        <w:rPr>
          <w:b/>
          <w:color w:val="08111F"/>
          <w:sz w:val="32"/>
        </w:rPr>
        <w:t>5. Endpoints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Método e rota</w:t>
            </w:r>
          </w:p>
        </w:tc>
        <w:tc>
          <w:tcPr>
            <w:tcW w:type="dxa" w:w="3312"/>
          </w:tcPr>
          <w:p>
            <w:r>
              <w:t>Módulo</w:t>
            </w:r>
          </w:p>
        </w:tc>
        <w:tc>
          <w:tcPr>
            <w:tcW w:type="dxa" w:w="3312"/>
          </w:tcPr>
          <w:p>
            <w:r>
              <w:t>Uso</w:t>
            </w:r>
          </w:p>
        </w:tc>
      </w:tr>
      <w:tr>
        <w:tc>
          <w:tcPr>
            <w:tcW w:type="dxa" w:w="3312"/>
          </w:tcPr>
          <w:p>
            <w:r>
              <w:t>GET /api/v1/health</w:t>
            </w:r>
          </w:p>
        </w:tc>
        <w:tc>
          <w:tcPr>
            <w:tcW w:type="dxa" w:w="3312"/>
          </w:tcPr>
          <w:p>
            <w:r>
              <w:t>Infra</w:t>
            </w:r>
          </w:p>
        </w:tc>
        <w:tc>
          <w:tcPr>
            <w:tcW w:type="dxa" w:w="3312"/>
          </w:tcPr>
          <w:p>
            <w:r>
              <w:t>Validação rápida da API</w:t>
            </w:r>
          </w:p>
        </w:tc>
      </w:tr>
      <w:tr>
        <w:tc>
          <w:tcPr>
            <w:tcW w:type="dxa" w:w="3312"/>
          </w:tcPr>
          <w:p>
            <w:r>
              <w:t>POST /api/v1/bureaucracy/analyze-text</w:t>
            </w:r>
          </w:p>
        </w:tc>
        <w:tc>
          <w:tcPr>
            <w:tcW w:type="dxa" w:w="3312"/>
          </w:tcPr>
          <w:p>
            <w:r>
              <w:t>BridgeForm</w:t>
            </w:r>
          </w:p>
        </w:tc>
        <w:tc>
          <w:tcPr>
            <w:tcW w:type="dxa" w:w="3312"/>
          </w:tcPr>
          <w:p>
            <w:r>
              <w:t>Análise de texto puro</w:t>
            </w:r>
          </w:p>
        </w:tc>
      </w:tr>
      <w:tr>
        <w:tc>
          <w:tcPr>
            <w:tcW w:type="dxa" w:w="3312"/>
          </w:tcPr>
          <w:p>
            <w:r>
              <w:t>POST /api/v1/bureaucracy/analyze-file</w:t>
            </w:r>
          </w:p>
        </w:tc>
        <w:tc>
          <w:tcPr>
            <w:tcW w:type="dxa" w:w="3312"/>
          </w:tcPr>
          <w:p>
            <w:r>
              <w:t>BridgeForm</w:t>
            </w:r>
          </w:p>
        </w:tc>
        <w:tc>
          <w:tcPr>
            <w:tcW w:type="dxa" w:w="3312"/>
          </w:tcPr>
          <w:p>
            <w:r>
              <w:t>Análise de arquivo</w:t>
            </w:r>
          </w:p>
        </w:tc>
      </w:tr>
      <w:tr>
        <w:tc>
          <w:tcPr>
            <w:tcW w:type="dxa" w:w="3312"/>
          </w:tcPr>
          <w:p>
            <w:r>
              <w:t>POST /api/v1/readbuddy/profiles</w:t>
            </w:r>
          </w:p>
        </w:tc>
        <w:tc>
          <w:tcPr>
            <w:tcW w:type="dxa" w:w="3312"/>
          </w:tcPr>
          <w:p>
            <w:r>
              <w:t>ReadBuddy</w:t>
            </w:r>
          </w:p>
        </w:tc>
        <w:tc>
          <w:tcPr>
            <w:tcW w:type="dxa" w:w="3312"/>
          </w:tcPr>
          <w:p>
            <w:r>
              <w:t>Criação de perfil</w:t>
            </w:r>
          </w:p>
        </w:tc>
      </w:tr>
      <w:tr>
        <w:tc>
          <w:tcPr>
            <w:tcW w:type="dxa" w:w="3312"/>
          </w:tcPr>
          <w:p>
            <w:r>
              <w:t>GET /api/v1/readbuddy/profiles</w:t>
            </w:r>
          </w:p>
        </w:tc>
        <w:tc>
          <w:tcPr>
            <w:tcW w:type="dxa" w:w="3312"/>
          </w:tcPr>
          <w:p>
            <w:r>
              <w:t>ReadBuddy</w:t>
            </w:r>
          </w:p>
        </w:tc>
        <w:tc>
          <w:tcPr>
            <w:tcW w:type="dxa" w:w="3312"/>
          </w:tcPr>
          <w:p>
            <w:r>
              <w:t>Listagem de perfis</w:t>
            </w:r>
          </w:p>
        </w:tc>
      </w:tr>
      <w:tr>
        <w:tc>
          <w:tcPr>
            <w:tcW w:type="dxa" w:w="3312"/>
          </w:tcPr>
          <w:p>
            <w:r>
              <w:t>POST /api/v1/readbuddy/analyze-reading</w:t>
            </w:r>
          </w:p>
        </w:tc>
        <w:tc>
          <w:tcPr>
            <w:tcW w:type="dxa" w:w="3312"/>
          </w:tcPr>
          <w:p>
            <w:r>
              <w:t>ReadBuddy</w:t>
            </w:r>
          </w:p>
        </w:tc>
        <w:tc>
          <w:tcPr>
            <w:tcW w:type="dxa" w:w="3312"/>
          </w:tcPr>
          <w:p>
            <w:r>
              <w:t>Análise da leitura</w:t>
            </w:r>
          </w:p>
        </w:tc>
      </w:tr>
    </w:tbl>
    <w:p>
      <w:r>
        <w:rPr>
          <w:b/>
          <w:color w:val="08111F"/>
          <w:sz w:val="32"/>
        </w:rPr>
        <w:t>6. Como rodar</w:t>
      </w:r>
    </w:p>
    <w:p>
      <w:r>
        <w:t>API</w:t>
      </w:r>
    </w:p>
    <w:p>
      <w:pPr>
        <w:pStyle w:val="ListBullet"/>
      </w:pPr>
      <w:r>
        <w:rPr>
          <w:rFonts w:ascii="Courier New" w:hAnsi="Courier New"/>
        </w:rPr>
        <w:t>cd api</w:t>
      </w:r>
    </w:p>
    <w:p>
      <w:pPr>
        <w:pStyle w:val="ListBullet"/>
      </w:pPr>
      <w:r>
        <w:rPr>
          <w:rFonts w:ascii="Courier New" w:hAnsi="Courier New"/>
        </w:rPr>
        <w:t>python -m venv .venv</w:t>
      </w:r>
    </w:p>
    <w:p>
      <w:pPr>
        <w:pStyle w:val="ListBullet"/>
      </w:pPr>
      <w:r>
        <w:rPr>
          <w:rFonts w:ascii="Courier New" w:hAnsi="Courier New"/>
        </w:rPr>
        <w:t>.venv\Scripts\activate  (Windows) ou source .venv/bin/activate</w:t>
      </w:r>
    </w:p>
    <w:p>
      <w:pPr>
        <w:pStyle w:val="ListBullet"/>
      </w:pPr>
      <w:r>
        <w:rPr>
          <w:rFonts w:ascii="Courier New" w:hAnsi="Courier New"/>
        </w:rPr>
        <w:t>pip install -r requirements.txt</w:t>
      </w:r>
    </w:p>
    <w:p>
      <w:pPr>
        <w:pStyle w:val="ListBullet"/>
      </w:pPr>
      <w:r>
        <w:rPr>
          <w:rFonts w:ascii="Courier New" w:hAnsi="Courier New"/>
        </w:rPr>
        <w:t>copy .env.example .env</w:t>
      </w:r>
    </w:p>
    <w:p>
      <w:pPr>
        <w:pStyle w:val="ListBullet"/>
      </w:pPr>
      <w:r>
        <w:rPr>
          <w:rFonts w:ascii="Courier New" w:hAnsi="Courier New"/>
        </w:rPr>
        <w:t>uvicorn app.main:app --reload --port 8000</w:t>
      </w:r>
    </w:p>
    <w:p>
      <w:r>
        <w:t>Web</w:t>
      </w:r>
    </w:p>
    <w:p>
      <w:pPr>
        <w:pStyle w:val="ListBullet"/>
      </w:pPr>
      <w:r>
        <w:rPr>
          <w:rFonts w:ascii="Courier New" w:hAnsi="Courier New"/>
        </w:rPr>
        <w:t>cd web</w:t>
      </w:r>
    </w:p>
    <w:p>
      <w:pPr>
        <w:pStyle w:val="ListBullet"/>
      </w:pPr>
      <w:r>
        <w:rPr>
          <w:rFonts w:ascii="Courier New" w:hAnsi="Courier New"/>
        </w:rPr>
        <w:t>copy .env.local.example .env.local</w:t>
      </w:r>
    </w:p>
    <w:p>
      <w:pPr>
        <w:pStyle w:val="ListBullet"/>
      </w:pPr>
      <w:r>
        <w:rPr>
          <w:rFonts w:ascii="Courier New" w:hAnsi="Courier New"/>
        </w:rPr>
        <w:t>npm install</w:t>
      </w:r>
    </w:p>
    <w:p>
      <w:pPr>
        <w:pStyle w:val="ListBullet"/>
      </w:pPr>
      <w:r>
        <w:rPr>
          <w:rFonts w:ascii="Courier New" w:hAnsi="Courier New"/>
        </w:rPr>
        <w:t>npm run dev</w:t>
      </w:r>
    </w:p>
    <w:p>
      <w:r>
        <w:t>Mobile</w:t>
      </w:r>
    </w:p>
    <w:p>
      <w:pPr>
        <w:pStyle w:val="ListBullet"/>
      </w:pPr>
      <w:r>
        <w:rPr>
          <w:rFonts w:ascii="Courier New" w:hAnsi="Courier New"/>
        </w:rPr>
        <w:t>cd mobile</w:t>
      </w:r>
    </w:p>
    <w:p>
      <w:pPr>
        <w:pStyle w:val="ListBullet"/>
      </w:pPr>
      <w:r>
        <w:rPr>
          <w:rFonts w:ascii="Courier New" w:hAnsi="Courier New"/>
        </w:rPr>
        <w:t>copy .env.example .env</w:t>
      </w:r>
    </w:p>
    <w:p>
      <w:pPr>
        <w:pStyle w:val="ListBullet"/>
      </w:pPr>
      <w:r>
        <w:rPr>
          <w:rFonts w:ascii="Courier New" w:hAnsi="Courier New"/>
        </w:rPr>
        <w:t>npm install</w:t>
      </w:r>
    </w:p>
    <w:p>
      <w:pPr>
        <w:pStyle w:val="ListBullet"/>
      </w:pPr>
      <w:r>
        <w:rPr>
          <w:rFonts w:ascii="Courier New" w:hAnsi="Courier New"/>
        </w:rPr>
        <w:t>npx expo start</w:t>
      </w:r>
    </w:p>
    <w:p>
      <w:r>
        <w:rPr>
          <w:b/>
          <w:color w:val="08111F"/>
          <w:sz w:val="32"/>
        </w:rPr>
        <w:t>7. Testes rápidos</w:t>
      </w:r>
    </w:p>
    <w:p>
      <w:pPr>
        <w:pStyle w:val="ListBullet"/>
      </w:pPr>
      <w:r>
        <w:t>Use sample-data/sample_notice.txt no BridgeForm.</w:t>
      </w:r>
    </w:p>
    <w:p>
      <w:pPr>
        <w:pStyle w:val="ListBullet"/>
      </w:pPr>
      <w:r>
        <w:t>Use sample-data/sample_passage.txt no ReadBuddy.</w:t>
      </w:r>
    </w:p>
    <w:p>
      <w:pPr>
        <w:pStyle w:val="ListBullet"/>
      </w:pPr>
      <w:r>
        <w:t>Abra /docs para testar a API pelo Swagger.</w:t>
      </w:r>
    </w:p>
    <w:p>
      <w:pPr>
        <w:pStyle w:val="ListBullet"/>
      </w:pPr>
      <w:r>
        <w:t>No backend, rode pytest para validar os testes automatizados.</w:t>
      </w:r>
    </w:p>
    <w:p>
      <w:r>
        <w:rPr>
          <w:b/>
          <w:color w:val="08111F"/>
          <w:sz w:val="32"/>
        </w:rPr>
        <w:t>8. Limites atuais do MVP</w:t>
      </w:r>
    </w:p>
    <w:p>
      <w:pPr>
        <w:pStyle w:val="ListBullet"/>
      </w:pPr>
      <w:r>
        <w:t>OCR de imagem depende de Tesseract instalado localmente.</w:t>
      </w:r>
    </w:p>
    <w:p>
      <w:pPr>
        <w:pStyle w:val="ListBullet"/>
      </w:pPr>
      <w:r>
        <w:t>ReadBuddy, nesta versão, usa transcrição textual e não capta áudio sozinho.</w:t>
      </w:r>
    </w:p>
    <w:p>
      <w:pPr>
        <w:pStyle w:val="ListBullet"/>
      </w:pPr>
      <w:r>
        <w:t>A versão entregue prioriza execução local imediata e simplicidade de manutenção.</w:t>
      </w:r>
    </w:p>
    <w:p>
      <w:r>
        <w:rPr>
          <w:b/>
          <w:color w:val="08111F"/>
          <w:sz w:val="32"/>
        </w:rPr>
        <w:t>9. Referências oficiais usadas na base técnica</w:t>
      </w:r>
    </w:p>
    <w:p>
      <w:pPr>
        <w:pStyle w:val="ListBullet"/>
      </w:pPr>
      <w:r>
        <w:t>Next.js App Router: https://nextjs.org/docs/app/getting-started</w:t>
      </w:r>
    </w:p>
    <w:p>
      <w:pPr>
        <w:pStyle w:val="ListBullet"/>
      </w:pPr>
      <w:r>
        <w:t>FastAPI Tutorial: https://fastapi.tiangolo.com/tutorial/</w:t>
      </w:r>
    </w:p>
    <w:p>
      <w:pPr>
        <w:pStyle w:val="ListBullet"/>
      </w:pPr>
      <w:r>
        <w:t>Expo Create a Project: https://docs.expo.dev/get-started/create-a-project/</w:t>
      </w:r>
    </w:p>
    <w:sectPr w:rsidR="00FC693F" w:rsidRPr="0006063C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HumanBridge Suite — manual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