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E636" w14:textId="77777777" w:rsidR="00B27956" w:rsidRDefault="00B27956" w:rsidP="00B27956">
      <w:pPr>
        <w:spacing w:after="0" w:line="360" w:lineRule="auto"/>
        <w:jc w:val="both"/>
      </w:pPr>
      <w:r>
        <w:rPr>
          <w:noProof/>
        </w:rPr>
        <w:drawing>
          <wp:inline distT="0" distB="0" distL="0" distR="0" wp14:anchorId="3A624523" wp14:editId="67033098">
            <wp:extent cx="5943600" cy="2491740"/>
            <wp:effectExtent l="0" t="0" r="0" b="3810"/>
            <wp:docPr id="15467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764" name=""/>
                    <pic:cNvPicPr/>
                  </pic:nvPicPr>
                  <pic:blipFill>
                    <a:blip r:embed="rId4"/>
                    <a:stretch>
                      <a:fillRect/>
                    </a:stretch>
                  </pic:blipFill>
                  <pic:spPr>
                    <a:xfrm>
                      <a:off x="0" y="0"/>
                      <a:ext cx="5943600" cy="2491740"/>
                    </a:xfrm>
                    <a:prstGeom prst="rect">
                      <a:avLst/>
                    </a:prstGeom>
                  </pic:spPr>
                </pic:pic>
              </a:graphicData>
            </a:graphic>
          </wp:inline>
        </w:drawing>
      </w:r>
    </w:p>
    <w:p w14:paraId="6B44684D" w14:textId="77777777" w:rsidR="00B27956" w:rsidRDefault="00B27956" w:rsidP="00B27956">
      <w:pPr>
        <w:spacing w:after="0" w:line="360" w:lineRule="auto"/>
        <w:jc w:val="both"/>
        <w:rPr>
          <w:sz w:val="24"/>
          <w:szCs w:val="24"/>
          <w:lang w:val="en-US"/>
        </w:rPr>
      </w:pPr>
      <w:r w:rsidRPr="445CD04A">
        <w:rPr>
          <w:b/>
          <w:bCs/>
          <w:sz w:val="24"/>
          <w:szCs w:val="24"/>
          <w:lang w:val="en-US"/>
        </w:rPr>
        <w:t>Fig</w:t>
      </w:r>
      <w:r>
        <w:rPr>
          <w:b/>
          <w:bCs/>
          <w:sz w:val="24"/>
          <w:szCs w:val="24"/>
          <w:lang w:val="en-US"/>
        </w:rPr>
        <w:t xml:space="preserve">. </w:t>
      </w:r>
      <w:r w:rsidRPr="445CD04A">
        <w:rPr>
          <w:b/>
          <w:bCs/>
          <w:sz w:val="24"/>
          <w:szCs w:val="24"/>
          <w:lang w:val="en-US"/>
        </w:rPr>
        <w:t>1</w:t>
      </w:r>
      <w:r>
        <w:rPr>
          <w:b/>
          <w:bCs/>
          <w:sz w:val="24"/>
          <w:szCs w:val="24"/>
          <w:lang w:val="en-US"/>
        </w:rPr>
        <w:t xml:space="preserve">. </w:t>
      </w:r>
      <w:r w:rsidRPr="445CD04A">
        <w:rPr>
          <w:sz w:val="24"/>
          <w:szCs w:val="24"/>
          <w:lang w:val="en-US"/>
        </w:rPr>
        <w:t>Process flow diagram for the membrane biofilm reactor (MBfR)</w:t>
      </w:r>
      <w:r>
        <w:rPr>
          <w:sz w:val="24"/>
          <w:szCs w:val="24"/>
          <w:lang w:val="en-US"/>
        </w:rPr>
        <w:t xml:space="preserve">. </w:t>
      </w:r>
      <w:r w:rsidRPr="445CD04A">
        <w:rPr>
          <w:sz w:val="24"/>
          <w:szCs w:val="24"/>
          <w:lang w:val="en-US"/>
        </w:rPr>
        <w:t>Gaseous</w:t>
      </w:r>
      <w:r>
        <w:rPr>
          <w:sz w:val="24"/>
          <w:szCs w:val="24"/>
          <w:lang w:val="en-US"/>
        </w:rPr>
        <w:t xml:space="preserve"> </w:t>
      </w:r>
      <w:r w:rsidRPr="445CD04A">
        <w:rPr>
          <w:sz w:val="24"/>
          <w:szCs w:val="24"/>
          <w:lang w:val="en-US"/>
        </w:rPr>
        <w:t>substrate</w:t>
      </w:r>
      <w:r>
        <w:rPr>
          <w:sz w:val="24"/>
          <w:szCs w:val="24"/>
          <w:lang w:val="en-US"/>
        </w:rPr>
        <w:t>s (</w:t>
      </w:r>
      <w:r w:rsidRPr="445CD04A">
        <w:rPr>
          <w:sz w:val="24"/>
          <w:szCs w:val="24"/>
          <w:lang w:val="en-US"/>
        </w:rPr>
        <w:t>H</w:t>
      </w:r>
      <w:r w:rsidRPr="445CD04A">
        <w:rPr>
          <w:sz w:val="24"/>
          <w:szCs w:val="24"/>
          <w:vertAlign w:val="subscript"/>
          <w:lang w:val="en-US"/>
        </w:rPr>
        <w:t>2</w:t>
      </w:r>
      <w:r w:rsidRPr="445CD04A">
        <w:rPr>
          <w:sz w:val="24"/>
          <w:szCs w:val="24"/>
          <w:lang w:val="en-US"/>
        </w:rPr>
        <w:t>, CO</w:t>
      </w:r>
      <w:r w:rsidRPr="445CD04A">
        <w:rPr>
          <w:sz w:val="24"/>
          <w:szCs w:val="24"/>
          <w:vertAlign w:val="subscript"/>
          <w:lang w:val="en-US"/>
        </w:rPr>
        <w:t>2</w:t>
      </w:r>
      <w:r w:rsidRPr="445CD04A">
        <w:rPr>
          <w:sz w:val="24"/>
          <w:szCs w:val="24"/>
          <w:lang w:val="en-US"/>
        </w:rPr>
        <w:t>)</w:t>
      </w:r>
      <w:r>
        <w:rPr>
          <w:sz w:val="24"/>
          <w:szCs w:val="24"/>
          <w:lang w:val="en-US"/>
        </w:rPr>
        <w:t xml:space="preserve"> from pressurized tanks were delivered via mass flow controllers</w:t>
      </w:r>
      <w:r w:rsidRPr="445CD04A">
        <w:rPr>
          <w:sz w:val="24"/>
          <w:szCs w:val="24"/>
          <w:lang w:val="en-US"/>
        </w:rPr>
        <w:t xml:space="preserve"> to the </w:t>
      </w:r>
      <w:r>
        <w:rPr>
          <w:sz w:val="24"/>
          <w:szCs w:val="24"/>
          <w:lang w:val="en-US"/>
        </w:rPr>
        <w:t xml:space="preserve">lumens of the </w:t>
      </w:r>
      <w:r w:rsidRPr="445CD04A">
        <w:rPr>
          <w:sz w:val="24"/>
          <w:szCs w:val="24"/>
          <w:lang w:val="en-US"/>
        </w:rPr>
        <w:t>hollow fiber membrane</w:t>
      </w:r>
      <w:r>
        <w:rPr>
          <w:sz w:val="24"/>
          <w:szCs w:val="24"/>
          <w:lang w:val="en-US"/>
        </w:rPr>
        <w:t xml:space="preserve">s. </w:t>
      </w:r>
      <w:r w:rsidRPr="445CD04A">
        <w:rPr>
          <w:sz w:val="24"/>
          <w:szCs w:val="24"/>
          <w:lang w:val="en-US"/>
        </w:rPr>
        <w:t>Methanogenic biofilm on the membrane surface converted the substrates to CH</w:t>
      </w:r>
      <w:r w:rsidRPr="445CD04A">
        <w:rPr>
          <w:sz w:val="24"/>
          <w:szCs w:val="24"/>
          <w:vertAlign w:val="subscript"/>
          <w:lang w:val="en-US"/>
        </w:rPr>
        <w:t>4</w:t>
      </w:r>
      <w:r>
        <w:rPr>
          <w:sz w:val="24"/>
          <w:szCs w:val="24"/>
          <w:lang w:val="en-US"/>
        </w:rPr>
        <w:t xml:space="preserve">. </w:t>
      </w:r>
      <w:r w:rsidRPr="445CD04A">
        <w:rPr>
          <w:sz w:val="24"/>
          <w:szCs w:val="24"/>
          <w:lang w:val="en-US"/>
        </w:rPr>
        <w:t xml:space="preserve">The bulk liquid (a mixture </w:t>
      </w:r>
      <w:r>
        <w:rPr>
          <w:sz w:val="24"/>
          <w:szCs w:val="24"/>
          <w:lang w:val="en-US"/>
        </w:rPr>
        <w:t>of the aqueous</w:t>
      </w:r>
      <w:r w:rsidRPr="445CD04A">
        <w:rPr>
          <w:sz w:val="24"/>
          <w:szCs w:val="24"/>
          <w:lang w:val="en-US"/>
        </w:rPr>
        <w:t xml:space="preserve"> media</w:t>
      </w:r>
      <w:r>
        <w:rPr>
          <w:sz w:val="24"/>
          <w:szCs w:val="24"/>
          <w:lang w:val="en-US"/>
        </w:rPr>
        <w:t xml:space="preserve"> and product gas</w:t>
      </w:r>
      <w:r w:rsidRPr="445CD04A">
        <w:rPr>
          <w:sz w:val="24"/>
          <w:szCs w:val="24"/>
          <w:lang w:val="en-US"/>
        </w:rPr>
        <w:t xml:space="preserve">) was routed through a sensor manifold after exiting the reactor </w:t>
      </w:r>
      <w:r>
        <w:rPr>
          <w:sz w:val="24"/>
          <w:szCs w:val="24"/>
          <w:lang w:val="en-US"/>
        </w:rPr>
        <w:t>vessel</w:t>
      </w:r>
      <w:r w:rsidRPr="445CD04A">
        <w:rPr>
          <w:sz w:val="24"/>
          <w:szCs w:val="24"/>
          <w:lang w:val="en-US"/>
        </w:rPr>
        <w:t>, measuring temperature, pH, dissolved CO</w:t>
      </w:r>
      <w:r w:rsidRPr="445CD04A">
        <w:rPr>
          <w:sz w:val="24"/>
          <w:szCs w:val="24"/>
          <w:vertAlign w:val="subscript"/>
          <w:lang w:val="en-US"/>
        </w:rPr>
        <w:t>2</w:t>
      </w:r>
      <w:r w:rsidRPr="445CD04A">
        <w:rPr>
          <w:sz w:val="24"/>
          <w:szCs w:val="24"/>
          <w:lang w:val="en-US"/>
        </w:rPr>
        <w:t>, and oxidation reduction potential (ORP)</w:t>
      </w:r>
      <w:r>
        <w:rPr>
          <w:sz w:val="24"/>
          <w:szCs w:val="24"/>
          <w:lang w:val="en-US"/>
        </w:rPr>
        <w:t xml:space="preserve">. </w:t>
      </w:r>
      <w:r w:rsidRPr="445CD04A">
        <w:rPr>
          <w:sz w:val="24"/>
          <w:szCs w:val="24"/>
          <w:lang w:val="en-US"/>
        </w:rPr>
        <w:t xml:space="preserve">All readings were continuously monitored via </w:t>
      </w:r>
      <w:r>
        <w:rPr>
          <w:sz w:val="24"/>
          <w:szCs w:val="24"/>
          <w:lang w:val="en-US"/>
        </w:rPr>
        <w:t>an</w:t>
      </w:r>
      <w:r w:rsidRPr="445CD04A">
        <w:rPr>
          <w:sz w:val="24"/>
          <w:szCs w:val="24"/>
          <w:lang w:val="en-US"/>
        </w:rPr>
        <w:t xml:space="preserve"> automation and data collection server</w:t>
      </w:r>
      <w:r>
        <w:rPr>
          <w:sz w:val="24"/>
          <w:szCs w:val="24"/>
          <w:lang w:val="en-US"/>
        </w:rPr>
        <w:t xml:space="preserve">, which also controlled an influent pump delivering media continuously and acid and base as needed. </w:t>
      </w:r>
      <w:r w:rsidRPr="445CD04A">
        <w:rPr>
          <w:sz w:val="24"/>
          <w:szCs w:val="24"/>
          <w:lang w:val="en-US"/>
        </w:rPr>
        <w:t>Additionally, pressure gauges on the reactor effluent line and the gas influent line were used to</w:t>
      </w:r>
      <w:r>
        <w:rPr>
          <w:sz w:val="24"/>
          <w:szCs w:val="24"/>
          <w:lang w:val="en-US"/>
        </w:rPr>
        <w:t xml:space="preserve"> track</w:t>
      </w:r>
      <w:r w:rsidRPr="445CD04A">
        <w:rPr>
          <w:sz w:val="24"/>
          <w:szCs w:val="24"/>
          <w:lang w:val="en-US"/>
        </w:rPr>
        <w:t xml:space="preserve"> transmembrane pressure</w:t>
      </w:r>
      <w:r>
        <w:rPr>
          <w:sz w:val="24"/>
          <w:szCs w:val="24"/>
          <w:lang w:val="en-US"/>
        </w:rPr>
        <w:t xml:space="preserve">. </w:t>
      </w:r>
      <w:r w:rsidRPr="445CD04A">
        <w:rPr>
          <w:sz w:val="24"/>
          <w:szCs w:val="24"/>
          <w:lang w:val="en-US"/>
        </w:rPr>
        <w:t>After passing through the sensor manifold, the bulk liquid was routed through an open outfall with a droplet splitting screen into a liquid/gas separator, to allow separation of gas from the liquid</w:t>
      </w:r>
      <w:r>
        <w:rPr>
          <w:sz w:val="24"/>
          <w:szCs w:val="24"/>
          <w:lang w:val="en-US"/>
        </w:rPr>
        <w:t xml:space="preserve">. </w:t>
      </w:r>
      <w:r w:rsidRPr="445CD04A">
        <w:rPr>
          <w:sz w:val="24"/>
          <w:szCs w:val="24"/>
          <w:lang w:val="en-US"/>
        </w:rPr>
        <w:t>Product gas traveled through a cooling tower, a H</w:t>
      </w:r>
      <w:r w:rsidRPr="445CD04A">
        <w:rPr>
          <w:sz w:val="24"/>
          <w:szCs w:val="24"/>
          <w:vertAlign w:val="subscript"/>
          <w:lang w:val="en-US"/>
        </w:rPr>
        <w:t>2</w:t>
      </w:r>
      <w:r w:rsidRPr="445CD04A">
        <w:rPr>
          <w:sz w:val="24"/>
          <w:szCs w:val="24"/>
          <w:lang w:val="en-US"/>
        </w:rPr>
        <w:t>S scrubber (not shown), and a volume counter, and was finally collected as a composite sample for subsequent analysis.</w:t>
      </w:r>
      <w:r>
        <w:rPr>
          <w:sz w:val="24"/>
          <w:szCs w:val="24"/>
          <w:lang w:val="en-US"/>
        </w:rPr>
        <w:t xml:space="preserve"> Excess liquid exited the system through a passive waste overflow open to the atmosphere.</w:t>
      </w:r>
    </w:p>
    <w:p w14:paraId="636268F7" w14:textId="77777777" w:rsidR="005C011C" w:rsidRDefault="005C011C"/>
    <w:p w14:paraId="657F30E7" w14:textId="77777777" w:rsidR="00B27956" w:rsidRDefault="00B27956" w:rsidP="00B27956">
      <w:pPr>
        <w:spacing w:after="0" w:line="360" w:lineRule="auto"/>
        <w:jc w:val="both"/>
        <w:rPr>
          <w:sz w:val="24"/>
          <w:szCs w:val="24"/>
        </w:rPr>
      </w:pPr>
      <w:r>
        <w:rPr>
          <w:noProof/>
        </w:rPr>
        <w:lastRenderedPageBreak/>
        <w:drawing>
          <wp:inline distT="0" distB="0" distL="0" distR="0" wp14:anchorId="720AC4DB" wp14:editId="222F0071">
            <wp:extent cx="5943600" cy="5652135"/>
            <wp:effectExtent l="0" t="0" r="0" b="5715"/>
            <wp:docPr id="96940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5921" name=""/>
                    <pic:cNvPicPr/>
                  </pic:nvPicPr>
                  <pic:blipFill>
                    <a:blip r:embed="rId5"/>
                    <a:stretch>
                      <a:fillRect/>
                    </a:stretch>
                  </pic:blipFill>
                  <pic:spPr>
                    <a:xfrm>
                      <a:off x="0" y="0"/>
                      <a:ext cx="5943600" cy="5652135"/>
                    </a:xfrm>
                    <a:prstGeom prst="rect">
                      <a:avLst/>
                    </a:prstGeom>
                  </pic:spPr>
                </pic:pic>
              </a:graphicData>
            </a:graphic>
          </wp:inline>
        </w:drawing>
      </w:r>
    </w:p>
    <w:p w14:paraId="5B840042" w14:textId="77777777" w:rsidR="00B27956" w:rsidRDefault="00B27956" w:rsidP="00B27956">
      <w:pPr>
        <w:spacing w:after="0" w:line="360" w:lineRule="auto"/>
        <w:jc w:val="both"/>
        <w:rPr>
          <w:sz w:val="24"/>
          <w:szCs w:val="24"/>
          <w:lang w:val="en-US"/>
        </w:rPr>
      </w:pPr>
      <w:r w:rsidRPr="0F28D7EB">
        <w:rPr>
          <w:b/>
          <w:bCs/>
          <w:sz w:val="24"/>
          <w:szCs w:val="24"/>
          <w:lang w:val="en-US"/>
        </w:rPr>
        <w:t>Fig</w:t>
      </w:r>
      <w:r>
        <w:rPr>
          <w:b/>
          <w:bCs/>
          <w:sz w:val="24"/>
          <w:szCs w:val="24"/>
          <w:lang w:val="en-US"/>
        </w:rPr>
        <w:t xml:space="preserve">. </w:t>
      </w:r>
      <w:r w:rsidRPr="0F28D7EB">
        <w:rPr>
          <w:b/>
          <w:bCs/>
          <w:sz w:val="24"/>
          <w:szCs w:val="24"/>
          <w:lang w:val="en-US"/>
        </w:rPr>
        <w:t>2</w:t>
      </w:r>
      <w:r>
        <w:rPr>
          <w:b/>
          <w:bCs/>
          <w:sz w:val="24"/>
          <w:szCs w:val="24"/>
          <w:lang w:val="en-US"/>
        </w:rPr>
        <w:t xml:space="preserve">. </w:t>
      </w:r>
      <w:r w:rsidRPr="0F28D7EB">
        <w:rPr>
          <w:sz w:val="24"/>
          <w:szCs w:val="24"/>
          <w:lang w:val="en-US"/>
        </w:rPr>
        <w:t>Membrane biofilm reactor (MBfR) performance after a 150-day iteration</w:t>
      </w:r>
      <w:r>
        <w:rPr>
          <w:sz w:val="24"/>
          <w:szCs w:val="24"/>
          <w:lang w:val="en-US"/>
        </w:rPr>
        <w:t xml:space="preserve"> and test</w:t>
      </w:r>
      <w:r w:rsidRPr="0F28D7EB">
        <w:rPr>
          <w:sz w:val="24"/>
          <w:szCs w:val="24"/>
          <w:lang w:val="en-US"/>
        </w:rPr>
        <w:t xml:space="preserve"> period</w:t>
      </w:r>
      <w:r>
        <w:rPr>
          <w:sz w:val="24"/>
          <w:szCs w:val="24"/>
          <w:lang w:val="en-US"/>
        </w:rPr>
        <w:t xml:space="preserve">. </w:t>
      </w:r>
      <w:r w:rsidRPr="0F28D7EB">
        <w:rPr>
          <w:sz w:val="24"/>
          <w:szCs w:val="24"/>
          <w:lang w:val="en-US"/>
        </w:rPr>
        <w:t>Panel</w:t>
      </w:r>
      <w:r>
        <w:rPr>
          <w:sz w:val="24"/>
          <w:szCs w:val="24"/>
          <w:lang w:val="en-US"/>
        </w:rPr>
        <w:t> </w:t>
      </w:r>
      <w:r w:rsidRPr="0F28D7EB">
        <w:rPr>
          <w:sz w:val="24"/>
          <w:szCs w:val="24"/>
          <w:lang w:val="en-US"/>
        </w:rPr>
        <w:t>a) shows product gas quality</w:t>
      </w:r>
      <w:r>
        <w:rPr>
          <w:sz w:val="24"/>
          <w:szCs w:val="24"/>
          <w:lang w:val="en-US"/>
        </w:rPr>
        <w:t xml:space="preserve"> on the primary axis and the specific </w:t>
      </w:r>
      <w:r w:rsidRPr="445CD04A">
        <w:rPr>
          <w:sz w:val="24"/>
          <w:szCs w:val="24"/>
          <w:lang w:val="en-US"/>
        </w:rPr>
        <w:t>CH</w:t>
      </w:r>
      <w:r w:rsidRPr="445CD04A">
        <w:rPr>
          <w:sz w:val="24"/>
          <w:szCs w:val="24"/>
          <w:vertAlign w:val="subscript"/>
          <w:lang w:val="en-US"/>
        </w:rPr>
        <w:t>4</w:t>
      </w:r>
      <w:r w:rsidRPr="0F28D7EB">
        <w:rPr>
          <w:sz w:val="24"/>
          <w:szCs w:val="24"/>
          <w:lang w:val="en-US"/>
        </w:rPr>
        <w:t xml:space="preserve"> production rate</w:t>
      </w:r>
      <w:r>
        <w:rPr>
          <w:sz w:val="24"/>
          <w:szCs w:val="24"/>
          <w:lang w:val="en-US"/>
        </w:rPr>
        <w:t xml:space="preserve"> </w:t>
      </w:r>
      <w:r w:rsidRPr="0F28D7EB">
        <w:rPr>
          <w:sz w:val="24"/>
          <w:szCs w:val="24"/>
          <w:lang w:val="en-US"/>
        </w:rPr>
        <w:t>normalized to reactor vessel volume (175</w:t>
      </w:r>
      <w:r>
        <w:rPr>
          <w:sz w:val="24"/>
          <w:szCs w:val="24"/>
          <w:lang w:val="en-US"/>
        </w:rPr>
        <w:t> m</w:t>
      </w:r>
      <w:r w:rsidRPr="0F28D7EB">
        <w:rPr>
          <w:sz w:val="24"/>
          <w:szCs w:val="24"/>
          <w:lang w:val="en-US"/>
        </w:rPr>
        <w:t>L</w:t>
      </w:r>
      <w:r>
        <w:rPr>
          <w:sz w:val="24"/>
          <w:szCs w:val="24"/>
          <w:lang w:val="en-US"/>
        </w:rPr>
        <w:t xml:space="preserve">) on the secondary axis. </w:t>
      </w:r>
      <w:r w:rsidRPr="0F28D7EB">
        <w:rPr>
          <w:sz w:val="24"/>
          <w:szCs w:val="24"/>
          <w:lang w:val="en-US"/>
        </w:rPr>
        <w:t>Product gas quality is reported in terms of</w:t>
      </w:r>
      <w:r>
        <w:rPr>
          <w:sz w:val="24"/>
          <w:szCs w:val="24"/>
          <w:lang w:val="en-US"/>
        </w:rPr>
        <w:t xml:space="preserve"> gas fractions of </w:t>
      </w:r>
      <w:r w:rsidRPr="0F28D7EB">
        <w:rPr>
          <w:sz w:val="24"/>
          <w:szCs w:val="24"/>
          <w:lang w:val="en-US"/>
        </w:rPr>
        <w:t>H</w:t>
      </w:r>
      <w:r w:rsidRPr="0F28D7EB">
        <w:rPr>
          <w:sz w:val="24"/>
          <w:szCs w:val="24"/>
          <w:vertAlign w:val="subscript"/>
          <w:lang w:val="en-US"/>
        </w:rPr>
        <w:t>2</w:t>
      </w:r>
      <w:r w:rsidRPr="0F28D7EB">
        <w:rPr>
          <w:sz w:val="24"/>
          <w:szCs w:val="24"/>
          <w:lang w:val="en-US"/>
        </w:rPr>
        <w:t>, CO</w:t>
      </w:r>
      <w:r w:rsidRPr="0F28D7EB">
        <w:rPr>
          <w:sz w:val="24"/>
          <w:szCs w:val="24"/>
          <w:vertAlign w:val="subscript"/>
          <w:lang w:val="en-US"/>
        </w:rPr>
        <w:t>2</w:t>
      </w:r>
      <w:r w:rsidRPr="0F28D7EB">
        <w:rPr>
          <w:sz w:val="24"/>
          <w:szCs w:val="24"/>
          <w:lang w:val="en-US"/>
        </w:rPr>
        <w:t>, and CH</w:t>
      </w:r>
      <w:r w:rsidRPr="0F28D7EB">
        <w:rPr>
          <w:sz w:val="24"/>
          <w:szCs w:val="24"/>
          <w:vertAlign w:val="subscript"/>
          <w:lang w:val="en-US"/>
        </w:rPr>
        <w:t>4</w:t>
      </w:r>
      <w:r>
        <w:rPr>
          <w:sz w:val="24"/>
          <w:szCs w:val="24"/>
          <w:lang w:val="en-US"/>
        </w:rPr>
        <w:t xml:space="preserve">. </w:t>
      </w:r>
      <w:r w:rsidRPr="0F28D7EB">
        <w:rPr>
          <w:sz w:val="24"/>
          <w:szCs w:val="24"/>
          <w:lang w:val="en-US"/>
        </w:rPr>
        <w:t xml:space="preserve">Panel b) </w:t>
      </w:r>
      <w:r>
        <w:rPr>
          <w:sz w:val="24"/>
          <w:szCs w:val="24"/>
          <w:lang w:val="en-US"/>
        </w:rPr>
        <w:t>shows the substrate loading rates for H</w:t>
      </w:r>
      <w:r w:rsidRPr="009C6876">
        <w:rPr>
          <w:sz w:val="24"/>
          <w:szCs w:val="24"/>
          <w:vertAlign w:val="subscript"/>
          <w:lang w:val="en-US"/>
        </w:rPr>
        <w:t>2</w:t>
      </w:r>
      <w:r>
        <w:rPr>
          <w:sz w:val="24"/>
          <w:szCs w:val="24"/>
          <w:lang w:val="en-US"/>
        </w:rPr>
        <w:t xml:space="preserve"> and CO</w:t>
      </w:r>
      <w:r w:rsidRPr="009C6876">
        <w:rPr>
          <w:sz w:val="24"/>
          <w:szCs w:val="24"/>
          <w:vertAlign w:val="subscript"/>
          <w:lang w:val="en-US"/>
        </w:rPr>
        <w:t>2</w:t>
      </w:r>
      <w:r>
        <w:rPr>
          <w:sz w:val="24"/>
          <w:szCs w:val="24"/>
          <w:lang w:val="en-US"/>
        </w:rPr>
        <w:t xml:space="preserve"> and the specific CH</w:t>
      </w:r>
      <w:r w:rsidRPr="009C6876">
        <w:rPr>
          <w:sz w:val="24"/>
          <w:szCs w:val="24"/>
          <w:vertAlign w:val="subscript"/>
          <w:lang w:val="en-US"/>
        </w:rPr>
        <w:t>4</w:t>
      </w:r>
      <w:r>
        <w:rPr>
          <w:sz w:val="24"/>
          <w:szCs w:val="24"/>
          <w:lang w:val="en-US"/>
        </w:rPr>
        <w:t xml:space="preserve"> production rate normalized to membrane surface area (0.145 m</w:t>
      </w:r>
      <w:r w:rsidRPr="009C6876">
        <w:rPr>
          <w:sz w:val="24"/>
          <w:szCs w:val="24"/>
          <w:vertAlign w:val="superscript"/>
          <w:lang w:val="en-US"/>
        </w:rPr>
        <w:t>2</w:t>
      </w:r>
      <w:r>
        <w:rPr>
          <w:sz w:val="24"/>
          <w:szCs w:val="24"/>
          <w:lang w:val="en-US"/>
        </w:rPr>
        <w:t xml:space="preserve">) on the primary axis, with the substrate molar feed ratio on the secondary axis. The Operational phases are labeled at the top of the figure and indicated by solid black vertical lines. All gas calculations are normalized to </w:t>
      </w:r>
      <w:r w:rsidRPr="0F28D7EB">
        <w:rPr>
          <w:sz w:val="24"/>
          <w:szCs w:val="24"/>
          <w:lang w:val="en-US"/>
        </w:rPr>
        <w:t>standard temperature (</w:t>
      </w:r>
      <w:r>
        <w:rPr>
          <w:sz w:val="24"/>
          <w:szCs w:val="24"/>
          <w:lang w:val="en-US"/>
        </w:rPr>
        <w:t>273.15 K</w:t>
      </w:r>
      <w:r w:rsidRPr="0F28D7EB">
        <w:rPr>
          <w:sz w:val="24"/>
          <w:szCs w:val="24"/>
          <w:lang w:val="en-US"/>
        </w:rPr>
        <w:t>) and pressure (1 atm)</w:t>
      </w:r>
      <w:r>
        <w:rPr>
          <w:sz w:val="24"/>
          <w:szCs w:val="24"/>
          <w:lang w:val="en-US"/>
        </w:rPr>
        <w:t xml:space="preserve">. </w:t>
      </w:r>
    </w:p>
    <w:p w14:paraId="286B99BB" w14:textId="77777777" w:rsidR="00B27956" w:rsidRDefault="00B27956" w:rsidP="00B27956">
      <w:pPr>
        <w:spacing w:after="0" w:line="360" w:lineRule="auto"/>
        <w:jc w:val="both"/>
        <w:rPr>
          <w:sz w:val="24"/>
          <w:szCs w:val="24"/>
          <w:lang w:val="en-US"/>
        </w:rPr>
      </w:pPr>
      <w:r>
        <w:rPr>
          <w:noProof/>
        </w:rPr>
        <w:lastRenderedPageBreak/>
        <w:drawing>
          <wp:inline distT="0" distB="0" distL="0" distR="0" wp14:anchorId="42F56411" wp14:editId="5B0CB571">
            <wp:extent cx="5943600" cy="3505835"/>
            <wp:effectExtent l="0" t="0" r="0" b="0"/>
            <wp:docPr id="54255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0451" name=""/>
                    <pic:cNvPicPr/>
                  </pic:nvPicPr>
                  <pic:blipFill>
                    <a:blip r:embed="rId6"/>
                    <a:stretch>
                      <a:fillRect/>
                    </a:stretch>
                  </pic:blipFill>
                  <pic:spPr>
                    <a:xfrm>
                      <a:off x="0" y="0"/>
                      <a:ext cx="5943600" cy="3505835"/>
                    </a:xfrm>
                    <a:prstGeom prst="rect">
                      <a:avLst/>
                    </a:prstGeom>
                  </pic:spPr>
                </pic:pic>
              </a:graphicData>
            </a:graphic>
          </wp:inline>
        </w:drawing>
      </w:r>
      <w:r w:rsidRPr="548A1B49">
        <w:rPr>
          <w:b/>
          <w:bCs/>
          <w:sz w:val="24"/>
          <w:szCs w:val="24"/>
          <w:lang w:val="en-US"/>
        </w:rPr>
        <w:t>Fig</w:t>
      </w:r>
      <w:r>
        <w:rPr>
          <w:b/>
          <w:bCs/>
          <w:sz w:val="24"/>
          <w:szCs w:val="24"/>
          <w:lang w:val="en-US"/>
        </w:rPr>
        <w:t xml:space="preserve">. </w:t>
      </w:r>
      <w:r w:rsidRPr="548A1B49">
        <w:rPr>
          <w:b/>
          <w:bCs/>
          <w:sz w:val="24"/>
          <w:szCs w:val="24"/>
          <w:lang w:val="en-US"/>
        </w:rPr>
        <w:t>3</w:t>
      </w:r>
      <w:r>
        <w:rPr>
          <w:b/>
          <w:bCs/>
          <w:sz w:val="24"/>
          <w:szCs w:val="24"/>
          <w:lang w:val="en-US"/>
        </w:rPr>
        <w:t xml:space="preserve">. </w:t>
      </w:r>
      <w:r w:rsidRPr="548A1B49">
        <w:rPr>
          <w:sz w:val="24"/>
          <w:szCs w:val="24"/>
          <w:lang w:val="en-US"/>
        </w:rPr>
        <w:t>Comparison of maximum observed specific CH</w:t>
      </w:r>
      <w:r w:rsidRPr="548A1B49">
        <w:rPr>
          <w:sz w:val="24"/>
          <w:szCs w:val="24"/>
          <w:vertAlign w:val="subscript"/>
          <w:lang w:val="en-US"/>
        </w:rPr>
        <w:t>4</w:t>
      </w:r>
      <w:r w:rsidRPr="548A1B49">
        <w:rPr>
          <w:sz w:val="24"/>
          <w:szCs w:val="24"/>
          <w:lang w:val="en-US"/>
        </w:rPr>
        <w:t xml:space="preserve"> production rates for ex-situ biomethanation systems</w:t>
      </w:r>
      <w:r>
        <w:rPr>
          <w:sz w:val="24"/>
          <w:szCs w:val="24"/>
          <w:lang w:val="en-US"/>
        </w:rPr>
        <w:t xml:space="preserve">. </w:t>
      </w:r>
      <w:r w:rsidRPr="548A1B49">
        <w:rPr>
          <w:sz w:val="24"/>
          <w:szCs w:val="24"/>
          <w:lang w:val="en-US"/>
        </w:rPr>
        <w:t>Panel a) illustrates various reactor configurations, with CH</w:t>
      </w:r>
      <w:r w:rsidRPr="548A1B49">
        <w:rPr>
          <w:sz w:val="24"/>
          <w:szCs w:val="24"/>
          <w:vertAlign w:val="subscript"/>
          <w:lang w:val="en-US"/>
        </w:rPr>
        <w:t>4</w:t>
      </w:r>
      <w:r w:rsidRPr="548A1B49">
        <w:rPr>
          <w:sz w:val="24"/>
          <w:szCs w:val="24"/>
          <w:lang w:val="en-US"/>
        </w:rPr>
        <w:t xml:space="preserve"> production rates normalized to </w:t>
      </w:r>
      <w:r>
        <w:rPr>
          <w:sz w:val="24"/>
          <w:szCs w:val="24"/>
          <w:lang w:val="en-US"/>
        </w:rPr>
        <w:t>reactor volume</w:t>
      </w:r>
      <w:r w:rsidRPr="548A1B49">
        <w:rPr>
          <w:sz w:val="24"/>
          <w:szCs w:val="24"/>
          <w:lang w:val="en-US"/>
        </w:rPr>
        <w:t>, which represents the main reactor vessel and excludes peripheral equipment</w:t>
      </w:r>
      <w:r>
        <w:rPr>
          <w:sz w:val="24"/>
          <w:szCs w:val="24"/>
          <w:lang w:val="en-US"/>
        </w:rPr>
        <w:t xml:space="preserve">. </w:t>
      </w:r>
      <w:r w:rsidRPr="548A1B49">
        <w:rPr>
          <w:sz w:val="24"/>
          <w:szCs w:val="24"/>
          <w:lang w:val="en-US"/>
        </w:rPr>
        <w:t>Reactors are further divided according to whether they operated under mesophilic or thermophilic conditions</w:t>
      </w:r>
      <w:r>
        <w:rPr>
          <w:sz w:val="24"/>
          <w:szCs w:val="24"/>
          <w:lang w:val="en-US"/>
        </w:rPr>
        <w:t xml:space="preserve">. </w:t>
      </w:r>
      <w:r w:rsidRPr="548A1B49">
        <w:rPr>
          <w:sz w:val="24"/>
          <w:szCs w:val="24"/>
          <w:lang w:val="en-US"/>
        </w:rPr>
        <w:t>Panels b)</w:t>
      </w:r>
      <w:r>
        <w:rPr>
          <w:sz w:val="24"/>
          <w:szCs w:val="24"/>
          <w:lang w:val="en-US"/>
        </w:rPr>
        <w:t xml:space="preserve"> and</w:t>
      </w:r>
      <w:r w:rsidRPr="548A1B49">
        <w:rPr>
          <w:sz w:val="24"/>
          <w:szCs w:val="24"/>
          <w:lang w:val="en-US"/>
        </w:rPr>
        <w:t xml:space="preserve"> c)</w:t>
      </w:r>
      <w:r>
        <w:rPr>
          <w:sz w:val="24"/>
          <w:szCs w:val="24"/>
          <w:lang w:val="en-US"/>
        </w:rPr>
        <w:t xml:space="preserve"> describe only the compared membrane-based systems. Panel b) </w:t>
      </w:r>
      <w:r w:rsidRPr="548A1B49">
        <w:rPr>
          <w:sz w:val="24"/>
          <w:szCs w:val="24"/>
          <w:lang w:val="en-US"/>
        </w:rPr>
        <w:t>shows production rates normalized to membrane surface area</w:t>
      </w:r>
      <w:r>
        <w:rPr>
          <w:sz w:val="24"/>
          <w:szCs w:val="24"/>
          <w:lang w:val="en-US"/>
        </w:rPr>
        <w:t xml:space="preserve">. </w:t>
      </w:r>
      <w:r w:rsidRPr="548A1B49">
        <w:rPr>
          <w:sz w:val="24"/>
          <w:szCs w:val="24"/>
          <w:lang w:val="en-US"/>
        </w:rPr>
        <w:t xml:space="preserve">Panel </w:t>
      </w:r>
      <w:r>
        <w:rPr>
          <w:sz w:val="24"/>
          <w:szCs w:val="24"/>
          <w:lang w:val="en-US"/>
        </w:rPr>
        <w:t>c</w:t>
      </w:r>
      <w:r w:rsidRPr="548A1B49">
        <w:rPr>
          <w:sz w:val="24"/>
          <w:szCs w:val="24"/>
          <w:lang w:val="en-US"/>
        </w:rPr>
        <w:t xml:space="preserve">) </w:t>
      </w:r>
      <w:r>
        <w:rPr>
          <w:sz w:val="24"/>
          <w:szCs w:val="24"/>
          <w:lang w:val="en-US"/>
        </w:rPr>
        <w:t xml:space="preserve">shows the surface to volume ratio (SVR), normalized to reactor volume. </w:t>
      </w:r>
      <w:r w:rsidRPr="548A1B49">
        <w:rPr>
          <w:sz w:val="24"/>
          <w:szCs w:val="24"/>
          <w:lang w:val="en-US"/>
        </w:rPr>
        <w:t>All production rate</w:t>
      </w:r>
      <w:r>
        <w:rPr>
          <w:sz w:val="24"/>
          <w:szCs w:val="24"/>
          <w:lang w:val="en-US"/>
        </w:rPr>
        <w:t xml:space="preserve"> and SVR</w:t>
      </w:r>
      <w:r w:rsidRPr="548A1B49">
        <w:rPr>
          <w:sz w:val="24"/>
          <w:szCs w:val="24"/>
          <w:lang w:val="en-US"/>
        </w:rPr>
        <w:t xml:space="preserve"> values from literature were recalculated based on reported reactor features</w:t>
      </w:r>
      <w:r>
        <w:rPr>
          <w:sz w:val="24"/>
          <w:szCs w:val="24"/>
          <w:lang w:val="en-US"/>
        </w:rPr>
        <w:t xml:space="preserve"> to provide a comparative basis. Additionally, volumetric production rates were </w:t>
      </w:r>
      <w:r w:rsidRPr="548A1B49">
        <w:rPr>
          <w:sz w:val="24"/>
          <w:szCs w:val="24"/>
          <w:lang w:val="en-US"/>
        </w:rPr>
        <w:t xml:space="preserve">adjusted via the </w:t>
      </w:r>
      <w:r>
        <w:rPr>
          <w:sz w:val="24"/>
          <w:szCs w:val="24"/>
          <w:lang w:val="en-US"/>
        </w:rPr>
        <w:t>i</w:t>
      </w:r>
      <w:r w:rsidRPr="548A1B49">
        <w:rPr>
          <w:sz w:val="24"/>
          <w:szCs w:val="24"/>
          <w:lang w:val="en-US"/>
        </w:rPr>
        <w:t xml:space="preserve">deal </w:t>
      </w:r>
      <w:r>
        <w:rPr>
          <w:sz w:val="24"/>
          <w:szCs w:val="24"/>
          <w:lang w:val="en-US"/>
        </w:rPr>
        <w:t>g</w:t>
      </w:r>
      <w:r w:rsidRPr="548A1B49">
        <w:rPr>
          <w:sz w:val="24"/>
          <w:szCs w:val="24"/>
          <w:lang w:val="en-US"/>
        </w:rPr>
        <w:t xml:space="preserve">as </w:t>
      </w:r>
      <w:r>
        <w:rPr>
          <w:sz w:val="24"/>
          <w:szCs w:val="24"/>
          <w:lang w:val="en-US"/>
        </w:rPr>
        <w:t>l</w:t>
      </w:r>
      <w:r w:rsidRPr="548A1B49">
        <w:rPr>
          <w:sz w:val="24"/>
          <w:szCs w:val="24"/>
          <w:lang w:val="en-US"/>
        </w:rPr>
        <w:t>aw to standard temperature and pressure (</w:t>
      </w:r>
      <w:r>
        <w:rPr>
          <w:sz w:val="24"/>
          <w:szCs w:val="24"/>
          <w:lang w:val="en-US"/>
        </w:rPr>
        <w:t xml:space="preserve">STP, </w:t>
      </w:r>
      <w:r w:rsidRPr="548A1B49">
        <w:rPr>
          <w:sz w:val="24"/>
          <w:szCs w:val="24"/>
          <w:lang w:val="en-US"/>
        </w:rPr>
        <w:t>0°C</w:t>
      </w:r>
      <w:r>
        <w:rPr>
          <w:sz w:val="24"/>
          <w:szCs w:val="24"/>
          <w:lang w:val="en-US"/>
        </w:rPr>
        <w:t xml:space="preserve"> and </w:t>
      </w:r>
      <w:r w:rsidRPr="548A1B49">
        <w:rPr>
          <w:sz w:val="24"/>
          <w:szCs w:val="24"/>
          <w:lang w:val="en-US"/>
        </w:rPr>
        <w:t>1 atm) for comparison</w:t>
      </w:r>
      <w:r>
        <w:rPr>
          <w:sz w:val="24"/>
          <w:szCs w:val="24"/>
          <w:lang w:val="en-US"/>
        </w:rPr>
        <w:t xml:space="preserve">. </w:t>
      </w:r>
      <w:r w:rsidRPr="548A1B49">
        <w:rPr>
          <w:sz w:val="24"/>
          <w:szCs w:val="24"/>
          <w:lang w:val="en-US"/>
        </w:rPr>
        <w:t>If authors did not specify whether they corrected gas volumetric flow rates to STP, it was assumed that the reported values were at their reactor operating temperature</w:t>
      </w:r>
      <w:r>
        <w:rPr>
          <w:sz w:val="24"/>
          <w:szCs w:val="24"/>
          <w:lang w:val="en-US"/>
        </w:rPr>
        <w:t xml:space="preserve">. </w:t>
      </w:r>
      <w:r w:rsidRPr="548A1B49">
        <w:rPr>
          <w:sz w:val="24"/>
          <w:szCs w:val="24"/>
          <w:lang w:val="en-US"/>
        </w:rPr>
        <w:t xml:space="preserve">Acronyms denote reactor types as follows: membrane biofilm reactor (MBfR), plug flow reactor (PFR), trickle bed reactor (TBR), fixed bed reactor (FBR), </w:t>
      </w:r>
      <w:r>
        <w:rPr>
          <w:sz w:val="24"/>
          <w:szCs w:val="24"/>
          <w:lang w:val="en-US"/>
        </w:rPr>
        <w:t xml:space="preserve">hollow fiber </w:t>
      </w:r>
      <w:r w:rsidRPr="548A1B49">
        <w:rPr>
          <w:sz w:val="24"/>
          <w:szCs w:val="24"/>
          <w:lang w:val="en-US"/>
        </w:rPr>
        <w:t>reactor (</w:t>
      </w:r>
      <w:r>
        <w:rPr>
          <w:sz w:val="24"/>
          <w:szCs w:val="24"/>
          <w:lang w:val="en-US"/>
        </w:rPr>
        <w:t>HF</w:t>
      </w:r>
      <w:r w:rsidRPr="548A1B49">
        <w:rPr>
          <w:sz w:val="24"/>
          <w:szCs w:val="24"/>
          <w:lang w:val="en-US"/>
        </w:rPr>
        <w:t>R).</w:t>
      </w:r>
    </w:p>
    <w:p w14:paraId="4D736ADA" w14:textId="77777777" w:rsidR="00B27956" w:rsidRDefault="00B27956" w:rsidP="00B27956">
      <w:pPr>
        <w:spacing w:after="0" w:line="360" w:lineRule="auto"/>
        <w:jc w:val="both"/>
        <w:rPr>
          <w:sz w:val="24"/>
          <w:szCs w:val="24"/>
          <w:lang w:val="en-US"/>
        </w:rPr>
      </w:pPr>
      <w:r>
        <w:rPr>
          <w:noProof/>
        </w:rPr>
        <w:lastRenderedPageBreak/>
        <w:drawing>
          <wp:inline distT="0" distB="0" distL="0" distR="0" wp14:anchorId="5FD6FAF8" wp14:editId="5566EAC3">
            <wp:extent cx="5943600" cy="7107555"/>
            <wp:effectExtent l="0" t="0" r="0" b="0"/>
            <wp:docPr id="151880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06326" name=""/>
                    <pic:cNvPicPr/>
                  </pic:nvPicPr>
                  <pic:blipFill>
                    <a:blip r:embed="rId7"/>
                    <a:stretch>
                      <a:fillRect/>
                    </a:stretch>
                  </pic:blipFill>
                  <pic:spPr>
                    <a:xfrm>
                      <a:off x="0" y="0"/>
                      <a:ext cx="5943600" cy="7107555"/>
                    </a:xfrm>
                    <a:prstGeom prst="rect">
                      <a:avLst/>
                    </a:prstGeom>
                  </pic:spPr>
                </pic:pic>
              </a:graphicData>
            </a:graphic>
          </wp:inline>
        </w:drawing>
      </w:r>
      <w:r w:rsidRPr="7B874FF8">
        <w:rPr>
          <w:b/>
          <w:bCs/>
          <w:sz w:val="24"/>
          <w:szCs w:val="24"/>
          <w:lang w:val="en-US"/>
        </w:rPr>
        <w:t>Fig</w:t>
      </w:r>
      <w:r>
        <w:rPr>
          <w:b/>
          <w:bCs/>
          <w:sz w:val="24"/>
          <w:szCs w:val="24"/>
          <w:lang w:val="en-US"/>
        </w:rPr>
        <w:t xml:space="preserve">. 4. </w:t>
      </w:r>
      <w:r w:rsidRPr="7B874FF8">
        <w:rPr>
          <w:sz w:val="24"/>
          <w:szCs w:val="24"/>
          <w:lang w:val="en-US"/>
        </w:rPr>
        <w:t xml:space="preserve"> Relative abundances of the</w:t>
      </w:r>
      <w:r>
        <w:rPr>
          <w:sz w:val="24"/>
          <w:szCs w:val="24"/>
          <w:lang w:val="en-US"/>
        </w:rPr>
        <w:t xml:space="preserve"> amplicon sequence variants</w:t>
      </w:r>
      <w:r w:rsidRPr="7B874FF8">
        <w:rPr>
          <w:sz w:val="24"/>
          <w:szCs w:val="24"/>
          <w:lang w:val="en-US"/>
        </w:rPr>
        <w:t xml:space="preserve"> </w:t>
      </w:r>
      <w:r>
        <w:rPr>
          <w:sz w:val="24"/>
          <w:szCs w:val="24"/>
          <w:lang w:val="en-US"/>
        </w:rPr>
        <w:t>(</w:t>
      </w:r>
      <w:r w:rsidRPr="7B874FF8">
        <w:rPr>
          <w:sz w:val="24"/>
          <w:szCs w:val="24"/>
          <w:lang w:val="en-US"/>
        </w:rPr>
        <w:t>ASVs</w:t>
      </w:r>
      <w:r>
        <w:rPr>
          <w:sz w:val="24"/>
          <w:szCs w:val="24"/>
          <w:lang w:val="en-US"/>
        </w:rPr>
        <w:t>)</w:t>
      </w:r>
      <w:r w:rsidRPr="7B874FF8">
        <w:rPr>
          <w:sz w:val="24"/>
          <w:szCs w:val="24"/>
          <w:lang w:val="en-US"/>
        </w:rPr>
        <w:t xml:space="preserve"> among the 10 most abundant taxa in at least one sample</w:t>
      </w:r>
      <w:r>
        <w:rPr>
          <w:sz w:val="24"/>
          <w:szCs w:val="24"/>
          <w:lang w:val="en-US"/>
        </w:rPr>
        <w:t xml:space="preserve">. </w:t>
      </w:r>
      <w:r w:rsidRPr="7B874FF8">
        <w:rPr>
          <w:sz w:val="24"/>
          <w:szCs w:val="24"/>
          <w:lang w:val="en-US"/>
        </w:rPr>
        <w:t>The rows are ASVs where the name is the genus-level, or next defined if genus is unavailable, MIDAS v5.3-classification of the organism and the number is an iterative count of the name to preserve uniqueness among the ASV names</w:t>
      </w:r>
      <w:r>
        <w:rPr>
          <w:sz w:val="24"/>
          <w:szCs w:val="24"/>
          <w:lang w:val="en-US"/>
        </w:rPr>
        <w:t xml:space="preserve">. </w:t>
      </w:r>
      <w:r w:rsidRPr="7B874FF8">
        <w:rPr>
          <w:sz w:val="24"/>
          <w:szCs w:val="24"/>
          <w:lang w:val="en-US"/>
        </w:rPr>
        <w:t xml:space="preserve">The heatmaps are </w:t>
      </w:r>
      <w:r w:rsidRPr="7B874FF8">
        <w:rPr>
          <w:sz w:val="24"/>
          <w:szCs w:val="24"/>
          <w:lang w:val="en-US"/>
        </w:rPr>
        <w:lastRenderedPageBreak/>
        <w:t>arranged with</w:t>
      </w:r>
      <w:r>
        <w:rPr>
          <w:sz w:val="24"/>
          <w:szCs w:val="24"/>
          <w:lang w:val="en-US"/>
        </w:rPr>
        <w:t xml:space="preserve"> white and dark</w:t>
      </w:r>
      <w:r w:rsidRPr="7B874FF8">
        <w:rPr>
          <w:sz w:val="24"/>
          <w:szCs w:val="24"/>
          <w:lang w:val="en-US"/>
        </w:rPr>
        <w:t xml:space="preserve"> blue</w:t>
      </w:r>
      <w:r>
        <w:rPr>
          <w:sz w:val="24"/>
          <w:szCs w:val="24"/>
          <w:lang w:val="en-US"/>
        </w:rPr>
        <w:t xml:space="preserve"> representing</w:t>
      </w:r>
      <w:r w:rsidRPr="7B874FF8">
        <w:rPr>
          <w:sz w:val="24"/>
          <w:szCs w:val="24"/>
          <w:lang w:val="en-US"/>
        </w:rPr>
        <w:t xml:space="preserve"> </w:t>
      </w:r>
      <w:r>
        <w:rPr>
          <w:sz w:val="24"/>
          <w:szCs w:val="24"/>
          <w:lang w:val="en-US"/>
        </w:rPr>
        <w:t xml:space="preserve">the lowest and </w:t>
      </w:r>
      <w:r w:rsidRPr="7B874FF8">
        <w:rPr>
          <w:sz w:val="24"/>
          <w:szCs w:val="24"/>
          <w:lang w:val="en-US"/>
        </w:rPr>
        <w:t>highest abundance in the matrix, respectively</w:t>
      </w:r>
      <w:r>
        <w:rPr>
          <w:sz w:val="24"/>
          <w:szCs w:val="24"/>
          <w:lang w:val="en-US"/>
        </w:rPr>
        <w:t>. W</w:t>
      </w:r>
      <w:r w:rsidRPr="7B874FF8">
        <w:rPr>
          <w:sz w:val="24"/>
          <w:szCs w:val="24"/>
          <w:lang w:val="en-US"/>
        </w:rPr>
        <w:t>hite cells denote zero abundance</w:t>
      </w:r>
      <w:r>
        <w:rPr>
          <w:sz w:val="24"/>
          <w:szCs w:val="24"/>
          <w:lang w:val="en-US"/>
        </w:rPr>
        <w:t xml:space="preserve">. </w:t>
      </w:r>
      <w:r w:rsidRPr="7B874FF8">
        <w:rPr>
          <w:sz w:val="24"/>
          <w:szCs w:val="24"/>
          <w:lang w:val="en-US"/>
        </w:rPr>
        <w:t xml:space="preserve">The line plot on top of the heatmap is the </w:t>
      </w:r>
      <w:commentRangeStart w:id="0"/>
      <w:r w:rsidRPr="7B874FF8">
        <w:rPr>
          <w:sz w:val="24"/>
          <w:szCs w:val="24"/>
          <w:lang w:val="en-US"/>
        </w:rPr>
        <w:t>Shannon Diversity Index</w:t>
      </w:r>
      <w:commentRangeEnd w:id="0"/>
      <w:r>
        <w:rPr>
          <w:rStyle w:val="CommentReference"/>
          <w:sz w:val="24"/>
          <w:szCs w:val="24"/>
          <w:lang w:val="en-US"/>
        </w:rPr>
        <w:commentReference w:id="0"/>
      </w:r>
      <w:r>
        <w:rPr>
          <w:sz w:val="24"/>
          <w:szCs w:val="24"/>
          <w:lang w:val="en-US"/>
        </w:rPr>
        <w:t xml:space="preserve">. </w:t>
      </w:r>
    </w:p>
    <w:p w14:paraId="0F766E55" w14:textId="77777777" w:rsidR="00B27956" w:rsidRDefault="00B27956" w:rsidP="00B27956">
      <w:pPr>
        <w:spacing w:after="0" w:line="360" w:lineRule="auto"/>
        <w:jc w:val="both"/>
        <w:rPr>
          <w:sz w:val="24"/>
          <w:szCs w:val="24"/>
          <w:lang w:val="en-US"/>
        </w:rPr>
      </w:pPr>
    </w:p>
    <w:p w14:paraId="76496ED4" w14:textId="76BCC55D" w:rsidR="00B27956" w:rsidRPr="00427B5F" w:rsidRDefault="00CF3C66" w:rsidP="00B27956">
      <w:pPr>
        <w:spacing w:after="0" w:line="360" w:lineRule="auto"/>
        <w:jc w:val="both"/>
        <w:rPr>
          <w:sz w:val="24"/>
          <w:szCs w:val="24"/>
          <w:lang w:val="en-US"/>
        </w:rPr>
      </w:pPr>
      <w:r>
        <w:rPr>
          <w:noProof/>
          <w14:ligatures w14:val="standardContextual"/>
        </w:rPr>
        <w:drawing>
          <wp:inline distT="0" distB="0" distL="0" distR="0" wp14:anchorId="42EC7796" wp14:editId="07FFEF8B">
            <wp:extent cx="5943600" cy="4745990"/>
            <wp:effectExtent l="0" t="0" r="0" b="0"/>
            <wp:docPr id="186918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2299" name=""/>
                    <pic:cNvPicPr/>
                  </pic:nvPicPr>
                  <pic:blipFill>
                    <a:blip r:embed="rId11"/>
                    <a:stretch>
                      <a:fillRect/>
                    </a:stretch>
                  </pic:blipFill>
                  <pic:spPr>
                    <a:xfrm>
                      <a:off x="0" y="0"/>
                      <a:ext cx="5943600" cy="4745990"/>
                    </a:xfrm>
                    <a:prstGeom prst="rect">
                      <a:avLst/>
                    </a:prstGeom>
                  </pic:spPr>
                </pic:pic>
              </a:graphicData>
            </a:graphic>
          </wp:inline>
        </w:drawing>
      </w:r>
    </w:p>
    <w:p w14:paraId="7A2DA2DD" w14:textId="5FC13FC6" w:rsidR="00B27956" w:rsidRDefault="00B27956" w:rsidP="00B27956">
      <w:pPr>
        <w:spacing w:after="0" w:line="360" w:lineRule="auto"/>
        <w:jc w:val="both"/>
        <w:rPr>
          <w:sz w:val="24"/>
          <w:szCs w:val="24"/>
          <w:lang w:val="en-US"/>
        </w:rPr>
      </w:pPr>
      <w:r w:rsidRPr="7B874FF8">
        <w:rPr>
          <w:b/>
          <w:bCs/>
          <w:sz w:val="24"/>
          <w:szCs w:val="24"/>
          <w:lang w:val="en-US"/>
        </w:rPr>
        <w:t>Fig</w:t>
      </w:r>
      <w:r>
        <w:rPr>
          <w:b/>
          <w:bCs/>
          <w:sz w:val="24"/>
          <w:szCs w:val="24"/>
          <w:lang w:val="en-US"/>
        </w:rPr>
        <w:t>. 5.</w:t>
      </w:r>
      <w:r w:rsidRPr="7B874FF8">
        <w:rPr>
          <w:sz w:val="24"/>
          <w:szCs w:val="24"/>
          <w:lang w:val="en-US"/>
        </w:rPr>
        <w:t xml:space="preserve">  A clustered heatmap of a correlational matrix of the </w:t>
      </w:r>
      <w:r>
        <w:rPr>
          <w:sz w:val="24"/>
          <w:szCs w:val="24"/>
          <w:lang w:val="en-US"/>
        </w:rPr>
        <w:t>top 10 most abundant ASVs</w:t>
      </w:r>
      <w:r w:rsidRPr="7B874FF8">
        <w:rPr>
          <w:sz w:val="24"/>
          <w:szCs w:val="24"/>
          <w:lang w:val="en-US"/>
        </w:rPr>
        <w:t xml:space="preserve"> </w:t>
      </w:r>
      <w:r>
        <w:rPr>
          <w:sz w:val="24"/>
          <w:szCs w:val="24"/>
          <w:lang w:val="en-US"/>
        </w:rPr>
        <w:t>from the inoculum and</w:t>
      </w:r>
      <w:r w:rsidRPr="005C707C">
        <w:rPr>
          <w:sz w:val="24"/>
          <w:szCs w:val="24"/>
          <w:lang w:val="en-US"/>
        </w:rPr>
        <w:t xml:space="preserve"> samples</w:t>
      </w:r>
      <w:r>
        <w:rPr>
          <w:sz w:val="24"/>
          <w:szCs w:val="24"/>
          <w:lang w:val="en-US"/>
        </w:rPr>
        <w:t xml:space="preserve"> collected d</w:t>
      </w:r>
      <w:r w:rsidRPr="005C707C">
        <w:rPr>
          <w:sz w:val="24"/>
          <w:szCs w:val="24"/>
          <w:lang w:val="en-US"/>
        </w:rPr>
        <w:t>ays 149-300</w:t>
      </w:r>
      <w:r>
        <w:rPr>
          <w:sz w:val="24"/>
          <w:szCs w:val="24"/>
          <w:lang w:val="en-US"/>
        </w:rPr>
        <w:t xml:space="preserve">. </w:t>
      </w:r>
      <w:r w:rsidRPr="005C707C">
        <w:rPr>
          <w:sz w:val="24"/>
          <w:szCs w:val="24"/>
          <w:lang w:val="en-US"/>
        </w:rPr>
        <w:t>The</w:t>
      </w:r>
      <w:r w:rsidRPr="7B874FF8">
        <w:rPr>
          <w:sz w:val="24"/>
          <w:szCs w:val="24"/>
          <w:lang w:val="en-US"/>
        </w:rPr>
        <w:t xml:space="preserve"> </w:t>
      </w:r>
      <w:r>
        <w:rPr>
          <w:sz w:val="24"/>
          <w:szCs w:val="24"/>
          <w:lang w:val="en-US"/>
        </w:rPr>
        <w:t xml:space="preserve">three most abundant </w:t>
      </w:r>
      <w:r w:rsidRPr="7B874FF8">
        <w:rPr>
          <w:sz w:val="24"/>
          <w:szCs w:val="24"/>
          <w:lang w:val="en-US"/>
        </w:rPr>
        <w:t>methanogen</w:t>
      </w:r>
      <w:r>
        <w:rPr>
          <w:sz w:val="24"/>
          <w:szCs w:val="24"/>
          <w:lang w:val="en-US"/>
        </w:rPr>
        <w:t>ic</w:t>
      </w:r>
      <w:r w:rsidRPr="7B874FF8">
        <w:rPr>
          <w:sz w:val="24"/>
          <w:szCs w:val="24"/>
          <w:lang w:val="en-US"/>
        </w:rPr>
        <w:t xml:space="preserve"> taxa are </w:t>
      </w:r>
      <w:r>
        <w:rPr>
          <w:sz w:val="24"/>
          <w:szCs w:val="24"/>
          <w:lang w:val="en-US"/>
        </w:rPr>
        <w:t xml:space="preserve">bolded and </w:t>
      </w:r>
      <w:r w:rsidRPr="7B874FF8">
        <w:rPr>
          <w:sz w:val="24"/>
          <w:szCs w:val="24"/>
          <w:lang w:val="en-US"/>
        </w:rPr>
        <w:t>boxed to facilitate identifying the flanking community members that are most associated</w:t>
      </w:r>
      <w:r>
        <w:rPr>
          <w:sz w:val="24"/>
          <w:szCs w:val="24"/>
          <w:lang w:val="en-US"/>
        </w:rPr>
        <w:t xml:space="preserve">. </w:t>
      </w:r>
      <w:r w:rsidRPr="7B874FF8">
        <w:rPr>
          <w:sz w:val="24"/>
          <w:szCs w:val="24"/>
          <w:lang w:val="en-US"/>
        </w:rPr>
        <w:t xml:space="preserve">The correlations of relative abundances between the respective row and column members are </w:t>
      </w:r>
      <w:r>
        <w:rPr>
          <w:sz w:val="24"/>
          <w:szCs w:val="24"/>
          <w:lang w:val="en-US"/>
        </w:rPr>
        <w:t>Spearman’s rank c</w:t>
      </w:r>
      <w:r w:rsidRPr="7B874FF8">
        <w:rPr>
          <w:sz w:val="24"/>
          <w:szCs w:val="24"/>
          <w:lang w:val="en-US"/>
        </w:rPr>
        <w:t>orrelation</w:t>
      </w:r>
      <w:r>
        <w:rPr>
          <w:sz w:val="24"/>
          <w:szCs w:val="24"/>
          <w:lang w:val="en-US"/>
        </w:rPr>
        <w:t xml:space="preserve"> coefficients</w:t>
      </w:r>
      <w:r w:rsidRPr="7B874FF8">
        <w:rPr>
          <w:sz w:val="24"/>
          <w:szCs w:val="24"/>
          <w:lang w:val="en-US"/>
        </w:rPr>
        <w:t xml:space="preserve">, where the diagonal is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 by definition</w:t>
      </w:r>
      <w:r>
        <w:rPr>
          <w:sz w:val="24"/>
          <w:szCs w:val="24"/>
          <w:lang w:val="en-US"/>
        </w:rPr>
        <w:t xml:space="preserve">. </w:t>
      </w:r>
      <w:r w:rsidRPr="7B874FF8">
        <w:rPr>
          <w:sz w:val="24"/>
          <w:szCs w:val="24"/>
          <w:lang w:val="en-US"/>
        </w:rPr>
        <w:t xml:space="preserve">The heatmap ranges from blue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1, white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0, and red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w:t>
      </w:r>
      <w:r>
        <w:rPr>
          <w:sz w:val="24"/>
          <w:szCs w:val="24"/>
          <w:lang w:val="en-US"/>
        </w:rPr>
        <w:t>. All associations presented here are statistically significant correlations (p &lt; 0.05).</w:t>
      </w:r>
    </w:p>
    <w:p w14:paraId="0A92B620" w14:textId="77777777" w:rsidR="00B27956" w:rsidRPr="00BE70F3" w:rsidRDefault="00B27956" w:rsidP="00B27956">
      <w:pPr>
        <w:spacing w:after="0" w:line="360" w:lineRule="auto"/>
        <w:jc w:val="both"/>
        <w:rPr>
          <w:sz w:val="24"/>
          <w:szCs w:val="24"/>
          <w:lang w:val="en-US"/>
        </w:rPr>
      </w:pPr>
      <w:r w:rsidRPr="001648F6">
        <w:rPr>
          <w:noProof/>
          <w:sz w:val="24"/>
          <w:szCs w:val="24"/>
          <w:lang w:val="en-US"/>
        </w:rPr>
        <w:lastRenderedPageBreak/>
        <w:drawing>
          <wp:inline distT="0" distB="0" distL="0" distR="0" wp14:anchorId="14B22759" wp14:editId="119C467E">
            <wp:extent cx="4375785" cy="8229600"/>
            <wp:effectExtent l="0" t="0" r="5715" b="0"/>
            <wp:docPr id="943470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5785" cy="8229600"/>
                    </a:xfrm>
                    <a:prstGeom prst="rect">
                      <a:avLst/>
                    </a:prstGeom>
                    <a:noFill/>
                    <a:ln>
                      <a:noFill/>
                    </a:ln>
                  </pic:spPr>
                </pic:pic>
              </a:graphicData>
            </a:graphic>
          </wp:inline>
        </w:drawing>
      </w:r>
    </w:p>
    <w:p w14:paraId="3961B24E" w14:textId="77777777" w:rsidR="00B27956" w:rsidRDefault="00B27956" w:rsidP="00B27956">
      <w:pPr>
        <w:spacing w:after="0" w:line="360" w:lineRule="auto"/>
        <w:jc w:val="both"/>
        <w:rPr>
          <w:sz w:val="24"/>
          <w:szCs w:val="24"/>
          <w:lang w:val="en-US"/>
        </w:rPr>
      </w:pPr>
    </w:p>
    <w:p w14:paraId="29AB64C9" w14:textId="58055D43" w:rsidR="00B27956" w:rsidRDefault="00B27956" w:rsidP="00B27956">
      <w:pPr>
        <w:spacing w:after="0" w:line="360" w:lineRule="auto"/>
        <w:jc w:val="both"/>
        <w:rPr>
          <w:sz w:val="24"/>
          <w:szCs w:val="24"/>
          <w:lang w:val="en-US"/>
        </w:rPr>
      </w:pPr>
      <w:r w:rsidRPr="7B874FF8">
        <w:rPr>
          <w:b/>
          <w:bCs/>
          <w:sz w:val="24"/>
          <w:szCs w:val="24"/>
          <w:lang w:val="en-US"/>
        </w:rPr>
        <w:t>Fig</w:t>
      </w:r>
      <w:r>
        <w:rPr>
          <w:b/>
          <w:bCs/>
          <w:sz w:val="24"/>
          <w:szCs w:val="24"/>
          <w:lang w:val="en-US"/>
        </w:rPr>
        <w:t>. 6.</w:t>
      </w:r>
      <w:r w:rsidRPr="7B874FF8">
        <w:rPr>
          <w:sz w:val="24"/>
          <w:szCs w:val="24"/>
          <w:lang w:val="en-US"/>
        </w:rPr>
        <w:t xml:space="preserve">  A clustered heatmap of a correlational matrix of the </w:t>
      </w:r>
      <w:r>
        <w:rPr>
          <w:sz w:val="24"/>
          <w:szCs w:val="24"/>
          <w:lang w:val="en-US"/>
        </w:rPr>
        <w:t>top 10 most abundant ASVs</w:t>
      </w:r>
      <w:r w:rsidRPr="7B874FF8">
        <w:rPr>
          <w:sz w:val="24"/>
          <w:szCs w:val="24"/>
          <w:lang w:val="en-US"/>
        </w:rPr>
        <w:t xml:space="preserve"> </w:t>
      </w:r>
      <w:r>
        <w:rPr>
          <w:sz w:val="24"/>
          <w:szCs w:val="24"/>
          <w:lang w:val="en-US"/>
        </w:rPr>
        <w:t>from the inoculum and</w:t>
      </w:r>
      <w:r w:rsidRPr="005C707C">
        <w:rPr>
          <w:sz w:val="24"/>
          <w:szCs w:val="24"/>
          <w:lang w:val="en-US"/>
        </w:rPr>
        <w:t xml:space="preserve"> samples</w:t>
      </w:r>
      <w:r>
        <w:rPr>
          <w:sz w:val="24"/>
          <w:szCs w:val="24"/>
          <w:lang w:val="en-US"/>
        </w:rPr>
        <w:t xml:space="preserve"> collected d</w:t>
      </w:r>
      <w:r w:rsidRPr="005C707C">
        <w:rPr>
          <w:sz w:val="24"/>
          <w:szCs w:val="24"/>
          <w:lang w:val="en-US"/>
        </w:rPr>
        <w:t>ays 149-300</w:t>
      </w:r>
      <w:r>
        <w:rPr>
          <w:sz w:val="24"/>
          <w:szCs w:val="24"/>
          <w:lang w:val="en-US"/>
        </w:rPr>
        <w:t xml:space="preserve"> relative to </w:t>
      </w:r>
      <w:r w:rsidR="00FB698A">
        <w:rPr>
          <w:sz w:val="24"/>
          <w:szCs w:val="24"/>
          <w:lang w:val="en-US"/>
        </w:rPr>
        <w:t>1) the molar H</w:t>
      </w:r>
      <w:r w:rsidR="00FB698A" w:rsidRPr="00FB698A">
        <w:rPr>
          <w:sz w:val="24"/>
          <w:szCs w:val="24"/>
          <w:vertAlign w:val="subscript"/>
          <w:lang w:val="en-US"/>
        </w:rPr>
        <w:t>2</w:t>
      </w:r>
      <w:r w:rsidR="00FB698A">
        <w:rPr>
          <w:sz w:val="24"/>
          <w:szCs w:val="24"/>
          <w:lang w:val="en-US"/>
        </w:rPr>
        <w:t xml:space="preserve"> loading rate and 2) the molar rate of H</w:t>
      </w:r>
      <w:r w:rsidR="00FB698A" w:rsidRPr="00FB698A">
        <w:rPr>
          <w:sz w:val="24"/>
          <w:szCs w:val="24"/>
          <w:vertAlign w:val="subscript"/>
          <w:lang w:val="en-US"/>
        </w:rPr>
        <w:t>2</w:t>
      </w:r>
      <w:r w:rsidR="00FB698A">
        <w:rPr>
          <w:sz w:val="24"/>
          <w:szCs w:val="24"/>
          <w:lang w:val="en-US"/>
        </w:rPr>
        <w:t xml:space="preserve"> breakthrough in the product gas</w:t>
      </w:r>
      <w:r>
        <w:rPr>
          <w:sz w:val="24"/>
          <w:szCs w:val="24"/>
          <w:lang w:val="en-US"/>
        </w:rPr>
        <w:t xml:space="preserve">. </w:t>
      </w:r>
      <w:r w:rsidRPr="005C707C">
        <w:rPr>
          <w:sz w:val="24"/>
          <w:szCs w:val="24"/>
          <w:lang w:val="en-US"/>
        </w:rPr>
        <w:t>The</w:t>
      </w:r>
      <w:r w:rsidRPr="7B874FF8">
        <w:rPr>
          <w:sz w:val="24"/>
          <w:szCs w:val="24"/>
          <w:lang w:val="en-US"/>
        </w:rPr>
        <w:t xml:space="preserve"> methanogen</w:t>
      </w:r>
      <w:r>
        <w:rPr>
          <w:sz w:val="24"/>
          <w:szCs w:val="24"/>
          <w:lang w:val="en-US"/>
        </w:rPr>
        <w:t>ic</w:t>
      </w:r>
      <w:r w:rsidRPr="7B874FF8">
        <w:rPr>
          <w:sz w:val="24"/>
          <w:szCs w:val="24"/>
          <w:lang w:val="en-US"/>
        </w:rPr>
        <w:t xml:space="preserve"> taxa are </w:t>
      </w:r>
      <w:r>
        <w:rPr>
          <w:sz w:val="24"/>
          <w:szCs w:val="24"/>
          <w:lang w:val="en-US"/>
        </w:rPr>
        <w:t xml:space="preserve">bolded and </w:t>
      </w:r>
      <w:r w:rsidRPr="7B874FF8">
        <w:rPr>
          <w:sz w:val="24"/>
          <w:szCs w:val="24"/>
          <w:lang w:val="en-US"/>
        </w:rPr>
        <w:t>boxed</w:t>
      </w:r>
      <w:r>
        <w:rPr>
          <w:sz w:val="24"/>
          <w:szCs w:val="24"/>
          <w:lang w:val="en-US"/>
        </w:rPr>
        <w:t xml:space="preserve">. </w:t>
      </w:r>
      <w:r w:rsidRPr="7B874FF8">
        <w:rPr>
          <w:sz w:val="24"/>
          <w:szCs w:val="24"/>
          <w:lang w:val="en-US"/>
        </w:rPr>
        <w:t xml:space="preserve">The correlations of relative abundances between the respective row and column members are </w:t>
      </w:r>
      <w:r>
        <w:rPr>
          <w:sz w:val="24"/>
          <w:szCs w:val="24"/>
          <w:lang w:val="en-US"/>
        </w:rPr>
        <w:t>Spearman’s rank c</w:t>
      </w:r>
      <w:r w:rsidRPr="7B874FF8">
        <w:rPr>
          <w:sz w:val="24"/>
          <w:szCs w:val="24"/>
          <w:lang w:val="en-US"/>
        </w:rPr>
        <w:t>orrelation</w:t>
      </w:r>
      <w:r>
        <w:rPr>
          <w:sz w:val="24"/>
          <w:szCs w:val="24"/>
          <w:lang w:val="en-US"/>
        </w:rPr>
        <w:t xml:space="preserve"> coefficients</w:t>
      </w:r>
      <w:r w:rsidRPr="7B874FF8">
        <w:rPr>
          <w:sz w:val="24"/>
          <w:szCs w:val="24"/>
          <w:lang w:val="en-US"/>
        </w:rPr>
        <w:t xml:space="preserve">, where the diagonal is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 by definition</w:t>
      </w:r>
      <w:r>
        <w:rPr>
          <w:sz w:val="24"/>
          <w:szCs w:val="24"/>
          <w:lang w:val="en-US"/>
        </w:rPr>
        <w:t xml:space="preserve">. </w:t>
      </w:r>
      <w:r w:rsidRPr="7B874FF8">
        <w:rPr>
          <w:sz w:val="24"/>
          <w:szCs w:val="24"/>
          <w:lang w:val="en-US"/>
        </w:rPr>
        <w:t xml:space="preserve">The heatmap ranges from blue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1, white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 xml:space="preserve">0, and red at </w:t>
      </w:r>
      <w:r>
        <w:rPr>
          <w:sz w:val="24"/>
          <w:szCs w:val="24"/>
          <w:lang w:val="en-US"/>
        </w:rPr>
        <w:t>ρ </w:t>
      </w:r>
      <w:r w:rsidRPr="7B874FF8">
        <w:rPr>
          <w:sz w:val="24"/>
          <w:szCs w:val="24"/>
          <w:lang w:val="en-US"/>
        </w:rPr>
        <w:t>=</w:t>
      </w:r>
      <w:r>
        <w:rPr>
          <w:sz w:val="24"/>
          <w:szCs w:val="24"/>
          <w:lang w:val="en-US"/>
        </w:rPr>
        <w:t> </w:t>
      </w:r>
      <w:r w:rsidRPr="7B874FF8">
        <w:rPr>
          <w:sz w:val="24"/>
          <w:szCs w:val="24"/>
          <w:lang w:val="en-US"/>
        </w:rPr>
        <w:t>-1</w:t>
      </w:r>
      <w:r>
        <w:rPr>
          <w:sz w:val="24"/>
          <w:szCs w:val="24"/>
          <w:lang w:val="en-US"/>
        </w:rPr>
        <w:t xml:space="preserve">. </w:t>
      </w:r>
      <w:r w:rsidR="00FB698A">
        <w:rPr>
          <w:sz w:val="24"/>
          <w:szCs w:val="24"/>
          <w:lang w:val="en-US"/>
        </w:rPr>
        <w:t xml:space="preserve">Green box outlines indicate </w:t>
      </w:r>
      <w:r>
        <w:rPr>
          <w:sz w:val="24"/>
          <w:szCs w:val="24"/>
          <w:lang w:val="en-US"/>
        </w:rPr>
        <w:t>statistically significant correlations (p &lt; 0.05).</w:t>
      </w:r>
    </w:p>
    <w:p w14:paraId="3F749373" w14:textId="77777777" w:rsidR="00B27956" w:rsidRDefault="00B27956" w:rsidP="00B27956">
      <w:pPr>
        <w:spacing w:after="0" w:line="360" w:lineRule="auto"/>
        <w:jc w:val="both"/>
        <w:rPr>
          <w:sz w:val="24"/>
          <w:szCs w:val="24"/>
          <w:lang w:val="en-US"/>
        </w:rPr>
      </w:pPr>
    </w:p>
    <w:p w14:paraId="2E496158" w14:textId="77777777" w:rsidR="00B27956" w:rsidRDefault="00B27956" w:rsidP="00B27956">
      <w:pPr>
        <w:spacing w:after="0" w:line="360" w:lineRule="auto"/>
        <w:jc w:val="both"/>
        <w:rPr>
          <w:sz w:val="24"/>
          <w:szCs w:val="24"/>
          <w:lang w:val="en-US"/>
        </w:rPr>
      </w:pPr>
    </w:p>
    <w:p w14:paraId="3079CFAE" w14:textId="77777777" w:rsidR="00B27956" w:rsidRDefault="00B27956" w:rsidP="00B27956">
      <w:pPr>
        <w:spacing w:after="0" w:line="360" w:lineRule="auto"/>
        <w:jc w:val="both"/>
        <w:rPr>
          <w:sz w:val="24"/>
          <w:szCs w:val="24"/>
          <w:lang w:val="en-US"/>
        </w:rPr>
      </w:pPr>
    </w:p>
    <w:p w14:paraId="2C48B016" w14:textId="77777777" w:rsidR="00B27956" w:rsidRDefault="00B27956"/>
    <w:sectPr w:rsidR="00B279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Freiburger" w:date="2026-01-17T06:21:00Z" w:initials="">
    <w:p w14:paraId="68491F8B" w14:textId="77777777" w:rsidR="00B27956" w:rsidRDefault="00B2795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citation needed here for Shannon Diversity Index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491F8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491F8B" w16cid:durableId="7F9B03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Freiburger">
    <w15:presenceInfo w15:providerId="AD" w15:userId="S::hyw0849@ads.northwestern.edu::8ea98f6e-72c9-4c75-8fd0-2c7c4b5007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DC6"/>
    <w:rsid w:val="00011B18"/>
    <w:rsid w:val="005C011C"/>
    <w:rsid w:val="00A8611B"/>
    <w:rsid w:val="00B27956"/>
    <w:rsid w:val="00B94AAA"/>
    <w:rsid w:val="00CF3C66"/>
    <w:rsid w:val="00DF7DC6"/>
    <w:rsid w:val="00F03184"/>
    <w:rsid w:val="00FB04A4"/>
    <w:rsid w:val="00FB6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97AD"/>
  <w15:chartTrackingRefBased/>
  <w15:docId w15:val="{2B0164D4-9074-41F0-A1E1-EC3AD44B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956"/>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DF7DC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F7DC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F7DC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F7DC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F7DC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F7DC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F7DC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F7DC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F7DC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DC6"/>
    <w:rPr>
      <w:rFonts w:eastAsiaTheme="majorEastAsia" w:cstheme="majorBidi"/>
      <w:color w:val="272727" w:themeColor="text1" w:themeTint="D8"/>
    </w:rPr>
  </w:style>
  <w:style w:type="paragraph" w:styleId="Title">
    <w:name w:val="Title"/>
    <w:basedOn w:val="Normal"/>
    <w:next w:val="Normal"/>
    <w:link w:val="TitleChar"/>
    <w:uiPriority w:val="10"/>
    <w:qFormat/>
    <w:rsid w:val="00DF7DC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F7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DC6"/>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F7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DC6"/>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F7DC6"/>
    <w:rPr>
      <w:i/>
      <w:iCs/>
      <w:color w:val="404040" w:themeColor="text1" w:themeTint="BF"/>
    </w:rPr>
  </w:style>
  <w:style w:type="paragraph" w:styleId="ListParagraph">
    <w:name w:val="List Paragraph"/>
    <w:basedOn w:val="Normal"/>
    <w:uiPriority w:val="34"/>
    <w:qFormat/>
    <w:rsid w:val="00DF7DC6"/>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F7DC6"/>
    <w:rPr>
      <w:i/>
      <w:iCs/>
      <w:color w:val="2F5496" w:themeColor="accent1" w:themeShade="BF"/>
    </w:rPr>
  </w:style>
  <w:style w:type="paragraph" w:styleId="IntenseQuote">
    <w:name w:val="Intense Quote"/>
    <w:basedOn w:val="Normal"/>
    <w:next w:val="Normal"/>
    <w:link w:val="IntenseQuoteChar"/>
    <w:uiPriority w:val="30"/>
    <w:qFormat/>
    <w:rsid w:val="00DF7DC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F7DC6"/>
    <w:rPr>
      <w:i/>
      <w:iCs/>
      <w:color w:val="2F5496" w:themeColor="accent1" w:themeShade="BF"/>
    </w:rPr>
  </w:style>
  <w:style w:type="character" w:styleId="IntenseReference">
    <w:name w:val="Intense Reference"/>
    <w:basedOn w:val="DefaultParagraphFont"/>
    <w:uiPriority w:val="32"/>
    <w:qFormat/>
    <w:rsid w:val="00DF7DC6"/>
    <w:rPr>
      <w:b/>
      <w:bCs/>
      <w:smallCaps/>
      <w:color w:val="2F5496" w:themeColor="accent1" w:themeShade="BF"/>
      <w:spacing w:val="5"/>
    </w:rPr>
  </w:style>
  <w:style w:type="character" w:styleId="CommentReference">
    <w:name w:val="annotation reference"/>
    <w:basedOn w:val="DefaultParagraphFont"/>
    <w:uiPriority w:val="99"/>
    <w:semiHidden/>
    <w:unhideWhenUsed/>
    <w:rsid w:val="00B27956"/>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image" Target="media/image1.png"/><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Nielsen</dc:creator>
  <cp:keywords/>
  <dc:description/>
  <cp:lastModifiedBy>Heather Nielsen</cp:lastModifiedBy>
  <cp:revision>4</cp:revision>
  <dcterms:created xsi:type="dcterms:W3CDTF">2026-03-21T21:58:00Z</dcterms:created>
  <dcterms:modified xsi:type="dcterms:W3CDTF">2026-03-23T00:18:00Z</dcterms:modified>
</cp:coreProperties>
</file>