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 xml:space="preserve">Niels J. de Winter, Michiel Baatsen, Pepijn Bakker, Alexander </w:t>
      </w:r>
      <w:proofErr w:type="spellStart"/>
      <w:r w:rsidRPr="00256EAA">
        <w:rPr>
          <w:sz w:val="22"/>
          <w:szCs w:val="22"/>
          <w:lang w:val="nl-NL"/>
        </w:rPr>
        <w:t>Farnsworth</w:t>
      </w:r>
      <w:proofErr w:type="spellEnd"/>
      <w:r w:rsidRPr="00256EAA">
        <w:rPr>
          <w:sz w:val="22"/>
          <w:szCs w:val="22"/>
          <w:lang w:val="nl-NL"/>
        </w:rPr>
        <w:t>,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 xml:space="preserve">routine for assimilating sub-annual paleoclimate data with monthly climate model simulations. The aim of this contribution is to lay the groundwork for data assimilation of paleoclimate data on the seasonal to monthly scale, making data assimilation accessible for </w:t>
      </w:r>
      <w:proofErr w:type="spellStart"/>
      <w:r w:rsidR="00F4367D" w:rsidRPr="00256EAA">
        <w:rPr>
          <w:sz w:val="22"/>
          <w:szCs w:val="22"/>
          <w:lang w:val="en-GB"/>
        </w:rPr>
        <w:t>sclerochronologists</w:t>
      </w:r>
      <w:proofErr w:type="spellEnd"/>
      <w:r w:rsidR="00F4367D" w:rsidRPr="00256EAA">
        <w:rPr>
          <w:sz w:val="22"/>
          <w:szCs w:val="22"/>
          <w:lang w:val="en-GB"/>
        </w:rPr>
        <w:t>,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xml:space="preserve">. However, the various </w:t>
      </w:r>
      <w:proofErr w:type="spellStart"/>
      <w:r w:rsidR="00A90835" w:rsidRPr="00256EAA">
        <w:rPr>
          <w:sz w:val="22"/>
          <w:szCs w:val="22"/>
          <w:lang w:val="en-GB"/>
        </w:rPr>
        <w:t>spatio</w:t>
      </w:r>
      <w:proofErr w:type="spellEnd"/>
      <w:r w:rsidR="00A90835" w:rsidRPr="00256EAA">
        <w:rPr>
          <w:sz w:val="22"/>
          <w:szCs w:val="22"/>
          <w:lang w:val="en-GB"/>
        </w:rPr>
        <w:t>-temporal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w:t>
      </w:r>
      <w:proofErr w:type="spellStart"/>
      <w:r w:rsidR="00BB6B72" w:rsidRPr="00256EAA">
        <w:rPr>
          <w:sz w:val="22"/>
          <w:szCs w:val="22"/>
          <w:lang w:val="en-GB"/>
        </w:rPr>
        <w:t>paleoDA</w:t>
      </w:r>
      <w:proofErr w:type="spellEnd"/>
      <w:r w:rsidR="00BB6B72" w:rsidRPr="00256EAA">
        <w:rPr>
          <w:sz w:val="22"/>
          <w:szCs w:val="22"/>
          <w:lang w:val="en-GB"/>
        </w:rPr>
        <w:t xml:space="preserve">)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w:t>
      </w:r>
      <w:proofErr w:type="spellStart"/>
      <w:r w:rsidR="00BB6B72" w:rsidRPr="00256EAA">
        <w:rPr>
          <w:sz w:val="22"/>
          <w:szCs w:val="22"/>
          <w:lang w:val="en-GB"/>
        </w:rPr>
        <w:t>paleoDA</w:t>
      </w:r>
      <w:proofErr w:type="spellEnd"/>
      <w:r w:rsidR="00BB6B72" w:rsidRPr="00256EAA">
        <w:rPr>
          <w:sz w:val="22"/>
          <w:szCs w:val="22"/>
          <w:lang w:val="en-GB"/>
        </w:rPr>
        <w:t xml:space="preserve">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proofErr w:type="spellStart"/>
      <w:r w:rsidRPr="00256EAA">
        <w:rPr>
          <w:sz w:val="22"/>
          <w:szCs w:val="22"/>
          <w:lang w:val="en-GB"/>
        </w:rPr>
        <w:t>Paleo</w:t>
      </w:r>
      <w:r w:rsidR="0074454F" w:rsidRPr="00256EAA">
        <w:rPr>
          <w:sz w:val="22"/>
          <w:szCs w:val="22"/>
          <w:lang w:val="en-GB"/>
        </w:rPr>
        <w:t>DA</w:t>
      </w:r>
      <w:proofErr w:type="spellEnd"/>
      <w:r w:rsidR="0074454F" w:rsidRPr="00256EAA">
        <w:rPr>
          <w:sz w:val="22"/>
          <w:szCs w:val="22"/>
          <w:lang w:val="en-GB"/>
        </w:rPr>
        <w:t xml:space="preserve">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B844C9">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B844C9">
        <w:rPr>
          <w:sz w:val="22"/>
          <w:szCs w:val="22"/>
          <w:lang w:val="nl-NL"/>
        </w:rPr>
        <w:instrText xml:space="preserve">18O and </w:instrText>
      </w:r>
      <w:r w:rsidRPr="00256EAA">
        <w:rPr>
          <w:sz w:val="22"/>
          <w:szCs w:val="22"/>
          <w:lang w:val="en-GB"/>
        </w:rPr>
        <w:instrText>δ</w:instrText>
      </w:r>
      <w:r w:rsidRPr="00B844C9">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(Brocas et al., 2016; Gagan et al., 1994; Watanabe et al., 2001)</w:t>
      </w:r>
      <w:r w:rsidRPr="00256EAA">
        <w:rPr>
          <w:sz w:val="22"/>
          <w:szCs w:val="22"/>
          <w:lang w:val="en-GB"/>
        </w:rPr>
        <w:fldChar w:fldCharType="end"/>
      </w:r>
      <w:r w:rsidRPr="00256EAA">
        <w:rPr>
          <w:sz w:val="22"/>
          <w:szCs w:val="22"/>
          <w:lang w:val="nl-NL"/>
        </w:rPr>
        <w:t xml:space="preserve">, </w:t>
      </w:r>
      <w:proofErr w:type="spellStart"/>
      <w:r w:rsidR="001F00C1" w:rsidRPr="00256EAA">
        <w:rPr>
          <w:sz w:val="22"/>
          <w:szCs w:val="22"/>
          <w:lang w:val="nl-NL"/>
        </w:rPr>
        <w:t>sclerosponges</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w:t>
      </w:r>
      <w:proofErr w:type="spellStart"/>
      <w:r w:rsidR="001F00C1" w:rsidRPr="00256EAA">
        <w:rPr>
          <w:sz w:val="22"/>
          <w:szCs w:val="22"/>
          <w:lang w:val="nl-NL"/>
        </w:rPr>
        <w:t>tooth</w:t>
      </w:r>
      <w:proofErr w:type="spellEnd"/>
      <w:r w:rsidR="001F00C1" w:rsidRPr="00256EAA">
        <w:rPr>
          <w:sz w:val="22"/>
          <w:szCs w:val="22"/>
          <w:lang w:val="nl-NL"/>
        </w:rPr>
        <w:t xml:space="preserve"> </w:t>
      </w:r>
      <w:proofErr w:type="spellStart"/>
      <w:r w:rsidR="001F00C1" w:rsidRPr="00256EAA">
        <w:rPr>
          <w:sz w:val="22"/>
          <w:szCs w:val="22"/>
          <w:lang w:val="nl-NL"/>
        </w:rPr>
        <w:t>bioapatite</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w:t>
      </w:r>
      <w:proofErr w:type="spellStart"/>
      <w:r w:rsidR="007A06F2" w:rsidRPr="00256EAA">
        <w:rPr>
          <w:sz w:val="22"/>
          <w:szCs w:val="22"/>
          <w:lang w:val="en-GB"/>
        </w:rPr>
        <w:t>sclerochronology</w:t>
      </w:r>
      <w:proofErr w:type="spellEnd"/>
      <w:r w:rsidR="007A06F2" w:rsidRPr="00256EAA">
        <w:rPr>
          <w:sz w:val="22"/>
          <w:szCs w:val="22"/>
          <w:lang w:val="en-GB"/>
        </w:rPr>
        <w:t>,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w:t>
      </w:r>
      <w:proofErr w:type="spellStart"/>
      <w:r w:rsidR="00C56E81" w:rsidRPr="00256EAA">
        <w:rPr>
          <w:sz w:val="22"/>
          <w:szCs w:val="22"/>
          <w:lang w:val="en-GB"/>
        </w:rPr>
        <w:t>paleothermometry</w:t>
      </w:r>
      <w:proofErr w:type="spellEnd"/>
      <w:r w:rsidR="00C56E81" w:rsidRPr="00256EAA">
        <w:rPr>
          <w:sz w:val="22"/>
          <w:szCs w:val="22"/>
          <w:lang w:val="en-GB"/>
        </w:rPr>
        <w:t xml:space="preserve">,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3B7AB872"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w:t>
      </w:r>
      <w:proofErr w:type="spellStart"/>
      <w:r w:rsidRPr="00256EAA">
        <w:rPr>
          <w:sz w:val="22"/>
          <w:szCs w:val="22"/>
          <w:lang w:val="en-GB"/>
        </w:rPr>
        <w:t>paleoDA</w:t>
      </w:r>
      <w:proofErr w:type="spellEnd"/>
      <w:r w:rsidRPr="00256EAA">
        <w:rPr>
          <w:sz w:val="22"/>
          <w:szCs w:val="22"/>
          <w:lang w:val="en-GB"/>
        </w:rPr>
        <w:t xml:space="preserve"> studies ass</w:t>
      </w:r>
      <w:r w:rsidR="003E7FF0">
        <w:rPr>
          <w:sz w:val="22"/>
          <w:szCs w:val="22"/>
          <w:lang w:val="en-GB"/>
        </w:rPr>
        <w:t>imilate</w:t>
      </w:r>
      <w:r w:rsidRPr="00256EAA">
        <w:rPr>
          <w:sz w:val="22"/>
          <w:szCs w:val="22"/>
          <w:lang w:val="en-GB"/>
        </w:rPr>
        <w:t xml:space="preserv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w:t>
      </w:r>
      <w:proofErr w:type="spellStart"/>
      <w:r w:rsidR="002E575F" w:rsidRPr="00256EAA">
        <w:rPr>
          <w:sz w:val="22"/>
          <w:szCs w:val="22"/>
          <w:lang w:val="en-GB"/>
        </w:rPr>
        <w:t>paleoDA</w:t>
      </w:r>
      <w:proofErr w:type="spellEnd"/>
      <w:r w:rsidR="002E575F" w:rsidRPr="00256EAA">
        <w:rPr>
          <w:sz w:val="22"/>
          <w:szCs w:val="22"/>
          <w:lang w:val="en-GB"/>
        </w:rPr>
        <w:t xml:space="preserve"> studies. As a consequence, sub-annual scale variability in climate parameters is either not included in </w:t>
      </w:r>
      <w:proofErr w:type="spellStart"/>
      <w:r w:rsidR="002E575F" w:rsidRPr="00256EAA">
        <w:rPr>
          <w:sz w:val="22"/>
          <w:szCs w:val="22"/>
          <w:lang w:val="en-GB"/>
        </w:rPr>
        <w:t>paleoDA</w:t>
      </w:r>
      <w:proofErr w:type="spellEnd"/>
      <w:r w:rsidR="002E575F" w:rsidRPr="00256EAA">
        <w:rPr>
          <w:sz w:val="22"/>
          <w:szCs w:val="22"/>
          <w:lang w:val="en-GB"/>
        </w:rPr>
        <w:t xml:space="preserve">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w:t>
      </w:r>
      <w:r w:rsidRPr="00256EAA">
        <w:rPr>
          <w:sz w:val="22"/>
          <w:szCs w:val="22"/>
          <w:lang w:val="en-GB"/>
        </w:rPr>
        <w:lastRenderedPageBreak/>
        <w:t xml:space="preserve">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 xml:space="preserve">at the sub-annual scale to make the </w:t>
      </w:r>
      <w:proofErr w:type="spellStart"/>
      <w:r w:rsidR="007A06F2" w:rsidRPr="00256EAA">
        <w:rPr>
          <w:sz w:val="22"/>
          <w:szCs w:val="22"/>
          <w:lang w:val="en-GB"/>
        </w:rPr>
        <w:t>paleoDA</w:t>
      </w:r>
      <w:proofErr w:type="spellEnd"/>
      <w:r w:rsidR="007A06F2" w:rsidRPr="00256EAA">
        <w:rPr>
          <w:sz w:val="22"/>
          <w:szCs w:val="22"/>
          <w:lang w:val="en-GB"/>
        </w:rPr>
        <w:t xml:space="preserve"> workflow accessible for researchers in the field of </w:t>
      </w:r>
      <w:proofErr w:type="spellStart"/>
      <w:r w:rsidR="007A06F2" w:rsidRPr="00256EAA">
        <w:rPr>
          <w:sz w:val="22"/>
          <w:szCs w:val="22"/>
          <w:lang w:val="en-GB"/>
        </w:rPr>
        <w:t>sclerochronology</w:t>
      </w:r>
      <w:proofErr w:type="spellEnd"/>
      <w:r w:rsidR="007A06F2" w:rsidRPr="00256EAA">
        <w:rPr>
          <w:sz w:val="22"/>
          <w:szCs w:val="22"/>
          <w:lang w:val="en-GB"/>
        </w:rPr>
        <w:t xml:space="preserve">. Secondly, we apply our </w:t>
      </w:r>
      <w:proofErr w:type="spellStart"/>
      <w:r w:rsidR="007A06F2" w:rsidRPr="00256EAA">
        <w:rPr>
          <w:sz w:val="22"/>
          <w:szCs w:val="22"/>
          <w:lang w:val="en-GB"/>
        </w:rPr>
        <w:t>paleoDA</w:t>
      </w:r>
      <w:proofErr w:type="spellEnd"/>
      <w:r w:rsidR="007A06F2" w:rsidRPr="00256EAA">
        <w:rPr>
          <w:sz w:val="22"/>
          <w:szCs w:val="22"/>
          <w:lang w:val="en-GB"/>
        </w:rPr>
        <w:t xml:space="preserve"> framework to modern and ancient seasonal proxy datasets to test the sensitivity of the </w:t>
      </w:r>
      <w:proofErr w:type="spellStart"/>
      <w:r w:rsidR="007A06F2" w:rsidRPr="00256EAA">
        <w:rPr>
          <w:sz w:val="22"/>
          <w:szCs w:val="22"/>
          <w:lang w:val="en-GB"/>
        </w:rPr>
        <w:t>paleoDA</w:t>
      </w:r>
      <w:proofErr w:type="spellEnd"/>
      <w:r w:rsidR="007A06F2" w:rsidRPr="00256EAA">
        <w:rPr>
          <w:sz w:val="22"/>
          <w:szCs w:val="22"/>
          <w:lang w:val="en-GB"/>
        </w:rPr>
        <w:t xml:space="preserve">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171A919B"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xml:space="preserve">: One modern dataset and three datasets consisting of paleoclimate reconstructions on the </w:t>
      </w:r>
      <w:r w:rsidR="00062C73">
        <w:rPr>
          <w:sz w:val="22"/>
          <w:szCs w:val="22"/>
          <w:lang w:val="en-GB"/>
        </w:rPr>
        <w:t>monthly or seasonal</w:t>
      </w:r>
      <w:r w:rsidR="006E638A" w:rsidRPr="00256EAA">
        <w:rPr>
          <w:sz w:val="22"/>
          <w:szCs w:val="22"/>
          <w:lang w:val="en-GB"/>
        </w:rPr>
        <w:t xml:space="preserve">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325A0024" w:rsidR="00953791" w:rsidRPr="001C3757" w:rsidRDefault="003334B1" w:rsidP="00505760">
      <w:pPr>
        <w:jc w:val="both"/>
        <w:rPr>
          <w:sz w:val="22"/>
          <w:szCs w:val="22"/>
          <w:lang w:val="en-GB"/>
        </w:rPr>
      </w:pPr>
      <w:r w:rsidRPr="00256EAA">
        <w:rPr>
          <w:sz w:val="22"/>
          <w:szCs w:val="22"/>
          <w:lang w:val="en-GB"/>
        </w:rPr>
        <w:t>A modern case study was ass</w:t>
      </w:r>
      <w:r w:rsidR="003E7FF0">
        <w:rPr>
          <w:sz w:val="22"/>
          <w:szCs w:val="22"/>
          <w:lang w:val="en-GB"/>
        </w:rPr>
        <w:t>imilated</w:t>
      </w:r>
      <w:r w:rsidRPr="00256EAA">
        <w:rPr>
          <w:sz w:val="22"/>
          <w:szCs w:val="22"/>
          <w:lang w:val="en-GB"/>
        </w:rPr>
        <w:t xml:space="preserve"> based on the seasonal-scale clumped isotope dataset obtained from two bivalve shells</w:t>
      </w:r>
      <w:r w:rsidR="00062C73">
        <w:rPr>
          <w:sz w:val="22"/>
          <w:szCs w:val="22"/>
          <w:lang w:val="en-GB"/>
        </w:rPr>
        <w:t xml:space="preserve"> (</w:t>
      </w:r>
      <w:proofErr w:type="spellStart"/>
      <w:r w:rsidR="00062C73">
        <w:rPr>
          <w:i/>
          <w:iCs/>
          <w:sz w:val="22"/>
          <w:szCs w:val="22"/>
          <w:lang w:val="en-GB"/>
        </w:rPr>
        <w:t>Megapitaria</w:t>
      </w:r>
      <w:proofErr w:type="spellEnd"/>
      <w:r w:rsidR="00062C73">
        <w:rPr>
          <w:i/>
          <w:iCs/>
          <w:sz w:val="22"/>
          <w:szCs w:val="22"/>
          <w:lang w:val="en-GB"/>
        </w:rPr>
        <w:t xml:space="preserve"> </w:t>
      </w:r>
      <w:proofErr w:type="spellStart"/>
      <w:r w:rsidR="00062C73">
        <w:rPr>
          <w:i/>
          <w:iCs/>
          <w:sz w:val="22"/>
          <w:szCs w:val="22"/>
          <w:lang w:val="en-GB"/>
        </w:rPr>
        <w:t>aurantiaca</w:t>
      </w:r>
      <w:proofErr w:type="spellEnd"/>
      <w:r w:rsidR="00062C73">
        <w:rPr>
          <w:sz w:val="22"/>
          <w:szCs w:val="22"/>
          <w:lang w:val="en-GB"/>
        </w:rPr>
        <w:t xml:space="preserve"> and</w:t>
      </w:r>
      <w:r w:rsidR="00062C73">
        <w:rPr>
          <w:i/>
          <w:iCs/>
          <w:sz w:val="22"/>
          <w:szCs w:val="22"/>
          <w:lang w:val="en-GB"/>
        </w:rPr>
        <w:t xml:space="preserve"> </w:t>
      </w:r>
      <w:proofErr w:type="spellStart"/>
      <w:r w:rsidR="00062C73">
        <w:rPr>
          <w:i/>
          <w:iCs/>
          <w:sz w:val="22"/>
          <w:szCs w:val="22"/>
          <w:lang w:val="en-GB"/>
        </w:rPr>
        <w:t>Argopecten</w:t>
      </w:r>
      <w:proofErr w:type="spellEnd"/>
      <w:r w:rsidR="00062C73">
        <w:rPr>
          <w:i/>
          <w:iCs/>
          <w:sz w:val="22"/>
          <w:szCs w:val="22"/>
          <w:lang w:val="en-GB"/>
        </w:rPr>
        <w:t xml:space="preserve"> </w:t>
      </w:r>
      <w:proofErr w:type="spellStart"/>
      <w:r w:rsidR="00062C73">
        <w:rPr>
          <w:i/>
          <w:iCs/>
          <w:sz w:val="22"/>
          <w:szCs w:val="22"/>
          <w:lang w:val="en-GB"/>
        </w:rPr>
        <w:t>ventricosus</w:t>
      </w:r>
      <w:proofErr w:type="spellEnd"/>
      <w:r w:rsidR="00062C73">
        <w:rPr>
          <w:sz w:val="22"/>
          <w:szCs w:val="22"/>
          <w:lang w:val="en-GB"/>
        </w:rPr>
        <w:t>)</w:t>
      </w:r>
      <w:r w:rsidRPr="00256EAA">
        <w:rPr>
          <w:sz w:val="22"/>
          <w:szCs w:val="22"/>
          <w:lang w:val="en-GB"/>
        </w:rPr>
        <w:t xml:space="preserve">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w:t>
      </w:r>
      <w:proofErr w:type="spellStart"/>
      <w:r w:rsidRPr="00256EAA">
        <w:rPr>
          <w:sz w:val="22"/>
          <w:szCs w:val="22"/>
          <w:lang w:val="en-GB"/>
        </w:rPr>
        <w:t>EarthChem</w:t>
      </w:r>
      <w:proofErr w:type="spellEnd"/>
      <w:r w:rsidRPr="00256EAA">
        <w:rPr>
          <w:sz w:val="22"/>
          <w:szCs w:val="22"/>
          <w:lang w:val="en-GB"/>
        </w:rPr>
        <w:t xml:space="preserve">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r w:rsidR="00062C73">
        <w:rPr>
          <w:sz w:val="22"/>
          <w:szCs w:val="22"/>
          <w:lang w:val="en-GB"/>
        </w:rPr>
        <w:t xml:space="preserve"> This data is presented only against sample number, but the study mentions that daily increments are visible and counted in the shells. We therefore reconstructed the estimated date of shell formation by linking the number of counted increments to </w:t>
      </w:r>
      <w:r w:rsidR="001A621E">
        <w:rPr>
          <w:sz w:val="22"/>
          <w:szCs w:val="22"/>
          <w:lang w:val="en-GB"/>
        </w:rPr>
        <w:t>the sample number for each interval of counted increments in the shells based on the information in section 3.2, Table 1 and Figure 3 in the study</w:t>
      </w:r>
      <w:r w:rsidR="001C3757">
        <w:rPr>
          <w:sz w:val="22"/>
          <w:szCs w:val="22"/>
          <w:lang w:val="en-GB"/>
        </w:rPr>
        <w:t xml:space="preserve">. </w:t>
      </w:r>
      <w:r w:rsidR="001A621E">
        <w:rPr>
          <w:sz w:val="22"/>
          <w:szCs w:val="22"/>
          <w:lang w:val="en-GB"/>
        </w:rPr>
        <w:t xml:space="preserve">For the </w:t>
      </w:r>
      <w:proofErr w:type="spellStart"/>
      <w:r w:rsidR="001A621E">
        <w:rPr>
          <w:i/>
          <w:iCs/>
          <w:sz w:val="22"/>
          <w:szCs w:val="22"/>
          <w:lang w:val="en-GB"/>
        </w:rPr>
        <w:t>Megapitaria</w:t>
      </w:r>
      <w:proofErr w:type="spellEnd"/>
      <w:r w:rsidR="001A621E">
        <w:rPr>
          <w:i/>
          <w:iCs/>
          <w:sz w:val="22"/>
          <w:szCs w:val="22"/>
          <w:lang w:val="en-GB"/>
        </w:rPr>
        <w:t xml:space="preserve"> </w:t>
      </w:r>
      <w:proofErr w:type="spellStart"/>
      <w:r w:rsidR="001A621E">
        <w:rPr>
          <w:i/>
          <w:iCs/>
          <w:sz w:val="22"/>
          <w:szCs w:val="22"/>
          <w:lang w:val="en-GB"/>
        </w:rPr>
        <w:t>aurantiaca</w:t>
      </w:r>
      <w:proofErr w:type="spellEnd"/>
      <w:r w:rsidR="001A621E">
        <w:rPr>
          <w:sz w:val="22"/>
          <w:szCs w:val="22"/>
          <w:lang w:val="en-GB"/>
        </w:rPr>
        <w:t xml:space="preserve"> specimen, we assumed the last-grown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#115) to represent shell growth on October 1</w:t>
      </w:r>
      <w:r w:rsidR="001A621E" w:rsidRPr="001A621E">
        <w:rPr>
          <w:sz w:val="22"/>
          <w:szCs w:val="22"/>
          <w:vertAlign w:val="superscript"/>
          <w:lang w:val="en-GB"/>
        </w:rPr>
        <w:t>st</w:t>
      </w:r>
      <w:r w:rsidR="001A621E">
        <w:rPr>
          <w:sz w:val="22"/>
          <w:szCs w:val="22"/>
          <w:lang w:val="en-GB"/>
        </w:rPr>
        <w:t xml:space="preserve">. For </w:t>
      </w:r>
      <w:proofErr w:type="spellStart"/>
      <w:r w:rsidR="001A621E">
        <w:rPr>
          <w:i/>
          <w:iCs/>
          <w:sz w:val="22"/>
          <w:szCs w:val="22"/>
          <w:lang w:val="en-GB"/>
        </w:rPr>
        <w:t>Argopecten</w:t>
      </w:r>
      <w:proofErr w:type="spellEnd"/>
      <w:r w:rsidR="001A621E">
        <w:rPr>
          <w:i/>
          <w:iCs/>
          <w:sz w:val="22"/>
          <w:szCs w:val="22"/>
          <w:lang w:val="en-GB"/>
        </w:rPr>
        <w:t xml:space="preserve"> </w:t>
      </w:r>
      <w:proofErr w:type="spellStart"/>
      <w:r w:rsidR="001A621E">
        <w:rPr>
          <w:i/>
          <w:iCs/>
          <w:sz w:val="22"/>
          <w:szCs w:val="22"/>
          <w:lang w:val="en-GB"/>
        </w:rPr>
        <w:t>ventricosus</w:t>
      </w:r>
      <w:proofErr w:type="spellEnd"/>
      <w:r w:rsidR="001A621E">
        <w:rPr>
          <w:sz w:val="22"/>
          <w:szCs w:val="22"/>
          <w:lang w:val="en-GB"/>
        </w:rPr>
        <w:t>, the outermost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#2) was assumed to have grown on June 1</w:t>
      </w:r>
      <w:r w:rsidR="001A621E" w:rsidRPr="001A621E">
        <w:rPr>
          <w:sz w:val="22"/>
          <w:szCs w:val="22"/>
          <w:vertAlign w:val="superscript"/>
          <w:lang w:val="en-GB"/>
        </w:rPr>
        <w:t>st</w:t>
      </w:r>
      <w:r w:rsidR="001A621E">
        <w:rPr>
          <w:sz w:val="22"/>
          <w:szCs w:val="22"/>
          <w:lang w:val="en-GB"/>
        </w:rPr>
        <w:t>.</w:t>
      </w:r>
      <w:r w:rsidR="00BB31C9">
        <w:rPr>
          <w:sz w:val="22"/>
          <w:szCs w:val="22"/>
          <w:lang w:val="en-GB"/>
        </w:rPr>
        <w:t xml:space="preserve"> For both specimens, these ontogenetically oldest samples are assumed to have mineralized in 2004 (during the last year before the collection date in February 2005). While this is far from certain, it does not influence the data assimilation outcome, as all data is processed relative to the annual cycle</w:t>
      </w:r>
      <w:r w:rsidR="001C3757">
        <w:rPr>
          <w:sz w:val="22"/>
          <w:szCs w:val="22"/>
          <w:lang w:val="en-GB"/>
        </w:rPr>
        <w:t>.</w:t>
      </w:r>
      <w:r w:rsidR="00BB31C9">
        <w:rPr>
          <w:sz w:val="22"/>
          <w:szCs w:val="22"/>
          <w:lang w:val="en-GB"/>
        </w:rPr>
        <w:t xml:space="preserve"> </w:t>
      </w:r>
      <w:r w:rsidR="001A621E">
        <w:rPr>
          <w:sz w:val="22"/>
          <w:szCs w:val="22"/>
          <w:lang w:val="en-GB"/>
        </w:rPr>
        <w:t xml:space="preserve">From these dates, using the numbers of daily growth increments, we were able estimate the day of growth for each </w:t>
      </w:r>
      <w:r w:rsidR="001C3757">
        <w:rPr>
          <w:sz w:val="22"/>
          <w:szCs w:val="22"/>
          <w:lang w:val="en-GB"/>
        </w:rPr>
        <w:t xml:space="preserve">sample in both shells by counting back the days. All calculations associated with this data pre-processing step are provided in </w:t>
      </w:r>
      <w:commentRangeStart w:id="0"/>
      <w:proofErr w:type="spellStart"/>
      <w:r w:rsidR="001C3757">
        <w:rPr>
          <w:b/>
          <w:bCs/>
          <w:sz w:val="22"/>
          <w:szCs w:val="22"/>
          <w:lang w:val="en-GB"/>
        </w:rPr>
        <w:t>S</w:t>
      </w:r>
      <w:r w:rsidR="008E3D79">
        <w:rPr>
          <w:b/>
          <w:bCs/>
          <w:sz w:val="22"/>
          <w:szCs w:val="22"/>
          <w:lang w:val="en-GB"/>
        </w:rPr>
        <w:t>I</w:t>
      </w:r>
      <w:r w:rsidR="001C3757">
        <w:rPr>
          <w:b/>
          <w:bCs/>
          <w:sz w:val="22"/>
          <w:szCs w:val="22"/>
          <w:lang w:val="en-GB"/>
        </w:rPr>
        <w:t>_Caldarescu_preprocessing</w:t>
      </w:r>
      <w:commentRangeEnd w:id="0"/>
      <w:proofErr w:type="spellEnd"/>
      <w:r w:rsidR="001C3757">
        <w:rPr>
          <w:rStyle w:val="CommentReference"/>
        </w:rPr>
        <w:commentReference w:id="0"/>
      </w:r>
      <w:r w:rsidR="001C3757">
        <w:rPr>
          <w:sz w:val="22"/>
          <w:szCs w:val="22"/>
          <w:lang w:val="en-GB"/>
        </w:rPr>
        <w:t>.</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6B516555" w14:textId="461BEBF5" w:rsidR="00F557E7" w:rsidRDefault="00F557E7" w:rsidP="00505760">
      <w:pPr>
        <w:jc w:val="both"/>
        <w:rPr>
          <w:b/>
          <w:bCs/>
          <w:sz w:val="22"/>
          <w:szCs w:val="22"/>
          <w:lang w:val="en-GB"/>
        </w:rPr>
      </w:pPr>
      <w:r>
        <w:rPr>
          <w:b/>
          <w:bCs/>
          <w:noProof/>
          <w:sz w:val="22"/>
          <w:szCs w:val="22"/>
          <w:lang w:val="en-GB"/>
        </w:rPr>
        <w:lastRenderedPageBreak/>
        <w:drawing>
          <wp:inline distT="0" distB="0" distL="0" distR="0" wp14:anchorId="3837F41D" wp14:editId="2570E611">
            <wp:extent cx="5731412" cy="1889125"/>
            <wp:effectExtent l="0" t="0" r="3175" b="0"/>
            <wp:docPr id="47283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36208"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3A9B9D5A" w14:textId="07D0AB89" w:rsidR="00953791" w:rsidRPr="00256EAA" w:rsidRDefault="00A2177C" w:rsidP="00505760">
      <w:pPr>
        <w:jc w:val="both"/>
        <w:rPr>
          <w:sz w:val="22"/>
          <w:szCs w:val="22"/>
          <w:lang w:val="en-GB"/>
        </w:rPr>
      </w:pPr>
      <w:commentRangeStart w:id="1"/>
      <w:r>
        <w:rPr>
          <w:b/>
          <w:bCs/>
          <w:sz w:val="22"/>
          <w:szCs w:val="22"/>
          <w:lang w:val="en-GB"/>
        </w:rPr>
        <w:t xml:space="preserve">Figure </w:t>
      </w:r>
      <w:commentRangeEnd w:id="1"/>
      <w:r w:rsidR="0006186A">
        <w:rPr>
          <w:rStyle w:val="CommentReference"/>
        </w:rPr>
        <w:commentReference w:id="1"/>
      </w:r>
      <w:r>
        <w:rPr>
          <w:b/>
          <w:bCs/>
          <w:sz w:val="22"/>
          <w:szCs w:val="22"/>
          <w:lang w:val="en-GB"/>
        </w:rPr>
        <w:t>1</w:t>
      </w:r>
      <w:r w:rsidR="00953791">
        <w:rPr>
          <w:sz w:val="22"/>
          <w:szCs w:val="22"/>
          <w:lang w:val="en-GB"/>
        </w:rPr>
        <w:t>: Modern PRIOR (monthly model) and LIKELIHOOD (individual D47 and d18Oc data)</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5E93D24C" w:rsidR="001E50D0" w:rsidRPr="00256EAA" w:rsidRDefault="00FD10E6" w:rsidP="00FD10E6">
      <w:pPr>
        <w:jc w:val="both"/>
        <w:rPr>
          <w:sz w:val="22"/>
          <w:szCs w:val="22"/>
          <w:lang w:val="en-GB"/>
        </w:rPr>
      </w:pPr>
      <w:r w:rsidRPr="00256EAA">
        <w:rPr>
          <w:sz w:val="22"/>
          <w:szCs w:val="22"/>
          <w:lang w:val="en-GB"/>
        </w:rPr>
        <w:t>A case study focused on the Pliocene Warm Period (PWP) was ass</w:t>
      </w:r>
      <w:r w:rsidR="003E7FF0">
        <w:rPr>
          <w:sz w:val="22"/>
          <w:szCs w:val="22"/>
          <w:lang w:val="en-GB"/>
        </w:rPr>
        <w:t>imilated</w:t>
      </w:r>
      <w:r w:rsidRPr="00256EAA">
        <w:rPr>
          <w:sz w:val="22"/>
          <w:szCs w:val="22"/>
          <w:lang w:val="en-GB"/>
        </w:rPr>
        <w:t xml:space="preserve">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 data from 7 shells from 6 different bivalve species dated to within the mid-</w:t>
      </w:r>
      <w:proofErr w:type="spellStart"/>
      <w:r w:rsidRPr="00256EAA">
        <w:rPr>
          <w:sz w:val="22"/>
          <w:szCs w:val="22"/>
          <w:lang w:val="en-GB"/>
        </w:rPr>
        <w:t>Piazencian</w:t>
      </w:r>
      <w:proofErr w:type="spellEnd"/>
      <w:r w:rsidRPr="00256EAA">
        <w:rPr>
          <w:sz w:val="22"/>
          <w:szCs w:val="22"/>
          <w:lang w:val="en-GB"/>
        </w:rPr>
        <w:t xml:space="preserve">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 xml:space="preserve">the statistical treatment of these uncertainties), we use this dataset to assess the impact of internal dating uncertainty on </w:t>
      </w:r>
      <w:proofErr w:type="spellStart"/>
      <w:r w:rsidR="00953791">
        <w:rPr>
          <w:sz w:val="22"/>
          <w:szCs w:val="22"/>
          <w:lang w:val="en-GB"/>
        </w:rPr>
        <w:t>paleoDA</w:t>
      </w:r>
      <w:proofErr w:type="spellEnd"/>
      <w:r w:rsidR="00953791">
        <w:rPr>
          <w:sz w:val="22"/>
          <w:szCs w:val="22"/>
          <w:lang w:val="en-GB"/>
        </w:rPr>
        <w:t xml:space="preserve"> outcomes by propagating the dating uncertainty through the assimilation and aggregating data and model outcomes in both monthly and seasonal (three-monthly) bins.</w:t>
      </w:r>
    </w:p>
    <w:p w14:paraId="7116BB81" w14:textId="2E6587EA"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w:t>
      </w:r>
      <w:r w:rsidR="003E7FF0">
        <w:rPr>
          <w:sz w:val="22"/>
          <w:szCs w:val="22"/>
          <w:lang w:val="en-GB"/>
        </w:rPr>
        <w:t>imilated</w:t>
      </w:r>
      <w:r w:rsidRPr="00256EAA">
        <w:rPr>
          <w:sz w:val="22"/>
          <w:szCs w:val="22"/>
          <w:lang w:val="en-GB"/>
        </w:rPr>
        <w:t xml:space="preserv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4A24E37C" w14:textId="4441F86D" w:rsidR="002000F4" w:rsidRDefault="002000F4" w:rsidP="00953791">
      <w:pPr>
        <w:jc w:val="both"/>
        <w:rPr>
          <w:b/>
          <w:bCs/>
          <w:sz w:val="22"/>
          <w:szCs w:val="22"/>
          <w:lang w:val="en-GB"/>
        </w:rPr>
      </w:pPr>
      <w:r>
        <w:rPr>
          <w:b/>
          <w:bCs/>
          <w:noProof/>
          <w:sz w:val="22"/>
          <w:szCs w:val="22"/>
          <w:lang w:val="en-GB"/>
        </w:rPr>
        <w:drawing>
          <wp:inline distT="0" distB="0" distL="0" distR="0" wp14:anchorId="31E4523A" wp14:editId="69F5706B">
            <wp:extent cx="5731412" cy="1889125"/>
            <wp:effectExtent l="0" t="0" r="3175" b="0"/>
            <wp:docPr id="787142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2637"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78E8AA8" w14:textId="45A79C53" w:rsidR="00953791" w:rsidRPr="00256EAA" w:rsidRDefault="00A2177C" w:rsidP="00953791">
      <w:pPr>
        <w:jc w:val="both"/>
        <w:rPr>
          <w:sz w:val="22"/>
          <w:szCs w:val="22"/>
          <w:lang w:val="en-GB"/>
        </w:rPr>
      </w:pPr>
      <w:r>
        <w:rPr>
          <w:b/>
          <w:bCs/>
          <w:sz w:val="22"/>
          <w:szCs w:val="22"/>
          <w:lang w:val="en-GB"/>
        </w:rPr>
        <w:t>Figure 2</w:t>
      </w:r>
      <w:r w:rsidR="00953791">
        <w:rPr>
          <w:sz w:val="22"/>
          <w:szCs w:val="22"/>
          <w:lang w:val="en-GB"/>
        </w:rPr>
        <w:t>: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w:t>
      </w:r>
      <w:proofErr w:type="spellStart"/>
      <w:r w:rsidRPr="00256EAA">
        <w:rPr>
          <w:sz w:val="22"/>
          <w:szCs w:val="22"/>
          <w:lang w:val="en-GB"/>
        </w:rPr>
        <w:t>paleoDA</w:t>
      </w:r>
      <w:proofErr w:type="spellEnd"/>
      <w:r w:rsidRPr="00256EAA">
        <w:rPr>
          <w:sz w:val="22"/>
          <w:szCs w:val="22"/>
          <w:lang w:val="en-GB"/>
        </w:rPr>
        <w:t xml:space="preserve">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w:t>
      </w:r>
      <w:r w:rsidRPr="00256EAA">
        <w:rPr>
          <w:sz w:val="22"/>
          <w:szCs w:val="22"/>
          <w:lang w:val="en-GB"/>
        </w:rPr>
        <w:lastRenderedPageBreak/>
        <w:t>(middle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w:t>
      </w:r>
      <w:proofErr w:type="spellStart"/>
      <w:r w:rsidRPr="00256EAA">
        <w:rPr>
          <w:sz w:val="22"/>
          <w:szCs w:val="22"/>
          <w:lang w:val="en-GB"/>
        </w:rPr>
        <w:t>paleoDA</w:t>
      </w:r>
      <w:proofErr w:type="spellEnd"/>
      <w:r w:rsidRPr="00256EAA">
        <w:rPr>
          <w:sz w:val="22"/>
          <w:szCs w:val="22"/>
          <w:lang w:val="en-GB"/>
        </w:rPr>
        <w:t>.</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72FEFC5F" w14:textId="168A7D71" w:rsidR="00837524" w:rsidRDefault="00837524" w:rsidP="00953791">
      <w:pPr>
        <w:jc w:val="both"/>
        <w:rPr>
          <w:b/>
          <w:bCs/>
          <w:sz w:val="22"/>
          <w:szCs w:val="22"/>
          <w:lang w:val="en-GB"/>
        </w:rPr>
      </w:pPr>
      <w:r>
        <w:rPr>
          <w:b/>
          <w:bCs/>
          <w:noProof/>
          <w:sz w:val="22"/>
          <w:szCs w:val="22"/>
          <w:lang w:val="en-GB"/>
        </w:rPr>
        <w:drawing>
          <wp:inline distT="0" distB="0" distL="0" distR="0" wp14:anchorId="59FB1305" wp14:editId="43BD364E">
            <wp:extent cx="5731412" cy="1889124"/>
            <wp:effectExtent l="0" t="0" r="3175" b="0"/>
            <wp:docPr id="85342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4010"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412" cy="1889124"/>
                    </a:xfrm>
                    <a:prstGeom prst="rect">
                      <a:avLst/>
                    </a:prstGeom>
                  </pic:spPr>
                </pic:pic>
              </a:graphicData>
            </a:graphic>
          </wp:inline>
        </w:drawing>
      </w:r>
    </w:p>
    <w:p w14:paraId="2DC9B62B" w14:textId="6E3143B2" w:rsidR="00953791" w:rsidRPr="00256EAA" w:rsidRDefault="00A2177C" w:rsidP="00953791">
      <w:pPr>
        <w:jc w:val="both"/>
        <w:rPr>
          <w:sz w:val="22"/>
          <w:szCs w:val="22"/>
          <w:lang w:val="en-GB"/>
        </w:rPr>
      </w:pPr>
      <w:r>
        <w:rPr>
          <w:b/>
          <w:bCs/>
          <w:sz w:val="22"/>
          <w:szCs w:val="22"/>
          <w:lang w:val="en-GB"/>
        </w:rPr>
        <w:t>Figure 3</w:t>
      </w:r>
      <w:r w:rsidR="00953791">
        <w:rPr>
          <w:sz w:val="22"/>
          <w:szCs w:val="22"/>
          <w:lang w:val="en-GB"/>
        </w:rPr>
        <w:t>: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7BCFED37" w:rsidR="007C5671" w:rsidRPr="00256EAA" w:rsidRDefault="007C5671" w:rsidP="00FD10E6">
      <w:pPr>
        <w:jc w:val="both"/>
        <w:rPr>
          <w:sz w:val="22"/>
          <w:szCs w:val="22"/>
          <w:lang w:val="en-GB"/>
        </w:rPr>
      </w:pPr>
      <w:r w:rsidRPr="00256EAA">
        <w:rPr>
          <w:sz w:val="22"/>
          <w:szCs w:val="22"/>
          <w:lang w:val="en-GB"/>
        </w:rPr>
        <w:t>A third case study was ass</w:t>
      </w:r>
      <w:r w:rsidR="003E7FF0">
        <w:rPr>
          <w:sz w:val="22"/>
          <w:szCs w:val="22"/>
          <w:lang w:val="en-GB"/>
        </w:rPr>
        <w:t>imilated</w:t>
      </w:r>
      <w:r w:rsidRPr="00256EAA">
        <w:rPr>
          <w:sz w:val="22"/>
          <w:szCs w:val="22"/>
          <w:lang w:val="en-GB"/>
        </w:rPr>
        <w:t xml:space="preserve">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w:t>
      </w:r>
      <w:proofErr w:type="spellStart"/>
      <w:r w:rsidRPr="00256EAA">
        <w:rPr>
          <w:sz w:val="22"/>
          <w:szCs w:val="22"/>
          <w:lang w:val="en-GB"/>
        </w:rPr>
        <w:t>HadCM</w:t>
      </w:r>
      <w:proofErr w:type="spellEnd"/>
      <w:r w:rsidRPr="00256EAA">
        <w:rPr>
          <w:sz w:val="22"/>
          <w:szCs w:val="22"/>
          <w:lang w:val="en-GB"/>
        </w:rPr>
        <w:t xml:space="preserve">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The simulation is identical to 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w:t>
      </w:r>
      <w:r w:rsidRPr="00256EAA">
        <w:rPr>
          <w:sz w:val="22"/>
          <w:szCs w:val="22"/>
        </w:rPr>
        <w:lastRenderedPageBreak/>
        <w:t xml:space="preserve">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7A128283" w14:textId="05D0E48B" w:rsidR="00F557E7" w:rsidRDefault="00F557E7" w:rsidP="00953791">
      <w:pPr>
        <w:jc w:val="both"/>
        <w:rPr>
          <w:b/>
          <w:bCs/>
          <w:sz w:val="22"/>
          <w:szCs w:val="22"/>
          <w:lang w:val="en-GB"/>
        </w:rPr>
      </w:pPr>
      <w:r>
        <w:rPr>
          <w:b/>
          <w:bCs/>
          <w:noProof/>
          <w:sz w:val="22"/>
          <w:szCs w:val="22"/>
          <w:lang w:val="en-GB"/>
        </w:rPr>
        <w:drawing>
          <wp:inline distT="0" distB="0" distL="0" distR="0" wp14:anchorId="39DC6CE8" wp14:editId="37BACAAE">
            <wp:extent cx="5731412" cy="1889125"/>
            <wp:effectExtent l="0" t="0" r="3175" b="0"/>
            <wp:docPr id="1588974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4108"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665057E" w14:textId="6C404E8E" w:rsidR="00953791" w:rsidRPr="00256EAA" w:rsidRDefault="00A2177C" w:rsidP="00953791">
      <w:pPr>
        <w:jc w:val="both"/>
        <w:rPr>
          <w:sz w:val="22"/>
          <w:szCs w:val="22"/>
          <w:lang w:val="en-GB"/>
        </w:rPr>
      </w:pPr>
      <w:r>
        <w:rPr>
          <w:b/>
          <w:bCs/>
          <w:sz w:val="22"/>
          <w:szCs w:val="22"/>
          <w:lang w:val="en-GB"/>
        </w:rPr>
        <w:t>Figure 4</w:t>
      </w:r>
      <w:r w:rsidR="00953791">
        <w:rPr>
          <w:sz w:val="22"/>
          <w:szCs w:val="22"/>
          <w:lang w:val="en-GB"/>
        </w:rPr>
        <w:t>: Campanian PRIOR (monthly model) and LIKELIHOOD (individual D47 and d18Oc data)</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w:t>
      </w:r>
      <w:proofErr w:type="spellStart"/>
      <w:r>
        <w:rPr>
          <w:sz w:val="22"/>
          <w:szCs w:val="22"/>
          <w:lang w:val="en-GB"/>
        </w:rPr>
        <w:t>Jupyter</w:t>
      </w:r>
      <w:proofErr w:type="spellEnd"/>
      <w:r>
        <w:rPr>
          <w:sz w:val="22"/>
          <w:szCs w:val="22"/>
          <w:lang w:val="en-GB"/>
        </w:rPr>
        <w:t xml:space="preserve">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xml:space="preserve">. A stable release of this data and code package will be released on the open source repository </w:t>
      </w:r>
      <w:proofErr w:type="spellStart"/>
      <w:r w:rsidR="003D0BEF">
        <w:rPr>
          <w:sz w:val="22"/>
          <w:szCs w:val="22"/>
          <w:lang w:val="en-GB"/>
        </w:rPr>
        <w:t>Zenodo</w:t>
      </w:r>
      <w:proofErr w:type="spellEnd"/>
      <w:r w:rsidR="003D0BEF">
        <w:rPr>
          <w:sz w:val="22"/>
          <w:szCs w:val="22"/>
          <w:lang w:val="en-GB"/>
        </w:rPr>
        <w:t xml:space="preserve">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3ED21E17" w14:textId="278CCDF2" w:rsidR="00735D38" w:rsidRPr="00735D38" w:rsidRDefault="00735D38" w:rsidP="00953791">
      <w:pPr>
        <w:jc w:val="both"/>
        <w:rPr>
          <w:b/>
          <w:bCs/>
          <w:sz w:val="22"/>
          <w:szCs w:val="22"/>
          <w:lang w:val="en-US"/>
        </w:rPr>
      </w:pPr>
      <w:r>
        <w:rPr>
          <w:b/>
          <w:bCs/>
          <w:noProof/>
          <w:sz w:val="22"/>
          <w:szCs w:val="22"/>
          <w:lang w:val="en-US"/>
        </w:rPr>
        <w:lastRenderedPageBreak/>
        <w:drawing>
          <wp:inline distT="0" distB="0" distL="0" distR="0" wp14:anchorId="5FC595C7" wp14:editId="0636E839">
            <wp:extent cx="5074930" cy="7239015"/>
            <wp:effectExtent l="0" t="0" r="0" b="0"/>
            <wp:docPr id="1465227967"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7967" name="Picture 1" descr="A diagram of a scientific experi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4930" cy="7239015"/>
                    </a:xfrm>
                    <a:prstGeom prst="rect">
                      <a:avLst/>
                    </a:prstGeom>
                  </pic:spPr>
                </pic:pic>
              </a:graphicData>
            </a:graphic>
          </wp:inline>
        </w:drawing>
      </w:r>
    </w:p>
    <w:p w14:paraId="4DD87B7D" w14:textId="187AEC90" w:rsidR="00825877" w:rsidRDefault="00A2177C" w:rsidP="00953791">
      <w:pPr>
        <w:jc w:val="both"/>
        <w:rPr>
          <w:sz w:val="22"/>
          <w:szCs w:val="22"/>
          <w:lang w:val="en-GB"/>
        </w:rPr>
      </w:pPr>
      <w:r>
        <w:rPr>
          <w:b/>
          <w:bCs/>
          <w:sz w:val="22"/>
          <w:szCs w:val="22"/>
          <w:lang w:val="en-GB"/>
        </w:rPr>
        <w:t>Figure 5</w:t>
      </w:r>
      <w:r w:rsidR="00825877">
        <w:rPr>
          <w:sz w:val="22"/>
          <w:szCs w:val="22"/>
          <w:lang w:val="en-GB"/>
        </w:rPr>
        <w:t>: Flow chart DA routine</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518557E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w:t>
      </w:r>
      <w:r w:rsidR="003E7FF0">
        <w:rPr>
          <w:sz w:val="22"/>
          <w:szCs w:val="22"/>
          <w:lang w:val="en-GB"/>
        </w:rPr>
        <w:t>imilated</w:t>
      </w:r>
      <w:r>
        <w:rPr>
          <w:sz w:val="22"/>
          <w:szCs w:val="22"/>
          <w:lang w:val="en-GB"/>
        </w:rPr>
        <w:t xml:space="preserve"> model outcomes with data is as means and variances of proxy values in monthly time bins.</w:t>
      </w:r>
    </w:p>
    <w:p w14:paraId="71E2ACF5" w14:textId="1F29B6E0" w:rsidR="0095306F" w:rsidRDefault="00A43638" w:rsidP="00953791">
      <w:pPr>
        <w:jc w:val="both"/>
        <w:rPr>
          <w:sz w:val="22"/>
          <w:szCs w:val="22"/>
          <w:lang w:val="en-GB"/>
        </w:rPr>
      </w:pPr>
      <w:r>
        <w:rPr>
          <w:sz w:val="22"/>
          <w:szCs w:val="22"/>
          <w:lang w:val="en-GB"/>
        </w:rPr>
        <w:lastRenderedPageBreak/>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values for the four ass</w:t>
      </w:r>
      <w:r w:rsidR="003E7FF0">
        <w:rPr>
          <w:sz w:val="22"/>
          <w:szCs w:val="22"/>
          <w:lang w:val="en-GB"/>
        </w:rPr>
        <w:t>imilated</w:t>
      </w:r>
      <w:r w:rsidR="000D1EFE">
        <w:rPr>
          <w:sz w:val="22"/>
          <w:szCs w:val="22"/>
          <w:lang w:val="en-GB"/>
        </w:rPr>
        <w:t xml:space="preserve">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69BD1A4B"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proofErr w:type="spellStart"/>
      <w:r w:rsidR="00261B2C" w:rsidRPr="00261B2C">
        <w:rPr>
          <w:sz w:val="22"/>
          <w:szCs w:val="22"/>
          <w:lang w:val="en-GB"/>
        </w:rPr>
        <w:t>Omnivariant</w:t>
      </w:r>
      <w:proofErr w:type="spellEnd"/>
      <w:r w:rsidR="00261B2C" w:rsidRPr="00261B2C">
        <w:rPr>
          <w:sz w:val="22"/>
          <w:szCs w:val="22"/>
          <w:lang w:val="en-GB"/>
        </w:rPr>
        <w:t xml:space="preserve">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associated “D47calib” package which allows us to propagate full uncertainties on and covariances between the input variables along with uncertainties on the clumped isotope calibration onto the end result. Carbonate stable oxygen isotope values were estimated from SST and SSS model outcomes by first estimating water oxygen isotopes (δ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use the North Sea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-salinity relationship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relationships on the data assimilation outcome. As a second step,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proofErr w:type="spellStart"/>
      <w:r w:rsidR="00706A20" w:rsidRPr="00706A20">
        <w:rPr>
          <w:b/>
          <w:bCs/>
          <w:sz w:val="22"/>
          <w:szCs w:val="22"/>
          <w:lang w:val="en-GB"/>
        </w:rPr>
        <w:t>M</w:t>
      </w:r>
      <w:r w:rsidR="00706A20" w:rsidRPr="00706A20">
        <w:rPr>
          <w:b/>
          <w:bCs/>
          <w:sz w:val="22"/>
          <w:szCs w:val="22"/>
          <w:vertAlign w:val="subscript"/>
          <w:lang w:val="en-GB"/>
        </w:rPr>
        <w:t>prior</w:t>
      </w:r>
      <w:proofErr w:type="spellEnd"/>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SAT-derived Δ</w:t>
      </w:r>
      <w:r w:rsidR="00E17C34" w:rsidRPr="00E17C34">
        <w:rPr>
          <w:sz w:val="22"/>
          <w:szCs w:val="22"/>
          <w:vertAlign w:val="subscript"/>
          <w:lang w:val="en-GB"/>
        </w:rPr>
        <w:t>47</w:t>
      </w:r>
      <w:r w:rsidR="00E17C34">
        <w:rPr>
          <w:sz w:val="22"/>
          <w:szCs w:val="22"/>
          <w:lang w:val="en-GB"/>
        </w:rPr>
        <w:t>, SSS- and SST-derived 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proofErr w:type="spellStart"/>
      <w:r w:rsidR="00706A20" w:rsidRPr="00706A20">
        <w:rPr>
          <w:b/>
          <w:bCs/>
          <w:sz w:val="22"/>
          <w:szCs w:val="22"/>
          <w:lang w:val="en-US"/>
        </w:rPr>
        <w:t>COV</w:t>
      </w:r>
      <w:r w:rsidR="00706A20" w:rsidRPr="00706A20">
        <w:rPr>
          <w:b/>
          <w:bCs/>
          <w:sz w:val="22"/>
          <w:szCs w:val="22"/>
          <w:vertAlign w:val="subscript"/>
          <w:lang w:val="en-US"/>
        </w:rPr>
        <w:t>prior</w:t>
      </w:r>
      <w:proofErr w:type="spellEnd"/>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63A2278D"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Pr="001B6F7E">
        <w:rPr>
          <w:sz w:val="22"/>
          <w:szCs w:val="22"/>
          <w:lang w:val="nl-NL"/>
        </w:rPr>
        <w:instrText>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w:t>
      </w:r>
      <w:proofErr w:type="spellStart"/>
      <w:r w:rsidRPr="00E17C34">
        <w:rPr>
          <w:sz w:val="22"/>
          <w:szCs w:val="22"/>
          <w:lang w:val="nl-NL"/>
        </w:rPr>
        <w:t>seasonal</w:t>
      </w:r>
      <w:proofErr w:type="spellEnd"/>
      <w:r w:rsidRPr="00E17C34">
        <w:rPr>
          <w:sz w:val="22"/>
          <w:szCs w:val="22"/>
          <w:lang w:val="nl-NL"/>
        </w:rPr>
        <w:t xml:space="preserve">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w:t>
      </w:r>
      <w:proofErr w:type="spellStart"/>
      <w:r w:rsidR="00706A20" w:rsidRPr="00706A20">
        <w:rPr>
          <w:rFonts w:ascii="Aptos" w:hAnsi="Aptos"/>
          <w:sz w:val="22"/>
        </w:rPr>
        <w:t>Caldarescu</w:t>
      </w:r>
      <w:proofErr w:type="spellEnd"/>
      <w:r w:rsidR="00706A20" w:rsidRPr="00706A20">
        <w:rPr>
          <w:rFonts w:ascii="Aptos" w:hAnsi="Aptos"/>
          <w:sz w:val="22"/>
        </w:rPr>
        <w:t xml:space="preserve">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3AE583A2"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to the index of the corresponding monthly model parameter in the state vector </w:t>
      </w:r>
      <w:proofErr w:type="spellStart"/>
      <w:r w:rsidR="007D7503" w:rsidRPr="00706A20">
        <w:rPr>
          <w:b/>
          <w:bCs/>
          <w:sz w:val="22"/>
          <w:szCs w:val="22"/>
          <w:lang w:val="en-GB"/>
        </w:rPr>
        <w:t>M</w:t>
      </w:r>
      <w:r w:rsidR="007D7503" w:rsidRPr="00706A20">
        <w:rPr>
          <w:b/>
          <w:bCs/>
          <w:sz w:val="22"/>
          <w:szCs w:val="22"/>
          <w:vertAlign w:val="subscript"/>
          <w:lang w:val="en-GB"/>
        </w:rPr>
        <w:t>prior</w:t>
      </w:r>
      <w:proofErr w:type="spellEnd"/>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w:t>
      </w:r>
      <w:r w:rsidR="00D11201">
        <w:rPr>
          <w:sz w:val="22"/>
          <w:szCs w:val="22"/>
          <w:lang w:val="en-GB"/>
        </w:rPr>
        <w:t xml:space="preserve">in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w:t>
      </w:r>
      <w:r w:rsidR="007D7503">
        <w:rPr>
          <w:sz w:val="22"/>
          <w:szCs w:val="22"/>
          <w:lang w:val="en-GB"/>
        </w:rPr>
        <w:t xml:space="preserve">and assigning all other </w:t>
      </w:r>
      <w:r w:rsidR="007D7503">
        <w:rPr>
          <w:sz w:val="22"/>
          <w:szCs w:val="22"/>
          <w:lang w:val="en-GB"/>
        </w:rPr>
        <w:lastRenderedPageBreak/>
        <w:t xml:space="preserve">values in the </w:t>
      </w:r>
      <w:r w:rsidR="00D11201">
        <w:rPr>
          <w:sz w:val="22"/>
          <w:szCs w:val="22"/>
          <w:lang w:val="en-GB"/>
        </w:rPr>
        <w:t xml:space="preserve">observation </w:t>
      </w:r>
      <w:r w:rsidR="007D7503">
        <w:rPr>
          <w:sz w:val="22"/>
          <w:szCs w:val="22"/>
          <w:lang w:val="en-GB"/>
        </w:rPr>
        <w:t xml:space="preserve">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5BF2C926" w:rsidR="005A4F83" w:rsidRDefault="00EF23F4" w:rsidP="00825877">
      <w:pPr>
        <w:jc w:val="both"/>
        <w:rPr>
          <w:sz w:val="22"/>
          <w:szCs w:val="22"/>
          <w:lang w:val="en-US"/>
        </w:rPr>
      </w:pPr>
      <w:r>
        <w:rPr>
          <w:sz w:val="22"/>
          <w:szCs w:val="22"/>
          <w:lang w:val="en-US"/>
        </w:rPr>
        <w:t xml:space="preserve">Reconstruction and model data </w:t>
      </w:r>
      <w:r w:rsidR="003E7FF0">
        <w:rPr>
          <w:sz w:val="22"/>
          <w:szCs w:val="22"/>
          <w:lang w:val="en-US"/>
        </w:rPr>
        <w:t>were assimilated</w:t>
      </w:r>
      <w:r>
        <w:rPr>
          <w:sz w:val="22"/>
          <w:szCs w:val="22"/>
          <w:lang w:val="en-US"/>
        </w:rPr>
        <w:t xml:space="preserve">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w:t>
      </w:r>
      <w:r w:rsidR="003E7FF0">
        <w:rPr>
          <w:sz w:val="22"/>
          <w:szCs w:val="22"/>
          <w:lang w:val="en-US"/>
        </w:rPr>
        <w:t>imilated</w:t>
      </w:r>
      <w:r>
        <w:rPr>
          <w:sz w:val="22"/>
          <w:szCs w:val="22"/>
          <w:lang w:val="en-US"/>
        </w:rPr>
        <w:t xml:space="preserve"> </w:t>
      </w:r>
      <w:r w:rsidR="003E7FF0">
        <w:rPr>
          <w:sz w:val="22"/>
          <w:szCs w:val="22"/>
          <w:lang w:val="en-US"/>
        </w:rPr>
        <w:t>at one time</w:t>
      </w:r>
      <w:r>
        <w:rPr>
          <w:sz w:val="22"/>
          <w:szCs w:val="22"/>
          <w:lang w:val="en-US"/>
        </w:rPr>
        <w:t xml:space="preserve">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normal distribution (e.g. shot noise in Faraday cups in mass spectrometry;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w:t>
      </w:r>
      <w:proofErr w:type="spellStart"/>
      <w:r w:rsidR="00B9176A">
        <w:rPr>
          <w:sz w:val="22"/>
          <w:szCs w:val="22"/>
          <w:lang w:val="en-US"/>
        </w:rPr>
        <w:t>paleoDA</w:t>
      </w:r>
      <w:proofErr w:type="spellEnd"/>
      <w:r w:rsidR="00B9176A">
        <w:rPr>
          <w:sz w:val="22"/>
          <w:szCs w:val="22"/>
          <w:lang w:val="en-US"/>
        </w:rPr>
        <w:t xml:space="preserve">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proofErr w:type="spellStart"/>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proofErr w:type="spellEnd"/>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000000"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proofErr w:type="spellStart"/>
      <w:r>
        <w:rPr>
          <w:b/>
          <w:bCs/>
          <w:sz w:val="22"/>
          <w:szCs w:val="22"/>
          <w:lang w:val="en-US"/>
        </w:rPr>
        <w:t>M</w:t>
      </w:r>
      <w:r w:rsidRPr="00EF2CE9">
        <w:rPr>
          <w:b/>
          <w:bCs/>
          <w:sz w:val="22"/>
          <w:szCs w:val="22"/>
          <w:vertAlign w:val="subscript"/>
          <w:lang w:val="en-US"/>
        </w:rPr>
        <w:t>prior</w:t>
      </w:r>
      <w:proofErr w:type="spellEnd"/>
      <w:r>
        <w:rPr>
          <w:sz w:val="22"/>
          <w:szCs w:val="22"/>
          <w:lang w:val="en-US"/>
        </w:rPr>
        <w:t>) and can therefore be used to directly update the state vector to obtain the posterior state vector (</w:t>
      </w:r>
      <w:proofErr w:type="spellStart"/>
      <w:r>
        <w:rPr>
          <w:b/>
          <w:bCs/>
          <w:sz w:val="22"/>
          <w:szCs w:val="22"/>
          <w:lang w:val="en-US"/>
        </w:rPr>
        <w:t>M</w:t>
      </w:r>
      <w:r w:rsidRPr="00EF2CE9">
        <w:rPr>
          <w:b/>
          <w:bCs/>
          <w:sz w:val="22"/>
          <w:szCs w:val="22"/>
          <w:vertAlign w:val="subscript"/>
          <w:lang w:val="en-US"/>
        </w:rPr>
        <w:t>post</w:t>
      </w:r>
      <w:proofErr w:type="spellEnd"/>
      <w:r>
        <w:rPr>
          <w:sz w:val="22"/>
          <w:szCs w:val="22"/>
          <w:lang w:val="en-US"/>
        </w:rPr>
        <w:t>):</w:t>
      </w:r>
    </w:p>
    <w:p w14:paraId="3ED3FD3E" w14:textId="2449F5E4" w:rsidR="00EF2CE9" w:rsidRPr="00C34200" w:rsidRDefault="00000000"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lastRenderedPageBreak/>
        <w:t>The posterior covariance matrix (</w:t>
      </w:r>
      <w:proofErr w:type="spellStart"/>
      <w:r>
        <w:rPr>
          <w:b/>
          <w:bCs/>
          <w:sz w:val="22"/>
          <w:szCs w:val="22"/>
          <w:lang w:val="en-US"/>
        </w:rPr>
        <w:t>COV</w:t>
      </w:r>
      <w:r w:rsidRPr="00EF2CE9">
        <w:rPr>
          <w:b/>
          <w:bCs/>
          <w:sz w:val="22"/>
          <w:szCs w:val="22"/>
          <w:vertAlign w:val="subscript"/>
          <w:lang w:val="en-US"/>
        </w:rPr>
        <w:t>post</w:t>
      </w:r>
      <w:proofErr w:type="spellEnd"/>
      <w:r>
        <w:rPr>
          <w:sz w:val="22"/>
          <w:szCs w:val="22"/>
          <w:lang w:val="en-US"/>
        </w:rPr>
        <w:t>) is obtained by updating the prior covariance matrix with the innovation in terms of estimate uncertainty which follows from combining the K-matrix with the prior covariance matrix:</w:t>
      </w:r>
    </w:p>
    <w:p w14:paraId="4D5C4C26" w14:textId="28286DF7" w:rsidR="00C34200" w:rsidRPr="00C34200" w:rsidRDefault="000000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-Kalman gain∙K∙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w:t>
      </w:r>
      <w:proofErr w:type="spellStart"/>
      <w:r>
        <w:rPr>
          <w:rFonts w:eastAsiaTheme="minorEastAsia"/>
          <w:sz w:val="22"/>
          <w:szCs w:val="22"/>
          <w:lang w:val="en-US"/>
        </w:rPr>
        <w:t>Omnivariant</w:t>
      </w:r>
      <w:proofErr w:type="spellEnd"/>
      <w:r>
        <w:rPr>
          <w:rFonts w:eastAsiaTheme="minorEastAsia"/>
          <w:sz w:val="22"/>
          <w:szCs w:val="22"/>
          <w:lang w:val="en-US"/>
        </w:rPr>
        <w:t xml:space="preserve">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value:</w:t>
      </w:r>
    </w:p>
    <w:p w14:paraId="232C7C1C" w14:textId="59B2F3A7" w:rsidR="008E464A" w:rsidRPr="009F1935" w:rsidRDefault="00000000"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2"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2"/>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and SST:</w:t>
      </w:r>
    </w:p>
    <w:p w14:paraId="40497795" w14:textId="728735C0" w:rsidR="009F1935" w:rsidRPr="00C34200" w:rsidRDefault="00000000"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000000"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000000"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0E7F164A" w14:textId="0928FBFA" w:rsidR="00A06C38" w:rsidRPr="00A06C38" w:rsidRDefault="00A06C38" w:rsidP="001B6F7E">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w:t>
      </w:r>
    </w:p>
    <w:p w14:paraId="6225ED81" w14:textId="3941B164" w:rsidR="00953791" w:rsidRDefault="00953791" w:rsidP="00953791">
      <w:pPr>
        <w:jc w:val="both"/>
        <w:rPr>
          <w:sz w:val="22"/>
          <w:szCs w:val="22"/>
          <w:lang w:val="en-US"/>
        </w:rPr>
      </w:pPr>
      <w:r w:rsidRPr="008E464A">
        <w:rPr>
          <w:sz w:val="22"/>
          <w:szCs w:val="22"/>
          <w:lang w:val="en-US"/>
        </w:rPr>
        <w:t>2.3 Sensitivity experiments</w:t>
      </w:r>
    </w:p>
    <w:p w14:paraId="6A73FCA7" w14:textId="2D18E9E3" w:rsidR="001B6F7E" w:rsidRPr="008E464A" w:rsidRDefault="001B6F7E" w:rsidP="00953791">
      <w:pPr>
        <w:jc w:val="both"/>
        <w:rPr>
          <w:sz w:val="22"/>
          <w:szCs w:val="22"/>
          <w:lang w:val="en-US"/>
        </w:rPr>
      </w:pPr>
      <w:r>
        <w:rPr>
          <w:sz w:val="22"/>
          <w:szCs w:val="22"/>
          <w:lang w:val="en-US"/>
        </w:rPr>
        <w:lastRenderedPageBreak/>
        <w:t xml:space="preserve">With the data assimilation protocol in place, it becomes possible to test the effect of certain choices in data treatment and input on the assimilated result. We believe this important, because such choices (e.g. whether or not to fully propagate uncertainty, which model boundary conditions to use, and which calibration or transfer functions to use to relate between variables) are often made in the paleoclimate literature without strict consensus on best practices. </w:t>
      </w:r>
      <w:r w:rsidR="00B4717D">
        <w:rPr>
          <w:sz w:val="22"/>
          <w:szCs w:val="22"/>
          <w:lang w:val="en-US"/>
        </w:rPr>
        <w:t>Through the sensitivity experiments below, we hope to show the added value of data assimilation for assessing the impact of data treatment choices both on proxy-model comparisons and on our “best estimate” of what sub-annual climate variability looked like in the geological past.</w:t>
      </w:r>
    </w:p>
    <w:p w14:paraId="3C0B78DC" w14:textId="77777777" w:rsidR="00B4717D" w:rsidRDefault="00B4717D" w:rsidP="00B4717D">
      <w:pPr>
        <w:jc w:val="both"/>
        <w:rPr>
          <w:sz w:val="22"/>
          <w:szCs w:val="22"/>
          <w:lang w:val="en-GB"/>
        </w:rPr>
      </w:pPr>
      <w:r>
        <w:rPr>
          <w:sz w:val="22"/>
          <w:szCs w:val="22"/>
          <w:lang w:val="en-GB"/>
        </w:rPr>
        <w:t xml:space="preserve">2.3.1 </w:t>
      </w:r>
      <w:r w:rsidR="00156B07" w:rsidRPr="00B4717D">
        <w:rPr>
          <w:sz w:val="22"/>
          <w:szCs w:val="22"/>
          <w:lang w:val="en-GB"/>
        </w:rPr>
        <w:t xml:space="preserve">Treatment of </w:t>
      </w:r>
      <w:r>
        <w:rPr>
          <w:sz w:val="22"/>
          <w:szCs w:val="22"/>
          <w:lang w:val="en-GB"/>
        </w:rPr>
        <w:t xml:space="preserve">proxy </w:t>
      </w:r>
      <w:r w:rsidR="00156B07" w:rsidRPr="00B4717D">
        <w:rPr>
          <w:sz w:val="22"/>
          <w:szCs w:val="22"/>
          <w:lang w:val="en-GB"/>
        </w:rPr>
        <w:t>uncertainty in time domain</w:t>
      </w:r>
    </w:p>
    <w:p w14:paraId="20B993D4" w14:textId="28C1FD09" w:rsidR="00A13D69" w:rsidRDefault="00F86172" w:rsidP="00B4717D">
      <w:pPr>
        <w:jc w:val="both"/>
        <w:rPr>
          <w:sz w:val="22"/>
          <w:szCs w:val="22"/>
          <w:lang w:val="en-GB"/>
        </w:rPr>
      </w:pPr>
      <w:r>
        <w:rPr>
          <w:sz w:val="22"/>
          <w:szCs w:val="22"/>
          <w:lang w:val="en-GB"/>
        </w:rPr>
        <w:t>Throughout our data assimilation routine, we have chosen by default to ass</w:t>
      </w:r>
      <w:r w:rsidR="003E7FF0">
        <w:rPr>
          <w:sz w:val="22"/>
          <w:szCs w:val="22"/>
          <w:lang w:val="en-GB"/>
        </w:rPr>
        <w:t>imilate</w:t>
      </w:r>
      <w:r>
        <w:rPr>
          <w:sz w:val="22"/>
          <w:szCs w:val="22"/>
          <w:lang w:val="en-GB"/>
        </w:rPr>
        <w:t xml:space="preserve"> proxy and model data in monthly time bins. This is in accordance with the default output of most GCMs and therefore facilitates proxy-model comparison. However, it is not always straightforward to align deep-time proxy data to monthly bins as no calendar dates are known for this data and models can have different calendar systems (see the “Calendar Problem”; </w:t>
      </w:r>
      <w:r>
        <w:rPr>
          <w:sz w:val="22"/>
          <w:szCs w:val="22"/>
          <w:lang w:val="en-GB"/>
        </w:rPr>
        <w:fldChar w:fldCharType="begin"/>
      </w:r>
      <w:r>
        <w:rPr>
          <w:sz w:val="22"/>
          <w:szCs w:val="22"/>
          <w:lang w:val="en-GB"/>
        </w:rPr>
        <w:instrText xml:space="preserve"> ADDIN ZOTERO_ITEM CSL_CITATION {"citationID":"ouaChD2J","properties":{"formattedCitation":"(Shi et al., 2022)","plainCitation":"(Shi et al., 2022)","noteIndex":0},"citationItems":[{"id":11819,"uris":["http://zotero.org/users/2470179/items/U3XKR2DD"],"itemData":{"id":11819,"type":"article-journal","abstract":"Numerical modeling enables a comprehensive understanding not only of the Earth's system today, but also of the past. To date, a significant amount of time and effort has been devoted to paleoclimate modeling and analysis, which involves the latest and most advanced Paleoclimate Modelling Intercomparison Project phase 4 (PMIP4). The definition of seasonality, which is influenced by slow variations in the Earth's orbital parameters, plays a key role in determining the calculated seasonal cycle of the climate. In contrast to the classical calendar used today, where the lengths of the months and seasons are fixed, the angular calendar calculates the lengths of the months and seasons according to a fixed number of degrees along the Earth's orbit. When comparing simulation results for different time intervals, it is essential to account for the angular calendar to ensure that the data for comparison are from the same position along the Earth's orbit. Most models use the classical calendar, which can lead to strong distortions of the monthly and seasonal values, especially for the climate of the past. Here, by analyzing daily outputs from multiple PMIP4 model simulations, we examine calendar effects on surface air temperature and precipitation under mid-Holocene, Last Interglacial, and pre-industrial climate conditions. We came to the following conclusions. (a) The largest cooling bias occurs in boreal autumn when the classical calendar is applied for the mid-Holocene and Last Interglacial, due to the fact that the vernal equinox is fixed on 21 March. (b) The sign of the temperature anomalies between the Last Interglacial and pre-industrial in boreal autumn can be reversed after the switch from the classical to angular calendar, particularly over the Northern Hemisphere continents. (c) Precipitation over West Africa is overestimated in boreal summer and underestimated in boreal autumn when the classical seasonal cycle is applied. (d) Finally, month-length adjusted values for surface air temperature and precipitation are very similar to the day-length adjusted values, and therefore correcting the calendar based on the monthly model results can largely reduce the artificial bias. In addition, we examine the calendar effects in three transient simulations for 6–0 ka by AWI-ESM, MPI-ESM, and IPSL-CM. We find significant discrepancies between adjusted and unadjusted temperature values over continents for both hemispheres in boreal autumn, while for other seasons the deviations are relatively small. A drying bias can be found in the summer monsoon precipitation in Africa (in the classical calendar), whereby the magnitude of bias becomes smaller over time. Overall, our study underlines the importance of the application of calendar transformation in the analysis of climate simulations. Neglecting the calendar effects could lead to a profound artificial distortion of the calculated seasonal cycle of surface air temperature and precipitation.","container-title":"Climate of the Past","DOI":"10.5194/cp-18-1047-2022","ISSN":"1814-9324","issue":"5","language":"English","note":"publisher: Copernicus GmbH","page":"1047-1070","source":"Copernicus Online Journals","title":"Calendar effects on surface air temperature and precipitation based on model-ensemble equilibrium and transient simulations from PMIP4 and PACMEDY","volume":"18","author":[{"family":"Shi","given":"Xiaoxu"},{"family":"Werner","given":"Martin"},{"family":"Krug","given":"Carolin"},{"family":"Brierley","given":"Chris M."},{"family":"Zhao","given":"Anni"},{"family":"Igbinosa","given":"Endurance"},{"family":"Braconnot","given":"Pascale"},{"family":"Brady","given":"Esther"},{"family":"Cao","given":"Jian"},{"family":"D'Agostino","given":"Roberta"},{"family":"Jungclaus","given":"Johann"},{"family":"Liu","given":"Xingxing"},{"family":"Otto-Bliesner","given":"Bette"},{"family":"Sidorenko","given":"Dmitry"},{"family":"Tomas","given":"Robert"},{"family":"Volodin","given":"Evgeny M."},{"family":"Yang","given":"Hu"},{"family":"Zhang","given":"Qiong"},{"family":"Zheng","given":"Weipeng"},{"family":"Lohmann","given":"Gerrit"}],"issued":{"date-parts":[["2022",5,13]]}}}],"schema":"https://github.com/citation-style-language/schema/raw/master/csl-citation.json"} </w:instrText>
      </w:r>
      <w:r>
        <w:rPr>
          <w:sz w:val="22"/>
          <w:szCs w:val="22"/>
          <w:lang w:val="en-GB"/>
        </w:rPr>
        <w:fldChar w:fldCharType="separate"/>
      </w:r>
      <w:r w:rsidRPr="00F86172">
        <w:rPr>
          <w:rFonts w:ascii="Aptos" w:hAnsi="Aptos"/>
          <w:sz w:val="22"/>
        </w:rPr>
        <w:t>(Shi et al., 2022)</w:t>
      </w:r>
      <w:r>
        <w:rPr>
          <w:sz w:val="22"/>
          <w:szCs w:val="22"/>
          <w:lang w:val="en-GB"/>
        </w:rPr>
        <w:fldChar w:fldCharType="end"/>
      </w:r>
      <w:r>
        <w:rPr>
          <w:sz w:val="22"/>
          <w:szCs w:val="22"/>
          <w:lang w:val="en-GB"/>
        </w:rPr>
        <w:t>). This alignment procedure therefore often assign</w:t>
      </w:r>
      <w:r w:rsidR="00A13D69">
        <w:rPr>
          <w:sz w:val="22"/>
          <w:szCs w:val="22"/>
          <w:lang w:val="en-GB"/>
        </w:rPr>
        <w:t>s</w:t>
      </w:r>
      <w:r>
        <w:rPr>
          <w:sz w:val="22"/>
          <w:szCs w:val="22"/>
          <w:lang w:val="en-GB"/>
        </w:rPr>
        <w:t xml:space="preserve"> months based on their mean temperature, for e</w:t>
      </w:r>
      <w:r w:rsidR="00A13D69">
        <w:rPr>
          <w:sz w:val="22"/>
          <w:szCs w:val="22"/>
          <w:lang w:val="en-GB"/>
        </w:rPr>
        <w:t>xample by aligning the warmest 1/12</w:t>
      </w:r>
      <w:r w:rsidR="00A13D69" w:rsidRPr="00A13D69">
        <w:rPr>
          <w:sz w:val="22"/>
          <w:szCs w:val="22"/>
          <w:vertAlign w:val="superscript"/>
          <w:lang w:val="en-GB"/>
        </w:rPr>
        <w:t>th</w:t>
      </w:r>
      <w:r w:rsidR="00A13D69">
        <w:rPr>
          <w:sz w:val="22"/>
          <w:szCs w:val="22"/>
          <w:lang w:val="en-GB"/>
        </w:rPr>
        <w:t xml:space="preserve">-of-the-year time bin to the warmest month in the mean model outcomes, as is common in the datasets used in this study (see 2.2.1 and e.g. </w:t>
      </w:r>
      <w:r w:rsidR="00A13D69">
        <w:rPr>
          <w:sz w:val="22"/>
          <w:szCs w:val="22"/>
          <w:lang w:val="en-GB"/>
        </w:rPr>
        <w:fldChar w:fldCharType="begin"/>
      </w:r>
      <w:r w:rsidR="00A13D69">
        <w:rPr>
          <w:sz w:val="22"/>
          <w:szCs w:val="22"/>
          <w:lang w:val="en-GB"/>
        </w:rPr>
        <w:instrText xml:space="preserve"> ADDIN ZOTERO_ITEM CSL_CITATION {"citationID":"UXV5Jsry","properties":{"formattedCitation":"(de Winter et al., 2021, 2024)","plainCitation":"(de Winter et al., 2021, 2024)","noteIndex":0},"citationItems":[{"id":2680,"uris":["http://zotero.org/users/2470179/items/HR649PES"],"itemData":{"id":2680,"type":"article-journal","abstract":"Seasonal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A13D69">
        <w:rPr>
          <w:rFonts w:ascii="Arial" w:hAnsi="Arial" w:cs="Arial"/>
          <w:sz w:val="22"/>
          <w:szCs w:val="22"/>
          <w:lang w:val="en-GB"/>
        </w:rPr>
        <w:instrText> </w:instrText>
      </w:r>
      <w:r w:rsidR="00A13D69">
        <w:rPr>
          <w:rFonts w:ascii="Aptos" w:hAnsi="Aptos" w:cs="Aptos"/>
          <w:sz w:val="22"/>
          <w:szCs w:val="22"/>
          <w:lang w:val="en-GB"/>
        </w:rPr>
        <w:instrText>°</w:instrText>
      </w:r>
      <w:r w:rsidR="00A13D69">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00A13D69">
        <w:rPr>
          <w:sz w:val="22"/>
          <w:szCs w:val="22"/>
          <w:lang w:val="en-GB"/>
        </w:rPr>
        <w:fldChar w:fldCharType="separate"/>
      </w:r>
      <w:r w:rsidR="00A13D69" w:rsidRPr="00A13D69">
        <w:rPr>
          <w:rFonts w:ascii="Aptos" w:hAnsi="Aptos"/>
          <w:sz w:val="22"/>
        </w:rPr>
        <w:t>(de Winter et al., 2021, 2024)</w:t>
      </w:r>
      <w:r w:rsidR="00A13D69">
        <w:rPr>
          <w:sz w:val="22"/>
          <w:szCs w:val="22"/>
          <w:lang w:val="en-GB"/>
        </w:rPr>
        <w:fldChar w:fldCharType="end"/>
      </w:r>
      <w:r w:rsidR="00A13D69">
        <w:rPr>
          <w:sz w:val="22"/>
          <w:szCs w:val="22"/>
          <w:lang w:val="en-GB"/>
        </w:rPr>
        <w:t>). Furthermore, the internal age models of seasonally-resolved climate records comes with its own uncertainty, which is often not considered in reconstructions since it is hard to estimate.</w:t>
      </w:r>
    </w:p>
    <w:p w14:paraId="3123D165" w14:textId="77777777" w:rsidR="00D11201" w:rsidRDefault="00A13D69" w:rsidP="00B4717D">
      <w:pPr>
        <w:jc w:val="both"/>
        <w:rPr>
          <w:sz w:val="22"/>
          <w:szCs w:val="22"/>
          <w:lang w:val="en-GB"/>
        </w:rPr>
      </w:pPr>
      <w:r>
        <w:rPr>
          <w:sz w:val="22"/>
          <w:szCs w:val="22"/>
          <w:lang w:val="en-GB"/>
        </w:rPr>
        <w:t xml:space="preserve">To test the impact of these </w:t>
      </w:r>
      <w:r w:rsidR="00E64B84">
        <w:rPr>
          <w:sz w:val="22"/>
          <w:szCs w:val="22"/>
          <w:lang w:val="en-GB"/>
        </w:rPr>
        <w:t>two potential sources of variability between data assimilation products, we carried out two sensitivity studies:</w:t>
      </w:r>
    </w:p>
    <w:p w14:paraId="1C78BDEF" w14:textId="6D5FD381" w:rsidR="00D11201" w:rsidRDefault="00E64B84" w:rsidP="00B4717D">
      <w:pPr>
        <w:jc w:val="both"/>
        <w:rPr>
          <w:sz w:val="22"/>
          <w:szCs w:val="22"/>
          <w:lang w:val="en-GB"/>
        </w:rPr>
      </w:pPr>
      <w:r>
        <w:rPr>
          <w:sz w:val="22"/>
          <w:szCs w:val="22"/>
          <w:lang w:val="en-GB"/>
        </w:rPr>
        <w:t>Firstly, we ass</w:t>
      </w:r>
      <w:r w:rsidR="003E7FF0">
        <w:rPr>
          <w:sz w:val="22"/>
          <w:szCs w:val="22"/>
          <w:lang w:val="en-GB"/>
        </w:rPr>
        <w:t>imilate</w:t>
      </w:r>
      <w:r>
        <w:rPr>
          <w:sz w:val="22"/>
          <w:szCs w:val="22"/>
          <w:lang w:val="en-GB"/>
        </w:rPr>
        <w:t xml:space="preserve"> our Pliocene case study both on monthly and seasonal scale. Seasons are, in this case, defined as three-monthly (quarter-year) time bins, </w:t>
      </w:r>
      <w:r w:rsidRPr="00E64B84">
        <w:rPr>
          <w:i/>
          <w:iCs/>
          <w:sz w:val="22"/>
          <w:szCs w:val="22"/>
          <w:lang w:val="en-GB"/>
        </w:rPr>
        <w:t>sensu</w:t>
      </w:r>
      <w:r>
        <w:rPr>
          <w:sz w:val="22"/>
          <w:szCs w:val="22"/>
          <w:lang w:val="en-GB"/>
        </w:rPr>
        <w:t xml:space="preserve"> </w:t>
      </w:r>
      <w:r>
        <w:rPr>
          <w:sz w:val="22"/>
          <w:szCs w:val="22"/>
          <w:lang w:val="en-GB"/>
        </w:rPr>
        <w:fldChar w:fldCharType="begin"/>
      </w:r>
      <w:r>
        <w:rPr>
          <w:sz w:val="22"/>
          <w:szCs w:val="22"/>
          <w:lang w:val="en-GB"/>
        </w:rPr>
        <w:instrText xml:space="preserve"> ADDIN ZOTERO_ITEM CSL_CITATION {"citationID":"63oFNWU2","properties":{"formattedCitation":"(de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Pr="00E64B84">
        <w:rPr>
          <w:rFonts w:ascii="Aptos" w:hAnsi="Aptos"/>
          <w:sz w:val="22"/>
        </w:rPr>
        <w:t>(de Winter et al., 2024)</w:t>
      </w:r>
      <w:r>
        <w:rPr>
          <w:sz w:val="22"/>
          <w:szCs w:val="22"/>
          <w:lang w:val="en-GB"/>
        </w:rPr>
        <w:fldChar w:fldCharType="end"/>
      </w:r>
      <w:r>
        <w:rPr>
          <w:sz w:val="22"/>
          <w:szCs w:val="22"/>
          <w:lang w:val="en-GB"/>
        </w:rPr>
        <w:t>.</w:t>
      </w:r>
    </w:p>
    <w:p w14:paraId="4B0B8221" w14:textId="6689F293" w:rsidR="00D11201" w:rsidRDefault="00E64B84" w:rsidP="00B4717D">
      <w:pPr>
        <w:jc w:val="both"/>
        <w:rPr>
          <w:sz w:val="22"/>
          <w:szCs w:val="22"/>
          <w:lang w:val="en-GB"/>
        </w:rPr>
      </w:pPr>
      <w:r>
        <w:rPr>
          <w:sz w:val="22"/>
          <w:szCs w:val="22"/>
          <w:lang w:val="en-GB"/>
        </w:rPr>
        <w:t xml:space="preserve">Secondly, we use uncertainties on sub-annual age models through climate records in the Pliocene case study calculated using the </w:t>
      </w:r>
      <w:proofErr w:type="spellStart"/>
      <w:r>
        <w:rPr>
          <w:sz w:val="22"/>
          <w:szCs w:val="22"/>
          <w:lang w:val="en-GB"/>
        </w:rPr>
        <w:t>ShellChron</w:t>
      </w:r>
      <w:proofErr w:type="spellEnd"/>
      <w:r>
        <w:rPr>
          <w:sz w:val="22"/>
          <w:szCs w:val="22"/>
          <w:lang w:val="en-GB"/>
        </w:rPr>
        <w:t xml:space="preserve"> routine with Monte Carlo uncertainty estimation </w:t>
      </w:r>
      <w:r>
        <w:rPr>
          <w:sz w:val="22"/>
          <w:szCs w:val="22"/>
          <w:lang w:val="en-GB"/>
        </w:rPr>
        <w:fldChar w:fldCharType="begin"/>
      </w:r>
      <w:r>
        <w:rPr>
          <w:sz w:val="22"/>
          <w:szCs w:val="22"/>
          <w:lang w:val="en-GB"/>
        </w:rPr>
        <w:instrText xml:space="preserve"> ADDIN ZOTERO_ITEM CSL_CITATION {"citationID":"uB7LFpyd","properties":{"formattedCitation":"(de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Pr>
          <w:sz w:val="22"/>
          <w:szCs w:val="22"/>
          <w:lang w:val="en-GB"/>
        </w:rPr>
        <w:fldChar w:fldCharType="separate"/>
      </w:r>
      <w:r w:rsidRPr="00E64B84">
        <w:rPr>
          <w:rFonts w:ascii="Aptos" w:hAnsi="Aptos"/>
          <w:sz w:val="22"/>
        </w:rPr>
        <w:t>(de Winter, 2022)</w:t>
      </w:r>
      <w:r>
        <w:rPr>
          <w:sz w:val="22"/>
          <w:szCs w:val="22"/>
          <w:lang w:val="en-GB"/>
        </w:rPr>
        <w:fldChar w:fldCharType="end"/>
      </w:r>
      <w:r>
        <w:rPr>
          <w:sz w:val="22"/>
          <w:szCs w:val="22"/>
          <w:lang w:val="en-GB"/>
        </w:rPr>
        <w:t xml:space="preserve"> to propagate the impact of internal dating uncertainty on the data assimilation product and proxy-model comparison. </w:t>
      </w:r>
      <w:r w:rsidR="00D11201">
        <w:rPr>
          <w:sz w:val="22"/>
          <w:szCs w:val="22"/>
          <w:lang w:val="en-GB"/>
        </w:rPr>
        <w:t xml:space="preserve">To do so, we assigned a probability of each datapoint belonging to any of the monthly time bins in the observation matrix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(see 2.2.1) by representing each combination of a sample and a time bin with a value between 0 and 1 representing this probability. These probabilities were calculated by using a wrapped normal distribution:</w:t>
      </w:r>
    </w:p>
    <w:p w14:paraId="74149882" w14:textId="4029A1F6" w:rsidR="00D11201" w:rsidRDefault="00000000" w:rsidP="00B4717D">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H</m:t>
              </m:r>
            </m:e>
            <m:sub>
              <m:r>
                <w:rPr>
                  <w:rFonts w:ascii="Cambria Math" w:hAnsi="Cambria Math"/>
                  <w:sz w:val="22"/>
                  <w:szCs w:val="22"/>
                  <w:lang w:val="en-GB"/>
                </w:rPr>
                <m:t>sample,t</m:t>
              </m:r>
            </m:sub>
          </m:sSub>
          <m:r>
            <w:rPr>
              <w:rFonts w:ascii="Cambria Math" w:hAnsi="Cambria Math"/>
              <w:sz w:val="22"/>
              <w:szCs w:val="22"/>
              <w:lang w:val="en-GB"/>
            </w:rPr>
            <m:t>=</m:t>
          </m:r>
          <m:f>
            <m:fPr>
              <m:ctrlPr>
                <w:rPr>
                  <w:rFonts w:ascii="Cambria Math" w:hAnsi="Cambria Math"/>
                  <w:i/>
                  <w:sz w:val="22"/>
                  <w:szCs w:val="22"/>
                  <w:lang w:val="en-GB"/>
                </w:rPr>
              </m:ctrlPr>
            </m:fPr>
            <m:num>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num>
            <m:den>
              <m:nary>
                <m:naryPr>
                  <m:chr m:val="∑"/>
                  <m:limLoc m:val="undOvr"/>
                  <m:subHide m:val="1"/>
                  <m:supHide m:val="1"/>
                  <m:ctrlPr>
                    <w:rPr>
                      <w:rFonts w:ascii="Cambria Math" w:hAnsi="Cambria Math"/>
                      <w:i/>
                      <w:sz w:val="22"/>
                      <w:szCs w:val="22"/>
                      <w:lang w:val="en-GB"/>
                    </w:rPr>
                  </m:ctrlPr>
                </m:naryPr>
                <m:sub/>
                <m:sup/>
                <m:e>
                  <m:d>
                    <m:dPr>
                      <m:ctrlPr>
                        <w:rPr>
                          <w:rFonts w:ascii="Cambria Math" w:hAnsi="Cambria Math"/>
                          <w:i/>
                          <w:sz w:val="22"/>
                          <w:szCs w:val="22"/>
                          <w:lang w:val="en-GB"/>
                        </w:rPr>
                      </m:ctrlPr>
                    </m:dPr>
                    <m:e>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e>
                  </m:d>
                </m:e>
              </m:nary>
            </m:den>
          </m:f>
          <m:r>
            <w:rPr>
              <w:rFonts w:ascii="Cambria Math" w:hAnsi="Cambria Math"/>
              <w:sz w:val="22"/>
              <w:szCs w:val="22"/>
              <w:lang w:val="en-GB"/>
            </w:rPr>
            <m:t>for t in B</m:t>
          </m:r>
        </m:oMath>
      </m:oMathPara>
    </w:p>
    <w:p w14:paraId="52C24CD9" w14:textId="65664355" w:rsidR="00F86172" w:rsidRPr="006630F6" w:rsidRDefault="00425D2F" w:rsidP="00B4717D">
      <w:pPr>
        <w:jc w:val="both"/>
        <w:rPr>
          <w:sz w:val="22"/>
          <w:szCs w:val="22"/>
          <w:lang w:val="en-GB"/>
        </w:rPr>
      </w:pPr>
      <w:r>
        <w:rPr>
          <w:sz w:val="22"/>
          <w:szCs w:val="22"/>
          <w:lang w:val="en-GB"/>
        </w:rPr>
        <w:t>Here, each entry for the sample in the observation matrix</w:t>
      </w:r>
      <w:r w:rsidR="006630F6">
        <w:rPr>
          <w:sz w:val="22"/>
          <w:szCs w:val="22"/>
          <w:lang w:val="en-GB"/>
        </w:rPr>
        <w:t xml:space="preserve"> for a given time bin </w:t>
      </w:r>
      <w:r w:rsidR="006630F6">
        <w:rPr>
          <w:i/>
          <w:iCs/>
          <w:sz w:val="22"/>
          <w:szCs w:val="22"/>
          <w:lang w:val="en-GB"/>
        </w:rPr>
        <w:t>t</w:t>
      </w:r>
      <w:r>
        <w:rPr>
          <w:sz w:val="22"/>
          <w:szCs w:val="22"/>
          <w:lang w:val="en-GB"/>
        </w:rPr>
        <w:t xml:space="preserve"> (</w:t>
      </w:r>
      <w:proofErr w:type="spellStart"/>
      <w:r w:rsidRPr="00425D2F">
        <w:rPr>
          <w:b/>
          <w:bCs/>
          <w:i/>
          <w:iCs/>
          <w:sz w:val="22"/>
          <w:szCs w:val="22"/>
          <w:lang w:val="en-GB"/>
        </w:rPr>
        <w:t>H</w:t>
      </w:r>
      <w:r w:rsidRPr="00425D2F">
        <w:rPr>
          <w:b/>
          <w:bCs/>
          <w:i/>
          <w:iCs/>
          <w:sz w:val="22"/>
          <w:szCs w:val="22"/>
          <w:vertAlign w:val="subscript"/>
          <w:lang w:val="en-GB"/>
        </w:rPr>
        <w:t>sample,t</w:t>
      </w:r>
      <w:proofErr w:type="spellEnd"/>
      <w:r>
        <w:rPr>
          <w:sz w:val="22"/>
          <w:szCs w:val="22"/>
          <w:lang w:val="en-GB"/>
        </w:rPr>
        <w:t xml:space="preserve">) </w:t>
      </w:r>
      <w:r w:rsidR="006630F6">
        <w:rPr>
          <w:sz w:val="22"/>
          <w:szCs w:val="22"/>
          <w:lang w:val="en-GB"/>
        </w:rPr>
        <w:t xml:space="preserve">is </w:t>
      </w:r>
      <w:r w:rsidR="00D11201">
        <w:rPr>
          <w:sz w:val="22"/>
          <w:szCs w:val="22"/>
          <w:lang w:val="en-GB"/>
        </w:rPr>
        <w:t>described by</w:t>
      </w:r>
      <w:r w:rsidR="006630F6">
        <w:rPr>
          <w:sz w:val="22"/>
          <w:szCs w:val="22"/>
          <w:lang w:val="en-GB"/>
        </w:rPr>
        <w:t xml:space="preserve"> the relative probability that that sample falls within that time bin. This probability is described by a normal distribution with</w:t>
      </w:r>
      <w:r w:rsidR="00D11201">
        <w:rPr>
          <w:sz w:val="22"/>
          <w:szCs w:val="22"/>
          <w:lang w:val="en-GB"/>
        </w:rPr>
        <w:t xml:space="preserve"> the mean age of the datapoint (</w:t>
      </w:r>
      <w:proofErr w:type="spellStart"/>
      <w:r w:rsidR="006630F6">
        <w:rPr>
          <w:i/>
          <w:iCs/>
          <w:sz w:val="22"/>
          <w:szCs w:val="22"/>
          <w:lang w:val="en-GB"/>
        </w:rPr>
        <w:t>T</w:t>
      </w:r>
      <w:r w:rsidR="006630F6">
        <w:rPr>
          <w:i/>
          <w:iCs/>
          <w:sz w:val="22"/>
          <w:szCs w:val="22"/>
          <w:vertAlign w:val="subscript"/>
          <w:lang w:val="en-GB"/>
        </w:rPr>
        <w:t>sample</w:t>
      </w:r>
      <w:proofErr w:type="spellEnd"/>
      <w:r w:rsidR="006630F6">
        <w:rPr>
          <w:sz w:val="22"/>
          <w:szCs w:val="22"/>
          <w:lang w:val="en-GB"/>
        </w:rPr>
        <w:t xml:space="preserve"> in</w:t>
      </w:r>
      <w:r w:rsidR="00D11201">
        <w:rPr>
          <w:sz w:val="22"/>
          <w:szCs w:val="22"/>
          <w:lang w:val="en-GB"/>
        </w:rPr>
        <w:t xml:space="preserve"> day</w:t>
      </w:r>
      <w:r w:rsidR="006630F6">
        <w:rPr>
          <w:sz w:val="22"/>
          <w:szCs w:val="22"/>
          <w:lang w:val="en-GB"/>
        </w:rPr>
        <w:t>s</w:t>
      </w:r>
      <w:r w:rsidR="00D11201">
        <w:rPr>
          <w:sz w:val="22"/>
          <w:szCs w:val="22"/>
          <w:lang w:val="en-GB"/>
        </w:rPr>
        <w:t xml:space="preserve"> of the year) as the mean of the distribution and </w:t>
      </w:r>
      <w:r w:rsidR="006630F6">
        <w:rPr>
          <w:sz w:val="22"/>
          <w:szCs w:val="22"/>
          <w:lang w:val="en-GB"/>
        </w:rPr>
        <w:t>the uncertainty on the sample age (</w:t>
      </w:r>
      <w:proofErr w:type="spellStart"/>
      <w:r w:rsidR="006630F6">
        <w:rPr>
          <w:i/>
          <w:iCs/>
          <w:sz w:val="22"/>
          <w:szCs w:val="22"/>
          <w:lang w:val="en-GB"/>
        </w:rPr>
        <w:t>σ</w:t>
      </w:r>
      <w:r w:rsidR="006630F6">
        <w:rPr>
          <w:i/>
          <w:iCs/>
          <w:sz w:val="22"/>
          <w:szCs w:val="22"/>
          <w:vertAlign w:val="subscript"/>
          <w:lang w:val="en-GB"/>
        </w:rPr>
        <w:t>sample</w:t>
      </w:r>
      <w:proofErr w:type="spellEnd"/>
      <w:r w:rsidR="006630F6">
        <w:rPr>
          <w:sz w:val="22"/>
          <w:szCs w:val="22"/>
          <w:lang w:val="en-GB"/>
        </w:rPr>
        <w:t xml:space="preserve"> in days of the year) as the standard deviation of the distribution. The collection </w:t>
      </w:r>
      <w:r w:rsidR="006630F6">
        <w:rPr>
          <w:i/>
          <w:iCs/>
          <w:sz w:val="22"/>
          <w:szCs w:val="22"/>
          <w:lang w:val="en-GB"/>
        </w:rPr>
        <w:t>B</w:t>
      </w:r>
      <w:r w:rsidR="006630F6">
        <w:rPr>
          <w:sz w:val="22"/>
          <w:szCs w:val="22"/>
          <w:lang w:val="en-GB"/>
        </w:rPr>
        <w:t xml:space="preserve"> describes the range of possible time bins (e.g. 12 in the case of monthly time binning).</w:t>
      </w:r>
      <w:r w:rsidR="00F86397">
        <w:rPr>
          <w:sz w:val="22"/>
          <w:szCs w:val="22"/>
          <w:lang w:val="en-GB"/>
        </w:rPr>
        <w:t xml:space="preserve"> Assigning these probabilities to the observation </w:t>
      </w:r>
      <w:r w:rsidR="00F86397">
        <w:rPr>
          <w:sz w:val="22"/>
          <w:szCs w:val="22"/>
          <w:lang w:val="en-GB"/>
        </w:rPr>
        <w:lastRenderedPageBreak/>
        <w:t xml:space="preserve">matrix ensures that the weight of each datapoint in the assimilation is proportional to the chance that that datapoint belongs to the time bin in question. The data assimilation </w:t>
      </w:r>
      <w:r w:rsidR="00107CB6">
        <w:rPr>
          <w:sz w:val="22"/>
          <w:szCs w:val="22"/>
          <w:lang w:val="en-GB"/>
        </w:rPr>
        <w:t xml:space="preserve">is otherwise </w:t>
      </w:r>
      <w:r w:rsidR="00F86397">
        <w:rPr>
          <w:sz w:val="22"/>
          <w:szCs w:val="22"/>
          <w:lang w:val="en-GB"/>
        </w:rPr>
        <w:t>identical to the</w:t>
      </w:r>
      <w:r w:rsidR="00107CB6">
        <w:rPr>
          <w:sz w:val="22"/>
          <w:szCs w:val="22"/>
          <w:lang w:val="en-GB"/>
        </w:rPr>
        <w:t xml:space="preserve"> default case where time uncertainty is ignored (see 2.2.1).</w:t>
      </w:r>
    </w:p>
    <w:p w14:paraId="0C74CC9C" w14:textId="0184CBEA" w:rsidR="00B4717D" w:rsidRDefault="00B4717D" w:rsidP="00B4717D">
      <w:pPr>
        <w:jc w:val="both"/>
        <w:rPr>
          <w:sz w:val="22"/>
          <w:szCs w:val="22"/>
          <w:lang w:val="en-GB"/>
        </w:rPr>
      </w:pPr>
      <w:r>
        <w:rPr>
          <w:sz w:val="22"/>
          <w:szCs w:val="22"/>
          <w:lang w:val="en-GB"/>
        </w:rPr>
        <w:t>2.3.2 Propagating proxy measurement uncertainty</w:t>
      </w:r>
    </w:p>
    <w:p w14:paraId="4AAA10C8" w14:textId="522913A9" w:rsidR="00B4717D" w:rsidRPr="00540DB4" w:rsidRDefault="00EA5404" w:rsidP="00B4717D">
      <w:pPr>
        <w:jc w:val="both"/>
        <w:rPr>
          <w:sz w:val="22"/>
          <w:szCs w:val="22"/>
          <w:lang w:val="en-GB"/>
        </w:rPr>
      </w:pPr>
      <w:r>
        <w:rPr>
          <w:sz w:val="22"/>
          <w:szCs w:val="22"/>
          <w:lang w:val="en-GB"/>
        </w:rPr>
        <w:t xml:space="preserve">To test the effect of proxy uncertainty on the data assimilation, we </w:t>
      </w:r>
      <w:r w:rsidR="003E7FF0">
        <w:rPr>
          <w:sz w:val="22"/>
          <w:szCs w:val="22"/>
          <w:lang w:val="en-GB"/>
        </w:rPr>
        <w:t>assimilate</w:t>
      </w:r>
      <w:r>
        <w:rPr>
          <w:sz w:val="22"/>
          <w:szCs w:val="22"/>
          <w:lang w:val="en-GB"/>
        </w:rPr>
        <w:t xml:space="preserve">d different versions of the modern case study </w:t>
      </w:r>
      <w:r w:rsidR="00681201">
        <w:rPr>
          <w:sz w:val="22"/>
          <w:szCs w:val="22"/>
          <w:lang w:val="en-GB"/>
        </w:rPr>
        <w:t>while artificially varying uncertainties on Δ</w:t>
      </w:r>
      <w:r w:rsidR="00681201" w:rsidRPr="00E17C34">
        <w:rPr>
          <w:sz w:val="22"/>
          <w:szCs w:val="22"/>
          <w:vertAlign w:val="subscript"/>
          <w:lang w:val="en-GB"/>
        </w:rPr>
        <w:t>47</w:t>
      </w:r>
      <w:r w:rsidR="00681201">
        <w:rPr>
          <w:sz w:val="22"/>
          <w:szCs w:val="22"/>
          <w:lang w:val="en-GB"/>
        </w:rPr>
        <w:t xml:space="preserve"> and δ</w:t>
      </w:r>
      <w:r w:rsidR="00681201">
        <w:rPr>
          <w:sz w:val="22"/>
          <w:szCs w:val="22"/>
          <w:vertAlign w:val="superscript"/>
          <w:lang w:val="en-GB"/>
        </w:rPr>
        <w:t>18</w:t>
      </w:r>
      <w:r w:rsidR="00681201">
        <w:rPr>
          <w:sz w:val="22"/>
          <w:szCs w:val="22"/>
          <w:lang w:val="en-GB"/>
        </w:rPr>
        <w:t>O</w:t>
      </w:r>
      <w:r w:rsidR="00681201">
        <w:rPr>
          <w:sz w:val="22"/>
          <w:szCs w:val="22"/>
          <w:vertAlign w:val="subscript"/>
          <w:lang w:val="en-US"/>
        </w:rPr>
        <w:t>c</w:t>
      </w:r>
      <w:r w:rsidR="00681201">
        <w:rPr>
          <w:sz w:val="22"/>
          <w:szCs w:val="22"/>
          <w:lang w:val="en-US"/>
        </w:rPr>
        <w:t xml:space="preserve"> in the likelihood.</w:t>
      </w:r>
      <w:r w:rsidR="00540DB4">
        <w:rPr>
          <w:sz w:val="22"/>
          <w:szCs w:val="22"/>
          <w:lang w:val="en-US"/>
        </w:rPr>
        <w:t xml:space="preserve"> To do so, we artificially increased or decreased the standard deviation of measurement precision for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 by a factor of 10, and repeated the data assimilation procedure for cases where only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precision or only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precision were increased/decreased </w:t>
      </w:r>
      <w:r w:rsidR="003E7FF0">
        <w:rPr>
          <w:sz w:val="22"/>
          <w:szCs w:val="22"/>
          <w:lang w:val="en-US"/>
        </w:rPr>
        <w:t>and cases where both proxies were artificially rendered more or less precise.</w:t>
      </w:r>
      <w:r w:rsidR="00681201">
        <w:rPr>
          <w:sz w:val="22"/>
          <w:szCs w:val="22"/>
          <w:lang w:val="en-US"/>
        </w:rPr>
        <w:t xml:space="preserve"> </w:t>
      </w:r>
      <w:r w:rsidR="00A2177C">
        <w:rPr>
          <w:sz w:val="22"/>
          <w:szCs w:val="22"/>
          <w:lang w:val="en-US"/>
        </w:rPr>
        <w:t xml:space="preserve">We also tested the effect of </w:t>
      </w:r>
      <w:r w:rsidR="003E7FF0">
        <w:rPr>
          <w:sz w:val="22"/>
          <w:szCs w:val="22"/>
          <w:lang w:val="en-US"/>
        </w:rPr>
        <w:t>assimilating</w:t>
      </w:r>
      <w:r w:rsidR="00540DB4">
        <w:rPr>
          <w:sz w:val="22"/>
          <w:szCs w:val="22"/>
          <w:lang w:val="en-US"/>
        </w:rPr>
        <w:t xml:space="preserve"> individual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datapoints one-by-one </w:t>
      </w:r>
      <w:r w:rsidR="003E7FF0">
        <w:rPr>
          <w:sz w:val="22"/>
          <w:szCs w:val="22"/>
          <w:lang w:val="en-US"/>
        </w:rPr>
        <w:t>versus</w:t>
      </w:r>
      <w:r w:rsidR="00540DB4">
        <w:rPr>
          <w:sz w:val="22"/>
          <w:szCs w:val="22"/>
          <w:lang w:val="en-US"/>
        </w:rPr>
        <w:t xml:space="preserve"> aggregating likelihood data in monthly time bins first before ass</w:t>
      </w:r>
      <w:r w:rsidR="003E7FF0">
        <w:rPr>
          <w:sz w:val="22"/>
          <w:szCs w:val="22"/>
          <w:lang w:val="en-US"/>
        </w:rPr>
        <w:t>imilation</w:t>
      </w:r>
      <w:r w:rsidR="00540DB4">
        <w:rPr>
          <w:sz w:val="22"/>
          <w:szCs w:val="22"/>
          <w:lang w:val="en-US"/>
        </w:rPr>
        <w:t xml:space="preserve">. </w:t>
      </w:r>
      <w:r w:rsidR="003E7FF0">
        <w:rPr>
          <w:sz w:val="22"/>
          <w:szCs w:val="22"/>
          <w:lang w:val="en-US"/>
        </w:rPr>
        <w:t>In the first case, we applied the enhanced or reduced precision described above to individual datapoints, while in the latter case we increased or decreased the precision of the aggregated monthly proxy value.</w:t>
      </w:r>
    </w:p>
    <w:p w14:paraId="692FBECB" w14:textId="344ABAF8" w:rsidR="00B4717D" w:rsidRDefault="00B4717D" w:rsidP="00B4717D">
      <w:pPr>
        <w:jc w:val="both"/>
        <w:rPr>
          <w:sz w:val="22"/>
          <w:szCs w:val="22"/>
          <w:lang w:val="en-GB"/>
        </w:rPr>
      </w:pPr>
      <w:r>
        <w:rPr>
          <w:sz w:val="22"/>
          <w:szCs w:val="22"/>
          <w:lang w:val="en-GB"/>
        </w:rPr>
        <w:t xml:space="preserve">2.3.3 </w:t>
      </w:r>
      <w:r w:rsidR="003E7FF0">
        <w:rPr>
          <w:sz w:val="22"/>
          <w:szCs w:val="22"/>
          <w:lang w:val="en-GB"/>
        </w:rPr>
        <w:t>Assimilating</w:t>
      </w:r>
      <w:r>
        <w:rPr>
          <w:sz w:val="22"/>
          <w:szCs w:val="22"/>
          <w:lang w:val="en-GB"/>
        </w:rPr>
        <w:t xml:space="preserve"> multiple proxies</w:t>
      </w:r>
    </w:p>
    <w:p w14:paraId="0378073F" w14:textId="1878F7BD" w:rsidR="00B4717D" w:rsidRDefault="003E7FF0" w:rsidP="00B4717D">
      <w:pPr>
        <w:jc w:val="both"/>
        <w:rPr>
          <w:sz w:val="22"/>
          <w:szCs w:val="22"/>
          <w:lang w:val="en-GB"/>
        </w:rPr>
      </w:pPr>
      <w:r>
        <w:rPr>
          <w:sz w:val="22"/>
          <w:szCs w:val="22"/>
          <w:lang w:val="en-GB"/>
        </w:rPr>
        <w:t>Since both Δ</w:t>
      </w:r>
      <w:r w:rsidRPr="00E17C34">
        <w:rPr>
          <w:sz w:val="22"/>
          <w:szCs w:val="22"/>
          <w:vertAlign w:val="subscript"/>
          <w:lang w:val="en-GB"/>
        </w:rPr>
        <w:t>47</w:t>
      </w:r>
      <w:r>
        <w:rPr>
          <w:sz w:val="22"/>
          <w:szCs w:val="22"/>
          <w:lang w:val="en-GB"/>
        </w:rPr>
        <w:t xml:space="preserve"> and δ</w:t>
      </w:r>
      <w:r>
        <w:rPr>
          <w:sz w:val="22"/>
          <w:szCs w:val="22"/>
          <w:vertAlign w:val="superscript"/>
          <w:lang w:val="en-GB"/>
        </w:rPr>
        <w:t>18</w:t>
      </w:r>
      <w:r>
        <w:rPr>
          <w:sz w:val="22"/>
          <w:szCs w:val="22"/>
          <w:lang w:val="en-GB"/>
        </w:rPr>
        <w:t>O</w:t>
      </w:r>
      <w:r>
        <w:rPr>
          <w:sz w:val="22"/>
          <w:szCs w:val="22"/>
          <w:vertAlign w:val="subscript"/>
          <w:lang w:val="en-US"/>
        </w:rPr>
        <w:t>c</w:t>
      </w:r>
      <w:r>
        <w:rPr>
          <w:sz w:val="22"/>
          <w:szCs w:val="22"/>
          <w:lang w:val="en-US"/>
        </w:rPr>
        <w:t xml:space="preserve"> </w:t>
      </w:r>
      <w:r w:rsidR="005A4B7C">
        <w:rPr>
          <w:sz w:val="22"/>
          <w:szCs w:val="22"/>
          <w:lang w:val="en-US"/>
        </w:rPr>
        <w:t xml:space="preserve">are related to the same climate variable (SST), we </w:t>
      </w:r>
      <w:r w:rsidR="00402433">
        <w:rPr>
          <w:sz w:val="22"/>
          <w:szCs w:val="22"/>
          <w:lang w:val="en-US"/>
        </w:rPr>
        <w:t xml:space="preserve">tested the impact of assembling only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or only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information on the posterior of the modern case study. This allows us to discuss the impact of potential “feedback” mechanisms in our data assimilation procedure caused by the “competition” of two sources of proxy data for updating the variance of the same climate variable. To do this, we simply removed the likelihood information from the other proxy variable from the assimilation routine and compared the outcomes with and without both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and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data.</w:t>
      </w:r>
    </w:p>
    <w:p w14:paraId="2420E331" w14:textId="60B6E3A5" w:rsidR="00B4717D" w:rsidRPr="00256EAA" w:rsidRDefault="00B4717D" w:rsidP="00B4717D">
      <w:pPr>
        <w:jc w:val="both"/>
        <w:rPr>
          <w:sz w:val="22"/>
          <w:szCs w:val="22"/>
          <w:lang w:val="en-GB"/>
        </w:rPr>
      </w:pPr>
      <w:r>
        <w:rPr>
          <w:sz w:val="22"/>
          <w:szCs w:val="22"/>
          <w:lang w:val="en-GB"/>
        </w:rPr>
        <w:t xml:space="preserve">2.3.4 </w:t>
      </w:r>
      <w:r w:rsidRPr="00B4717D">
        <w:rPr>
          <w:sz w:val="22"/>
          <w:szCs w:val="22"/>
          <w:lang w:val="en-GB"/>
        </w:rPr>
        <w:t>Treatment of uncertainty</w:t>
      </w:r>
      <w:r>
        <w:rPr>
          <w:sz w:val="22"/>
          <w:szCs w:val="22"/>
          <w:lang w:val="en-GB"/>
        </w:rPr>
        <w:t xml:space="preserve"> and choice</w:t>
      </w:r>
      <w:r w:rsidRPr="00B4717D">
        <w:rPr>
          <w:sz w:val="22"/>
          <w:szCs w:val="22"/>
          <w:lang w:val="en-GB"/>
        </w:rPr>
        <w:t xml:space="preserve"> in proxy-forward models</w:t>
      </w:r>
    </w:p>
    <w:p w14:paraId="4243F8EF" w14:textId="4C6DDFDC" w:rsidR="00B4717D" w:rsidRPr="00B4717D" w:rsidRDefault="00402433" w:rsidP="00085AC6">
      <w:pPr>
        <w:jc w:val="both"/>
        <w:rPr>
          <w:sz w:val="22"/>
          <w:szCs w:val="22"/>
          <w:lang w:val="en-GB"/>
        </w:rPr>
      </w:pPr>
      <w:r>
        <w:rPr>
          <w:sz w:val="22"/>
          <w:szCs w:val="22"/>
          <w:lang w:val="en-GB"/>
        </w:rPr>
        <w:t xml:space="preserve">Two </w:t>
      </w:r>
      <w:r w:rsidR="001E5F2C">
        <w:rPr>
          <w:sz w:val="22"/>
          <w:szCs w:val="22"/>
          <w:lang w:val="en-GB"/>
        </w:rPr>
        <w:t xml:space="preserve">potentially significant </w:t>
      </w:r>
      <w:r>
        <w:rPr>
          <w:sz w:val="22"/>
          <w:szCs w:val="22"/>
          <w:lang w:val="en-GB"/>
        </w:rPr>
        <w:t xml:space="preserve">choices </w:t>
      </w:r>
      <w:r w:rsidR="001E5F2C">
        <w:rPr>
          <w:sz w:val="22"/>
          <w:szCs w:val="22"/>
          <w:lang w:val="en-GB"/>
        </w:rPr>
        <w:t xml:space="preserve">are made in our data assimilation </w:t>
      </w:r>
      <w:r w:rsidR="001C0AB9">
        <w:rPr>
          <w:sz w:val="22"/>
          <w:szCs w:val="22"/>
          <w:lang w:val="en-GB"/>
        </w:rPr>
        <w:t>procedure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proxy data climate variables: Firstly, the</w:t>
      </w:r>
      <w:r w:rsidR="00B4717D" w:rsidRPr="00B4717D">
        <w:rPr>
          <w:sz w:val="22"/>
          <w:szCs w:val="22"/>
          <w:lang w:val="en-GB"/>
        </w:rPr>
        <w:t xml:space="preserve">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sidR="00B4717D" w:rsidRPr="00B4717D">
        <w:rPr>
          <w:sz w:val="22"/>
          <w:szCs w:val="22"/>
          <w:lang w:val="en-GB"/>
        </w:rPr>
        <w:t xml:space="preserve"> calibration</w:t>
      </w:r>
      <w:r w:rsidR="001C0AB9">
        <w:rPr>
          <w:sz w:val="22"/>
          <w:szCs w:val="22"/>
          <w:lang w:val="en-GB"/>
        </w:rPr>
        <w:t xml:space="preserve"> by </w:t>
      </w:r>
      <w:r w:rsidR="001C0AB9">
        <w:rPr>
          <w:sz w:val="22"/>
          <w:szCs w:val="22"/>
          <w:lang w:val="en-GB"/>
        </w:rPr>
        <w:fldChar w:fldCharType="begin"/>
      </w:r>
      <w:r w:rsidR="00085AC6">
        <w:rPr>
          <w:sz w:val="22"/>
          <w:szCs w:val="22"/>
          <w:lang w:val="en-GB"/>
        </w:rPr>
        <w:instrText xml:space="preserve"> ADDIN ZOTERO_ITEM CSL_CITATION {"citationID":"XQ5BBGn4","properties":{"formattedCitation":"(Grossman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C0AB9">
        <w:rPr>
          <w:sz w:val="22"/>
          <w:szCs w:val="22"/>
          <w:lang w:val="en-GB"/>
        </w:rPr>
        <w:fldChar w:fldCharType="separate"/>
      </w:r>
      <w:r w:rsidR="001C0AB9" w:rsidRPr="001966CD">
        <w:rPr>
          <w:rFonts w:ascii="Aptos" w:hAnsi="Aptos"/>
          <w:sz w:val="22"/>
        </w:rPr>
        <w:t>(Grossman and Ku, 1986)</w:t>
      </w:r>
      <w:r w:rsidR="001C0AB9">
        <w:rPr>
          <w:sz w:val="22"/>
          <w:szCs w:val="22"/>
          <w:lang w:val="en-GB"/>
        </w:rPr>
        <w:fldChar w:fldCharType="end"/>
      </w:r>
      <w:r w:rsidR="001C0AB9">
        <w:rPr>
          <w:sz w:val="22"/>
          <w:szCs w:val="22"/>
          <w:lang w:val="en-GB"/>
        </w:rPr>
        <w:t xml:space="preserve"> modified by </w:t>
      </w:r>
      <w:r w:rsidR="001C0AB9">
        <w:rPr>
          <w:sz w:val="22"/>
          <w:szCs w:val="22"/>
          <w:lang w:val="en-GB"/>
        </w:rPr>
        <w:fldChar w:fldCharType="begin"/>
      </w:r>
      <w:r w:rsidR="00085AC6">
        <w:rPr>
          <w:sz w:val="22"/>
          <w:szCs w:val="22"/>
          <w:lang w:val="en-GB"/>
        </w:rPr>
        <w:instrText xml:space="preserve"> ADDIN ZOTERO_ITEM CSL_CITATION {"citationID":"WJkkJr3V","properties":{"formattedCitation":"(Dettman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C0AB9">
        <w:rPr>
          <w:sz w:val="22"/>
          <w:szCs w:val="22"/>
          <w:lang w:val="en-GB"/>
        </w:rPr>
        <w:fldChar w:fldCharType="separate"/>
      </w:r>
      <w:r w:rsidR="001C0AB9" w:rsidRPr="001966CD">
        <w:rPr>
          <w:rFonts w:ascii="Aptos" w:hAnsi="Aptos"/>
          <w:sz w:val="22"/>
        </w:rPr>
        <w:t>(Dettman et al., 1999; Gonfiantini et al., 1995)</w:t>
      </w:r>
      <w:r w:rsidR="001C0AB9">
        <w:rPr>
          <w:sz w:val="22"/>
          <w:szCs w:val="22"/>
          <w:lang w:val="en-GB"/>
        </w:rPr>
        <w:fldChar w:fldCharType="end"/>
      </w:r>
      <w:r w:rsidR="001C0AB9">
        <w:rPr>
          <w:sz w:val="22"/>
          <w:szCs w:val="22"/>
          <w:lang w:val="en-GB"/>
        </w:rPr>
        <w:t xml:space="preserve"> is used by default (see 2.2.1 and 2.2.3) while there are other options for correlating aragonitic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temperature and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(e.g. </w:t>
      </w:r>
      <w:r w:rsidR="001C0AB9">
        <w:rPr>
          <w:sz w:val="22"/>
          <w:szCs w:val="22"/>
          <w:lang w:val="en-GB"/>
        </w:rPr>
        <w:fldChar w:fldCharType="begin"/>
      </w:r>
      <w:r w:rsidR="00085AC6">
        <w:rPr>
          <w:sz w:val="22"/>
          <w:szCs w:val="22"/>
          <w:lang w:val="en-GB"/>
        </w:rPr>
        <w:instrText xml:space="preserve"> ADDIN ZOTERO_ITEM CSL_CITATION {"citationID":"oH5JLscp","properties":{"formattedCitation":"(Kim et al., 2007; L\\uc0\\u233{}cuyer et al., 2012)","plainCitation":"(Kim et al., 2007; Lécuyer et al., 2012)","noteIndex":0},"citationItems":[{"id":1285,"uris":["http://zotero.org/users/2470179/items/PNJWJ3VT"],"itemData":{"id":1285,"type":"article-journal","abstract":"Aragonite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85AC6">
        <w:rPr>
          <w:rFonts w:ascii="Cambria Math" w:hAnsi="Cambria Math" w:cs="Cambria Math"/>
          <w:sz w:val="22"/>
          <w:szCs w:val="22"/>
          <w:lang w:val="en-GB"/>
        </w:rPr>
        <w:instrText>∼</w:instrText>
      </w:r>
      <w:r w:rsidR="00085AC6">
        <w:rPr>
          <w:sz w:val="22"/>
          <w:szCs w:val="22"/>
          <w:lang w:val="en-GB"/>
        </w:rPr>
        <w:instrText>0.13</w:instrText>
      </w:r>
      <w:r w:rsidR="00085AC6">
        <w:rPr>
          <w:rFonts w:ascii="Aptos" w:hAnsi="Aptos" w:cs="Aptos"/>
          <w:sz w:val="22"/>
          <w:szCs w:val="22"/>
          <w:lang w:val="en-GB"/>
        </w:rPr>
        <w:instrText>‰</w:instrText>
      </w:r>
      <w:r w:rsidR="00085AC6">
        <w:rPr>
          <w:sz w:val="22"/>
          <w:szCs w:val="22"/>
          <w:lang w:val="en-GB"/>
        </w:rPr>
        <w:instrText xml:space="preserve"> and thus insignificant. Because the presence of Mg2+ ions is required to nucleate and precipitate aragonite from Na–Ca–Cl–HCO3 solutions under these experimental conditions, the influence of the total Mg2+ concentration (up to </w:instrText>
      </w:r>
      <w:r w:rsidR="00085AC6">
        <w:rPr>
          <w:rFonts w:ascii="Cambria Math" w:hAnsi="Cambria Math" w:cs="Cambria Math"/>
          <w:sz w:val="22"/>
          <w:szCs w:val="22"/>
          <w:lang w:val="en-GB"/>
        </w:rPr>
        <w:instrText>∼</w:instrText>
      </w:r>
      <w:r w:rsidR="00085AC6">
        <w:rPr>
          <w:sz w:val="22"/>
          <w:szCs w:val="22"/>
          <w:lang w:val="en-GB"/>
        </w:rPr>
        <w:instrText>0.9 molal) on the aragonite</w:instrText>
      </w:r>
      <w:r w:rsidR="00085AC6">
        <w:rPr>
          <w:rFonts w:ascii="Aptos" w:hAnsi="Aptos" w:cs="Aptos"/>
          <w:sz w:val="22"/>
          <w:szCs w:val="22"/>
          <w:lang w:val="en-GB"/>
        </w:rPr>
        <w:instrText>–</w:instrText>
      </w:r>
      <w:r w:rsidR="00085AC6">
        <w:rPr>
          <w:sz w:val="22"/>
          <w:szCs w:val="22"/>
          <w:lang w:val="en-GB"/>
        </w:rPr>
        <w:instrText>water oxygen isotope fractionation was examined at 25</w:instrText>
      </w:r>
      <w:r w:rsidR="00085AC6">
        <w:rPr>
          <w:rFonts w:ascii="Aptos" w:hAnsi="Aptos" w:cs="Aptos"/>
          <w:sz w:val="22"/>
          <w:szCs w:val="22"/>
          <w:lang w:val="en-GB"/>
        </w:rPr>
        <w:instrText>°</w:instrText>
      </w:r>
      <w:r w:rsidR="00085AC6">
        <w:rPr>
          <w:sz w:val="22"/>
          <w:szCs w:val="22"/>
          <w:lang w:val="en-GB"/>
        </w:rPr>
        <w:instrText xml:space="preserve">C. No significant Mg2+ ion effect, or oxygen isotope salt effect, was detected up to 100mmolal total Mg2+ but a noticeable isotope salt effect was observed at </w:instrText>
      </w:r>
      <w:r w:rsidR="00085AC6">
        <w:rPr>
          <w:rFonts w:ascii="Cambria Math" w:hAnsi="Cambria Math" w:cs="Cambria Math"/>
          <w:sz w:val="22"/>
          <w:szCs w:val="22"/>
          <w:lang w:val="en-GB"/>
        </w:rPr>
        <w:instrText>∼</w:instrText>
      </w:r>
      <w:r w:rsidR="00085AC6">
        <w:rPr>
          <w:sz w:val="22"/>
          <w:szCs w:val="22"/>
          <w:lang w:val="en-GB"/>
        </w:rPr>
        <w:instrText>0.9 molal total Mg2+. On the basis of results of the laboratory synthesis experiments, a new expression for the aragonite–water fractionation is proposed over the temperature range of 0–40°C:1000lnαaragonite-water=17.88±0.13(103/T)-31.14±0.46where αaragonite–water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85AC6">
        <w:rPr>
          <w:rFonts w:ascii="Cambria Math" w:hAnsi="Cambria Math" w:cs="Cambria Math"/>
          <w:sz w:val="22"/>
          <w:szCs w:val="22"/>
          <w:lang w:val="en-GB"/>
        </w:rPr>
        <w:instrText>∼</w:instrText>
      </w:r>
      <w:r w:rsidR="00085AC6">
        <w:rPr>
          <w:sz w:val="22"/>
          <w:szCs w:val="22"/>
          <w:lang w:val="en-GB"/>
        </w:rPr>
        <w:instrText>0.8</w:instrText>
      </w:r>
      <w:r w:rsidR="00085AC6">
        <w:rPr>
          <w:rFonts w:ascii="Aptos" w:hAnsi="Aptos" w:cs="Aptos"/>
          <w:sz w:val="22"/>
          <w:szCs w:val="22"/>
          <w:lang w:val="en-GB"/>
        </w:rPr>
        <w:instrText>‰</w:instrText>
      </w:r>
      <w:r w:rsidR="00085AC6">
        <w:rPr>
          <w:sz w:val="22"/>
          <w:szCs w:val="22"/>
          <w:lang w:val="en-GB"/>
        </w:rPr>
        <w:instrText xml:space="preserve"> at 25</w:instrText>
      </w:r>
      <w:r w:rsidR="00085AC6">
        <w:rPr>
          <w:rFonts w:ascii="Aptos" w:hAnsi="Aptos" w:cs="Aptos"/>
          <w:sz w:val="22"/>
          <w:szCs w:val="22"/>
          <w:lang w:val="en-GB"/>
        </w:rPr>
        <w:instrText>°</w:instrText>
      </w:r>
      <w:r w:rsidR="00085AC6">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85AC6">
        <w:rPr>
          <w:rFonts w:ascii="Cambria Math" w:hAnsi="Cambria Math" w:cs="Cambria Math"/>
          <w:sz w:val="22"/>
          <w:szCs w:val="22"/>
          <w:lang w:val="en-GB"/>
        </w:rPr>
        <w:instrText>‐</w:instrText>
      </w:r>
      <w:r w:rsidR="00085AC6">
        <w:rPr>
          <w:sz w:val="22"/>
          <w:szCs w:val="22"/>
          <w:lang w:val="en-GB"/>
        </w:rPr>
        <w:instrText>drilling under a stereo microscope. Thirty</w:instrText>
      </w:r>
      <w:r w:rsidR="00085AC6">
        <w:rPr>
          <w:rFonts w:ascii="Cambria Math" w:hAnsi="Cambria Math" w:cs="Cambria Math"/>
          <w:sz w:val="22"/>
          <w:szCs w:val="22"/>
          <w:lang w:val="en-GB"/>
        </w:rPr>
        <w:instrText>‐</w:instrText>
      </w:r>
      <w:r w:rsidR="00085AC6">
        <w:rPr>
          <w:sz w:val="22"/>
          <w:szCs w:val="22"/>
          <w:lang w:val="en-GB"/>
        </w:rPr>
        <w:instrText>six pairs of aragonite</w:instrText>
      </w:r>
      <w:r w:rsidR="00085AC6">
        <w:rPr>
          <w:rFonts w:ascii="Aptos" w:hAnsi="Aptos" w:cs="Aptos"/>
          <w:sz w:val="22"/>
          <w:szCs w:val="22"/>
          <w:lang w:val="en-GB"/>
        </w:rPr>
        <w:instrText>–</w:instrText>
      </w:r>
      <w:r w:rsidR="00085AC6">
        <w:rPr>
          <w:sz w:val="22"/>
          <w:szCs w:val="22"/>
          <w:lang w:val="en-GB"/>
        </w:rPr>
        <w:instrText>calcite samples were obtained from ten gastropod and five bivalve species. Biogenic aragonite is 13C</w:instrText>
      </w:r>
      <w:r w:rsidR="00085AC6">
        <w:rPr>
          <w:rFonts w:ascii="Cambria Math" w:hAnsi="Cambria Math" w:cs="Cambria Math"/>
          <w:sz w:val="22"/>
          <w:szCs w:val="22"/>
          <w:lang w:val="en-GB"/>
        </w:rPr>
        <w:instrText>‐</w:instrText>
      </w:r>
      <w:r w:rsidR="00085AC6">
        <w:rPr>
          <w:sz w:val="22"/>
          <w:szCs w:val="22"/>
          <w:lang w:val="en-GB"/>
        </w:rPr>
        <w:instrText>enriched by 0.95</w:instrText>
      </w:r>
      <w:r w:rsidR="00085AC6">
        <w:rPr>
          <w:rFonts w:ascii="Aptos" w:hAnsi="Aptos" w:cs="Aptos"/>
          <w:sz w:val="22"/>
          <w:szCs w:val="22"/>
          <w:lang w:val="en-GB"/>
        </w:rPr>
        <w:instrText>±</w:instrText>
      </w:r>
      <w:r w:rsidR="00085AC6">
        <w:rPr>
          <w:sz w:val="22"/>
          <w:szCs w:val="22"/>
          <w:lang w:val="en-GB"/>
        </w:rPr>
        <w:instrText>0.81</w:instrText>
      </w:r>
      <w:r w:rsidR="00085AC6">
        <w:rPr>
          <w:rFonts w:ascii="Aptos" w:hAnsi="Aptos" w:cs="Aptos"/>
          <w:sz w:val="22"/>
          <w:szCs w:val="22"/>
          <w:lang w:val="en-GB"/>
        </w:rPr>
        <w:instrText>‰</w:instrText>
      </w:r>
      <w:r w:rsidR="00085AC6">
        <w:rPr>
          <w:sz w:val="22"/>
          <w:szCs w:val="22"/>
          <w:lang w:val="en-GB"/>
        </w:rPr>
        <w:instrText xml:space="preserve"> and 18O</w:instrText>
      </w:r>
      <w:r w:rsidR="00085AC6">
        <w:rPr>
          <w:rFonts w:ascii="Cambria Math" w:hAnsi="Cambria Math" w:cs="Cambria Math"/>
          <w:sz w:val="22"/>
          <w:szCs w:val="22"/>
          <w:lang w:val="en-GB"/>
        </w:rPr>
        <w:instrText>‐</w:instrText>
      </w:r>
      <w:r w:rsidR="00085AC6">
        <w:rPr>
          <w:sz w:val="22"/>
          <w:szCs w:val="22"/>
          <w:lang w:val="en-GB"/>
        </w:rPr>
        <w:instrText>enriched by 0.37</w:instrText>
      </w:r>
      <w:r w:rsidR="00085AC6">
        <w:rPr>
          <w:rFonts w:ascii="Aptos" w:hAnsi="Aptos" w:cs="Aptos"/>
          <w:sz w:val="22"/>
          <w:szCs w:val="22"/>
          <w:lang w:val="en-GB"/>
        </w:rPr>
        <w:instrText>±</w:instrText>
      </w:r>
      <w:r w:rsidR="00085AC6">
        <w:rPr>
          <w:sz w:val="22"/>
          <w:szCs w:val="22"/>
          <w:lang w:val="en-GB"/>
        </w:rPr>
        <w:instrText>0.65</w:instrText>
      </w:r>
      <w:r w:rsidR="00085AC6">
        <w:rPr>
          <w:rFonts w:ascii="Aptos" w:hAnsi="Aptos" w:cs="Aptos"/>
          <w:sz w:val="22"/>
          <w:szCs w:val="22"/>
          <w:lang w:val="en-GB"/>
        </w:rPr>
        <w:instrText>‰</w:instrText>
      </w:r>
      <w:r w:rsidR="00085AC6">
        <w:rPr>
          <w:sz w:val="22"/>
          <w:szCs w:val="22"/>
          <w:lang w:val="en-GB"/>
        </w:rPr>
        <w:instrText xml:space="preserve"> relative to co-existing biogenic calcite. Direction and magnitude of the carbon isotope fractionation are compatible with those already determined by using low</w:instrText>
      </w:r>
      <w:r w:rsidR="00085AC6">
        <w:rPr>
          <w:rFonts w:ascii="Cambria Math" w:hAnsi="Cambria Math" w:cs="Cambria Math"/>
          <w:sz w:val="22"/>
          <w:szCs w:val="22"/>
          <w:lang w:val="en-GB"/>
        </w:rPr>
        <w:instrText>‐</w:instrText>
      </w:r>
      <w:r w:rsidR="00085AC6">
        <w:rPr>
          <w:sz w:val="22"/>
          <w:szCs w:val="22"/>
          <w:lang w:val="en-GB"/>
        </w:rPr>
        <w:instrText>temperature experimental approaches. The observed oxygen isotope difference between biogenic aragonite and calcite is assigned to the difference (</w:instrText>
      </w:r>
      <w:r w:rsidR="00085AC6">
        <w:rPr>
          <w:rFonts w:ascii="Aptos" w:hAnsi="Aptos" w:cs="Aptos"/>
          <w:sz w:val="22"/>
          <w:szCs w:val="22"/>
          <w:lang w:val="en-GB"/>
        </w:rPr>
        <w:instrText>≈</w:instrText>
      </w:r>
      <w:r w:rsidR="00085AC6">
        <w:rPr>
          <w:sz w:val="22"/>
          <w:szCs w:val="22"/>
          <w:lang w:val="en-GB"/>
        </w:rPr>
        <w:instrText>0.4</w:instrText>
      </w:r>
      <w:r w:rsidR="00085AC6">
        <w:rPr>
          <w:rFonts w:ascii="Aptos" w:hAnsi="Aptos" w:cs="Aptos"/>
          <w:sz w:val="22"/>
          <w:szCs w:val="22"/>
          <w:lang w:val="en-GB"/>
        </w:rPr>
        <w:instrText>‰</w:instrText>
      </w:r>
      <w:r w:rsidR="00085AC6">
        <w:rPr>
          <w:sz w:val="22"/>
          <w:szCs w:val="22"/>
          <w:lang w:val="en-GB"/>
        </w:rPr>
        <w:instrText>) in the acid fractionation factor values that must be taken into account during digestion of carbonate polymorphs at 90</w:instrText>
      </w:r>
      <w:r w:rsidR="00085AC6">
        <w:rPr>
          <w:rFonts w:ascii="Aptos" w:hAnsi="Aptos" w:cs="Aptos"/>
          <w:sz w:val="22"/>
          <w:szCs w:val="22"/>
          <w:lang w:val="en-GB"/>
        </w:rPr>
        <w:instrText>°</w:instrText>
      </w:r>
      <w:r w:rsidR="00085AC6">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1C0AB9">
        <w:rPr>
          <w:sz w:val="22"/>
          <w:szCs w:val="22"/>
          <w:lang w:val="en-GB"/>
        </w:rPr>
        <w:fldChar w:fldCharType="separate"/>
      </w:r>
      <w:r w:rsidR="00085AC6" w:rsidRPr="00085AC6">
        <w:rPr>
          <w:rFonts w:ascii="Aptos" w:hAnsi="Aptos" w:cs="Times New Roman"/>
          <w:kern w:val="0"/>
          <w:sz w:val="22"/>
        </w:rPr>
        <w:t>(Kim et al., 2007; Lécuyer et al., 2012)</w:t>
      </w:r>
      <w:r w:rsidR="001C0AB9">
        <w:rPr>
          <w:sz w:val="22"/>
          <w:szCs w:val="22"/>
          <w:lang w:val="en-GB"/>
        </w:rPr>
        <w:fldChar w:fldCharType="end"/>
      </w:r>
      <w:r w:rsidR="001C0AB9">
        <w:rPr>
          <w:sz w:val="22"/>
          <w:szCs w:val="22"/>
          <w:lang w:val="en-GB"/>
        </w:rPr>
        <w:t xml:space="preserve"> Secondly, we use the North Sea SSS-δ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relationship</w:t>
      </w:r>
      <w:r w:rsidR="00085AC6">
        <w:rPr>
          <w:sz w:val="22"/>
          <w:szCs w:val="22"/>
          <w:lang w:val="en-GB"/>
        </w:rPr>
        <w:t xml:space="preserve"> by </w:t>
      </w:r>
      <w:r w:rsidR="00085AC6">
        <w:rPr>
          <w:sz w:val="22"/>
          <w:szCs w:val="22"/>
          <w:lang w:val="en-GB"/>
        </w:rPr>
        <w:fldChar w:fldCharType="begin"/>
      </w:r>
      <w:r w:rsidR="00085AC6">
        <w:rPr>
          <w:sz w:val="22"/>
          <w:szCs w:val="22"/>
          <w:lang w:val="en-GB"/>
        </w:rPr>
        <w:instrText xml:space="preserve"> ADDIN ZOTERO_ITEM CSL_CITATION {"citationID":"sI243U6R","properties":{"formattedCitation":"(Harwood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85AC6">
        <w:rPr>
          <w:sz w:val="22"/>
          <w:szCs w:val="22"/>
          <w:lang w:val="en-GB"/>
        </w:rPr>
        <w:fldChar w:fldCharType="separate"/>
      </w:r>
      <w:r w:rsidR="00085AC6" w:rsidRPr="00085AC6">
        <w:rPr>
          <w:rFonts w:ascii="Aptos" w:hAnsi="Aptos"/>
          <w:sz w:val="22"/>
        </w:rPr>
        <w:t>(Harwood et al., 2008)</w:t>
      </w:r>
      <w:r w:rsidR="00085AC6">
        <w:rPr>
          <w:sz w:val="22"/>
          <w:szCs w:val="22"/>
          <w:lang w:val="en-GB"/>
        </w:rPr>
        <w:fldChar w:fldCharType="end"/>
      </w:r>
      <w:r w:rsidR="001C0AB9">
        <w:rPr>
          <w:sz w:val="22"/>
          <w:szCs w:val="22"/>
          <w:lang w:val="en-GB"/>
        </w:rPr>
        <w:t xml:space="preserv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SSS values by default, but it is </w:t>
      </w:r>
      <w:r w:rsidR="00085AC6">
        <w:rPr>
          <w:sz w:val="22"/>
          <w:szCs w:val="22"/>
          <w:lang w:val="en-GB"/>
        </w:rPr>
        <w:t xml:space="preserve">well known that this relationship varies across ocean basins </w:t>
      </w:r>
      <w:r w:rsidR="00085AC6">
        <w:rPr>
          <w:sz w:val="22"/>
          <w:szCs w:val="22"/>
          <w:lang w:val="en-GB"/>
        </w:rPr>
        <w:fldChar w:fldCharType="begin"/>
      </w:r>
      <w:r w:rsidR="00085AC6">
        <w:rPr>
          <w:sz w:val="22"/>
          <w:szCs w:val="22"/>
          <w:lang w:val="en-GB"/>
        </w:rPr>
        <w:instrText xml:space="preserve"> ADDIN ZOTERO_ITEM CSL_CITATION {"citationID":"nE4voTji","properties":{"formattedCitation":"(LeGrande and Schmidt, 2006)","plainCitation":"(LeGrande and Schmidt, 2006)","noteIndex":0},"citationItems":[{"id":1034,"uris":["http://zotero.org/users/2470179/items/T9PQZVV2"],"itemData":{"id":1034,"type":"article-journal","container-title":"Geophysical research letters","issue":"12","source":"Google Scholar","title":"Global gridded data set of the oxygen isotopic composition in seawater","volume":"33","author":[{"family":"LeGrande","given":"Allegra N."},{"family":"Schmidt","given":"Gavin A."}],"issued":{"date-parts":[["2006"]]}}}],"schema":"https://github.com/citation-style-language/schema/raw/master/csl-citation.json"} </w:instrText>
      </w:r>
      <w:r w:rsidR="00085AC6">
        <w:rPr>
          <w:sz w:val="22"/>
          <w:szCs w:val="22"/>
          <w:lang w:val="en-GB"/>
        </w:rPr>
        <w:fldChar w:fldCharType="separate"/>
      </w:r>
      <w:r w:rsidR="00085AC6" w:rsidRPr="00085AC6">
        <w:rPr>
          <w:rFonts w:ascii="Aptos" w:hAnsi="Aptos"/>
          <w:sz w:val="22"/>
        </w:rPr>
        <w:t>(LeGrande and Schmidt, 2006)</w:t>
      </w:r>
      <w:r w:rsidR="00085AC6">
        <w:rPr>
          <w:sz w:val="22"/>
          <w:szCs w:val="22"/>
          <w:lang w:val="en-GB"/>
        </w:rPr>
        <w:fldChar w:fldCharType="end"/>
      </w:r>
      <w:r w:rsidR="00085AC6">
        <w:rPr>
          <w:sz w:val="22"/>
          <w:szCs w:val="22"/>
          <w:lang w:val="en-GB"/>
        </w:rPr>
        <w:t xml:space="preserve">. We therefore carried out sensitivity experiments for our data assimilation routine by assimilating </w:t>
      </w:r>
      <w:r w:rsidR="000E7353">
        <w:rPr>
          <w:sz w:val="22"/>
          <w:szCs w:val="22"/>
          <w:lang w:val="en-GB"/>
        </w:rPr>
        <w:t>proxy data with model priors for the Pliocene case study using three different 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c</w:t>
      </w:r>
      <w:r w:rsidR="000E7353">
        <w:rPr>
          <w:sz w:val="22"/>
          <w:szCs w:val="22"/>
          <w:lang w:val="en-GB"/>
        </w:rPr>
        <w:t>-temperature</w:t>
      </w:r>
      <w:r w:rsidR="000E7353" w:rsidRPr="00B4717D">
        <w:rPr>
          <w:sz w:val="22"/>
          <w:szCs w:val="22"/>
          <w:lang w:val="en-GB"/>
        </w:rPr>
        <w:t xml:space="preserve"> </w:t>
      </w:r>
      <w:r w:rsidR="000E7353">
        <w:rPr>
          <w:sz w:val="22"/>
          <w:szCs w:val="22"/>
          <w:lang w:val="en-GB"/>
        </w:rPr>
        <w:t xml:space="preserve">relationships </w:t>
      </w:r>
      <w:r w:rsidR="000E7353">
        <w:rPr>
          <w:sz w:val="22"/>
          <w:szCs w:val="22"/>
          <w:lang w:val="en-GB"/>
        </w:rPr>
        <w:fldChar w:fldCharType="begin"/>
      </w:r>
      <w:r w:rsidR="000E7353">
        <w:rPr>
          <w:sz w:val="22"/>
          <w:szCs w:val="22"/>
          <w:lang w:val="en-GB"/>
        </w:rPr>
        <w:instrText xml:space="preserve"> ADDIN ZOTERO_ITEM CSL_CITATION {"citationID":"0Jonnx8U","properties":{"formattedCitation":"(Grossman and Ku, 1986; Kim et al., 2007; L\\uc0\\u233{}cuyer et al., 2012)","plainCitation":"(Grossman and Ku, 1986; Kim et al., 2007; Lécuyer et al., 2012)","noteIndex":0},"citationItems":[{"id":267,"uris":["http://zotero.org/users/2470179/items/H8UCKH5N"],"itemData":{"id":267,"type":"article-journal","container-title":"Chemical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E7353">
        <w:rPr>
          <w:rFonts w:ascii="Cambria Math" w:hAnsi="Cambria Math" w:cs="Cambria Math"/>
          <w:sz w:val="22"/>
          <w:szCs w:val="22"/>
          <w:lang w:val="en-GB"/>
        </w:rPr>
        <w:instrText>∼</w:instrText>
      </w:r>
      <w:r w:rsidR="000E7353">
        <w:rPr>
          <w:sz w:val="22"/>
          <w:szCs w:val="22"/>
          <w:lang w:val="en-GB"/>
        </w:rPr>
        <w:instrText>0.13</w:instrText>
      </w:r>
      <w:r w:rsidR="000E7353">
        <w:rPr>
          <w:rFonts w:ascii="Aptos" w:hAnsi="Aptos" w:cs="Aptos"/>
          <w:sz w:val="22"/>
          <w:szCs w:val="22"/>
          <w:lang w:val="en-GB"/>
        </w:rPr>
        <w:instrText>‰</w:instrText>
      </w:r>
      <w:r w:rsidR="000E7353">
        <w:rPr>
          <w:sz w:val="22"/>
          <w:szCs w:val="22"/>
          <w:lang w:val="en-GB"/>
        </w:rPr>
        <w:instrText xml:space="preserve"> and thus insignificant. Because the presence of Mg2+ ions is required to nucleate and precipitate aragonite from Na</w:instrText>
      </w:r>
      <w:r w:rsidR="000E7353">
        <w:rPr>
          <w:rFonts w:ascii="Aptos" w:hAnsi="Aptos" w:cs="Aptos"/>
          <w:sz w:val="22"/>
          <w:szCs w:val="22"/>
          <w:lang w:val="en-GB"/>
        </w:rPr>
        <w:instrText>–</w:instrText>
      </w:r>
      <w:r w:rsidR="000E7353">
        <w:rPr>
          <w:sz w:val="22"/>
          <w:szCs w:val="22"/>
          <w:lang w:val="en-GB"/>
        </w:rPr>
        <w:instrText>Ca</w:instrText>
      </w:r>
      <w:r w:rsidR="000E7353">
        <w:rPr>
          <w:rFonts w:ascii="Aptos" w:hAnsi="Aptos" w:cs="Aptos"/>
          <w:sz w:val="22"/>
          <w:szCs w:val="22"/>
          <w:lang w:val="en-GB"/>
        </w:rPr>
        <w:instrText>–</w:instrText>
      </w:r>
      <w:r w:rsidR="000E7353">
        <w:rPr>
          <w:sz w:val="22"/>
          <w:szCs w:val="22"/>
          <w:lang w:val="en-GB"/>
        </w:rPr>
        <w:instrText>Cl</w:instrText>
      </w:r>
      <w:r w:rsidR="000E7353">
        <w:rPr>
          <w:rFonts w:ascii="Aptos" w:hAnsi="Aptos" w:cs="Aptos"/>
          <w:sz w:val="22"/>
          <w:szCs w:val="22"/>
          <w:lang w:val="en-GB"/>
        </w:rPr>
        <w:instrText>–</w:instrText>
      </w:r>
      <w:r w:rsidR="000E7353">
        <w:rPr>
          <w:sz w:val="22"/>
          <w:szCs w:val="22"/>
          <w:lang w:val="en-GB"/>
        </w:rPr>
        <w:instrText xml:space="preserve">HCO3 solutions under these experimental conditions, the influence of the total Mg2+ concentration (up to </w:instrText>
      </w:r>
      <w:r w:rsidR="000E7353">
        <w:rPr>
          <w:rFonts w:ascii="Cambria Math" w:hAnsi="Cambria Math" w:cs="Cambria Math"/>
          <w:sz w:val="22"/>
          <w:szCs w:val="22"/>
          <w:lang w:val="en-GB"/>
        </w:rPr>
        <w:instrText>∼</w:instrText>
      </w:r>
      <w:r w:rsidR="000E7353">
        <w:rPr>
          <w:sz w:val="22"/>
          <w:szCs w:val="22"/>
          <w:lang w:val="en-GB"/>
        </w:rPr>
        <w:instrText>0.9 molal) on the aragonite</w:instrText>
      </w:r>
      <w:r w:rsidR="000E7353">
        <w:rPr>
          <w:rFonts w:ascii="Aptos" w:hAnsi="Aptos" w:cs="Aptos"/>
          <w:sz w:val="22"/>
          <w:szCs w:val="22"/>
          <w:lang w:val="en-GB"/>
        </w:rPr>
        <w:instrText>–</w:instrText>
      </w:r>
      <w:r w:rsidR="000E7353">
        <w:rPr>
          <w:sz w:val="22"/>
          <w:szCs w:val="22"/>
          <w:lang w:val="en-GB"/>
        </w:rPr>
        <w:instrText>water oxygen isotope fractionation was examined at 25</w:instrText>
      </w:r>
      <w:r w:rsidR="000E7353">
        <w:rPr>
          <w:rFonts w:ascii="Aptos" w:hAnsi="Aptos" w:cs="Aptos"/>
          <w:sz w:val="22"/>
          <w:szCs w:val="22"/>
          <w:lang w:val="en-GB"/>
        </w:rPr>
        <w:instrText>°</w:instrText>
      </w:r>
      <w:r w:rsidR="000E7353">
        <w:rPr>
          <w:sz w:val="22"/>
          <w:szCs w:val="22"/>
          <w:lang w:val="en-GB"/>
        </w:rPr>
        <w:instrText xml:space="preserve">C. No significant Mg2+ ion effect, or oxygen isotope salt effect, was detected up to 100mmolal total Mg2+ but a noticeable isotope salt effect was observed at </w:instrText>
      </w:r>
      <w:r w:rsidR="000E7353">
        <w:rPr>
          <w:rFonts w:ascii="Cambria Math" w:hAnsi="Cambria Math" w:cs="Cambria Math"/>
          <w:sz w:val="22"/>
          <w:szCs w:val="22"/>
          <w:lang w:val="en-GB"/>
        </w:rPr>
        <w:instrText>∼</w:instrText>
      </w:r>
      <w:r w:rsidR="000E7353">
        <w:rPr>
          <w:sz w:val="22"/>
          <w:szCs w:val="22"/>
          <w:lang w:val="en-GB"/>
        </w:rPr>
        <w:instrText>0.9 molal total Mg2+. On the basis of results of the laboratory synthesis experiments, a new expression for the aragonite</w:instrText>
      </w:r>
      <w:r w:rsidR="000E7353">
        <w:rPr>
          <w:rFonts w:ascii="Aptos" w:hAnsi="Aptos" w:cs="Aptos"/>
          <w:sz w:val="22"/>
          <w:szCs w:val="22"/>
          <w:lang w:val="en-GB"/>
        </w:rPr>
        <w:instrText>–</w:instrText>
      </w:r>
      <w:r w:rsidR="000E7353">
        <w:rPr>
          <w:sz w:val="22"/>
          <w:szCs w:val="22"/>
          <w:lang w:val="en-GB"/>
        </w:rPr>
        <w:instrText>water fractionation is proposed over the temperature range of 0</w:instrText>
      </w:r>
      <w:r w:rsidR="000E7353">
        <w:rPr>
          <w:rFonts w:ascii="Aptos" w:hAnsi="Aptos" w:cs="Aptos"/>
          <w:sz w:val="22"/>
          <w:szCs w:val="22"/>
          <w:lang w:val="en-GB"/>
        </w:rPr>
        <w:instrText>–</w:instrText>
      </w:r>
      <w:r w:rsidR="000E7353">
        <w:rPr>
          <w:sz w:val="22"/>
          <w:szCs w:val="22"/>
          <w:lang w:val="en-GB"/>
        </w:rPr>
        <w:instrText>40</w:instrText>
      </w:r>
      <w:r w:rsidR="000E7353">
        <w:rPr>
          <w:rFonts w:ascii="Aptos" w:hAnsi="Aptos" w:cs="Aptos"/>
          <w:sz w:val="22"/>
          <w:szCs w:val="22"/>
          <w:lang w:val="en-GB"/>
        </w:rPr>
        <w:instrText>°</w:instrText>
      </w:r>
      <w:r w:rsidR="000E7353">
        <w:rPr>
          <w:sz w:val="22"/>
          <w:szCs w:val="22"/>
          <w:lang w:val="en-GB"/>
        </w:rPr>
        <w:instrText>C:1000ln</w:instrText>
      </w:r>
      <w:r w:rsidR="000E7353">
        <w:rPr>
          <w:rFonts w:ascii="Aptos" w:hAnsi="Aptos" w:cs="Aptos"/>
          <w:sz w:val="22"/>
          <w:szCs w:val="22"/>
          <w:lang w:val="en-GB"/>
        </w:rPr>
        <w:instrText>α</w:instrText>
      </w:r>
      <w:r w:rsidR="000E7353">
        <w:rPr>
          <w:sz w:val="22"/>
          <w:szCs w:val="22"/>
          <w:lang w:val="en-GB"/>
        </w:rPr>
        <w:instrText>aragonite-water=17.88</w:instrText>
      </w:r>
      <w:r w:rsidR="000E7353">
        <w:rPr>
          <w:rFonts w:ascii="Aptos" w:hAnsi="Aptos" w:cs="Aptos"/>
          <w:sz w:val="22"/>
          <w:szCs w:val="22"/>
          <w:lang w:val="en-GB"/>
        </w:rPr>
        <w:instrText>±</w:instrText>
      </w:r>
      <w:r w:rsidR="000E7353">
        <w:rPr>
          <w:sz w:val="22"/>
          <w:szCs w:val="22"/>
          <w:lang w:val="en-GB"/>
        </w:rPr>
        <w:instrText>0.13(103/T)-31.14</w:instrText>
      </w:r>
      <w:r w:rsidR="000E7353">
        <w:rPr>
          <w:rFonts w:ascii="Aptos" w:hAnsi="Aptos" w:cs="Aptos"/>
          <w:sz w:val="22"/>
          <w:szCs w:val="22"/>
          <w:lang w:val="en-GB"/>
        </w:rPr>
        <w:instrText>±</w:instrText>
      </w:r>
      <w:r w:rsidR="000E7353">
        <w:rPr>
          <w:sz w:val="22"/>
          <w:szCs w:val="22"/>
          <w:lang w:val="en-GB"/>
        </w:rPr>
        <w:instrText xml:space="preserve">0.46where </w:instrText>
      </w:r>
      <w:r w:rsidR="000E7353">
        <w:rPr>
          <w:rFonts w:ascii="Aptos" w:hAnsi="Aptos" w:cs="Aptos"/>
          <w:sz w:val="22"/>
          <w:szCs w:val="22"/>
          <w:lang w:val="en-GB"/>
        </w:rPr>
        <w:instrText>α</w:instrText>
      </w:r>
      <w:r w:rsidR="000E7353">
        <w:rPr>
          <w:sz w:val="22"/>
          <w:szCs w:val="22"/>
          <w:lang w:val="en-GB"/>
        </w:rPr>
        <w:instrText>aragonite</w:instrText>
      </w:r>
      <w:r w:rsidR="000E7353">
        <w:rPr>
          <w:rFonts w:ascii="Aptos" w:hAnsi="Aptos" w:cs="Aptos"/>
          <w:sz w:val="22"/>
          <w:szCs w:val="22"/>
          <w:lang w:val="en-GB"/>
        </w:rPr>
        <w:instrText>–</w:instrText>
      </w:r>
      <w:r w:rsidR="000E7353">
        <w:rPr>
          <w:sz w:val="22"/>
          <w:szCs w:val="22"/>
          <w:lang w:val="en-GB"/>
        </w:rPr>
        <w:instrText>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E7353">
        <w:rPr>
          <w:rFonts w:ascii="Cambria Math" w:hAnsi="Cambria Math" w:cs="Cambria Math"/>
          <w:sz w:val="22"/>
          <w:szCs w:val="22"/>
          <w:lang w:val="en-GB"/>
        </w:rPr>
        <w:instrText>∼</w:instrText>
      </w:r>
      <w:r w:rsidR="000E7353">
        <w:rPr>
          <w:sz w:val="22"/>
          <w:szCs w:val="22"/>
          <w:lang w:val="en-GB"/>
        </w:rPr>
        <w:instrText>0.8</w:instrText>
      </w:r>
      <w:r w:rsidR="000E7353">
        <w:rPr>
          <w:rFonts w:ascii="Aptos" w:hAnsi="Aptos" w:cs="Aptos"/>
          <w:sz w:val="22"/>
          <w:szCs w:val="22"/>
          <w:lang w:val="en-GB"/>
        </w:rPr>
        <w:instrText>‰</w:instrText>
      </w:r>
      <w:r w:rsidR="000E7353">
        <w:rPr>
          <w:sz w:val="22"/>
          <w:szCs w:val="22"/>
          <w:lang w:val="en-GB"/>
        </w:rPr>
        <w:instrText xml:space="preserve"> at 25</w:instrText>
      </w:r>
      <w:r w:rsidR="000E7353">
        <w:rPr>
          <w:rFonts w:ascii="Aptos" w:hAnsi="Aptos" w:cs="Aptos"/>
          <w:sz w:val="22"/>
          <w:szCs w:val="22"/>
          <w:lang w:val="en-GB"/>
        </w:rPr>
        <w:instrText>°</w:instrText>
      </w:r>
      <w:r w:rsidR="000E7353">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E7353">
        <w:rPr>
          <w:rFonts w:ascii="Cambria Math" w:hAnsi="Cambria Math" w:cs="Cambria Math"/>
          <w:sz w:val="22"/>
          <w:szCs w:val="22"/>
          <w:lang w:val="en-GB"/>
        </w:rPr>
        <w:instrText>‐</w:instrText>
      </w:r>
      <w:r w:rsidR="000E7353">
        <w:rPr>
          <w:sz w:val="22"/>
          <w:szCs w:val="22"/>
          <w:lang w:val="en-GB"/>
        </w:rPr>
        <w:instrText>drilling under a stereo microscope. Thirty</w:instrText>
      </w:r>
      <w:r w:rsidR="000E7353">
        <w:rPr>
          <w:rFonts w:ascii="Cambria Math" w:hAnsi="Cambria Math" w:cs="Cambria Math"/>
          <w:sz w:val="22"/>
          <w:szCs w:val="22"/>
          <w:lang w:val="en-GB"/>
        </w:rPr>
        <w:instrText>‐</w:instrText>
      </w:r>
      <w:r w:rsidR="000E7353">
        <w:rPr>
          <w:sz w:val="22"/>
          <w:szCs w:val="22"/>
          <w:lang w:val="en-GB"/>
        </w:rPr>
        <w:instrText>six pairs of aragonite</w:instrText>
      </w:r>
      <w:r w:rsidR="000E7353">
        <w:rPr>
          <w:rFonts w:ascii="Aptos" w:hAnsi="Aptos" w:cs="Aptos"/>
          <w:sz w:val="22"/>
          <w:szCs w:val="22"/>
          <w:lang w:val="en-GB"/>
        </w:rPr>
        <w:instrText>–</w:instrText>
      </w:r>
      <w:r w:rsidR="000E7353">
        <w:rPr>
          <w:sz w:val="22"/>
          <w:szCs w:val="22"/>
          <w:lang w:val="en-GB"/>
        </w:rPr>
        <w:instrText>calcite samples were obtained from ten gastropod and five bivalve species. Biogenic aragonite is 13C</w:instrText>
      </w:r>
      <w:r w:rsidR="000E7353">
        <w:rPr>
          <w:rFonts w:ascii="Cambria Math" w:hAnsi="Cambria Math" w:cs="Cambria Math"/>
          <w:sz w:val="22"/>
          <w:szCs w:val="22"/>
          <w:lang w:val="en-GB"/>
        </w:rPr>
        <w:instrText>‐</w:instrText>
      </w:r>
      <w:r w:rsidR="000E7353">
        <w:rPr>
          <w:sz w:val="22"/>
          <w:szCs w:val="22"/>
          <w:lang w:val="en-GB"/>
        </w:rPr>
        <w:instrText>enriched by 0.95</w:instrText>
      </w:r>
      <w:r w:rsidR="000E7353">
        <w:rPr>
          <w:rFonts w:ascii="Aptos" w:hAnsi="Aptos" w:cs="Aptos"/>
          <w:sz w:val="22"/>
          <w:szCs w:val="22"/>
          <w:lang w:val="en-GB"/>
        </w:rPr>
        <w:instrText>±</w:instrText>
      </w:r>
      <w:r w:rsidR="000E7353">
        <w:rPr>
          <w:sz w:val="22"/>
          <w:szCs w:val="22"/>
          <w:lang w:val="en-GB"/>
        </w:rPr>
        <w:instrText>0.81</w:instrText>
      </w:r>
      <w:r w:rsidR="000E7353">
        <w:rPr>
          <w:rFonts w:ascii="Aptos" w:hAnsi="Aptos" w:cs="Aptos"/>
          <w:sz w:val="22"/>
          <w:szCs w:val="22"/>
          <w:lang w:val="en-GB"/>
        </w:rPr>
        <w:instrText>‰</w:instrText>
      </w:r>
      <w:r w:rsidR="000E7353">
        <w:rPr>
          <w:sz w:val="22"/>
          <w:szCs w:val="22"/>
          <w:lang w:val="en-GB"/>
        </w:rPr>
        <w:instrText xml:space="preserve"> and 18O</w:instrText>
      </w:r>
      <w:r w:rsidR="000E7353">
        <w:rPr>
          <w:rFonts w:ascii="Cambria Math" w:hAnsi="Cambria Math" w:cs="Cambria Math"/>
          <w:sz w:val="22"/>
          <w:szCs w:val="22"/>
          <w:lang w:val="en-GB"/>
        </w:rPr>
        <w:instrText>‐</w:instrText>
      </w:r>
      <w:r w:rsidR="000E7353">
        <w:rPr>
          <w:sz w:val="22"/>
          <w:szCs w:val="22"/>
          <w:lang w:val="en-GB"/>
        </w:rPr>
        <w:instrText>enriched by 0.37</w:instrText>
      </w:r>
      <w:r w:rsidR="000E7353">
        <w:rPr>
          <w:rFonts w:ascii="Aptos" w:hAnsi="Aptos" w:cs="Aptos"/>
          <w:sz w:val="22"/>
          <w:szCs w:val="22"/>
          <w:lang w:val="en-GB"/>
        </w:rPr>
        <w:instrText>±</w:instrText>
      </w:r>
      <w:r w:rsidR="000E7353">
        <w:rPr>
          <w:sz w:val="22"/>
          <w:szCs w:val="22"/>
          <w:lang w:val="en-GB"/>
        </w:rPr>
        <w:instrText>0.65</w:instrText>
      </w:r>
      <w:r w:rsidR="000E7353">
        <w:rPr>
          <w:rFonts w:ascii="Aptos" w:hAnsi="Aptos" w:cs="Aptos"/>
          <w:sz w:val="22"/>
          <w:szCs w:val="22"/>
          <w:lang w:val="en-GB"/>
        </w:rPr>
        <w:instrText>‰</w:instrText>
      </w:r>
      <w:r w:rsidR="000E7353">
        <w:rPr>
          <w:sz w:val="22"/>
          <w:szCs w:val="22"/>
          <w:lang w:val="en-GB"/>
        </w:rPr>
        <w:instrText xml:space="preserve"> relative to co-existing biogenic calcite. Direction and magnitude of the carbon isotope fractionation are compatible with those already determined by using low</w:instrText>
      </w:r>
      <w:r w:rsidR="000E7353">
        <w:rPr>
          <w:rFonts w:ascii="Cambria Math" w:hAnsi="Cambria Math" w:cs="Cambria Math"/>
          <w:sz w:val="22"/>
          <w:szCs w:val="22"/>
          <w:lang w:val="en-GB"/>
        </w:rPr>
        <w:instrText>‐</w:instrText>
      </w:r>
      <w:r w:rsidR="000E7353">
        <w:rPr>
          <w:sz w:val="22"/>
          <w:szCs w:val="22"/>
          <w:lang w:val="en-GB"/>
        </w:rPr>
        <w:instrText>temperature experimental approaches. The observed oxygen isotope difference between biogenic aragonite and calcite is assigned to the difference (</w:instrText>
      </w:r>
      <w:r w:rsidR="000E7353">
        <w:rPr>
          <w:rFonts w:ascii="Aptos" w:hAnsi="Aptos" w:cs="Aptos"/>
          <w:sz w:val="22"/>
          <w:szCs w:val="22"/>
          <w:lang w:val="en-GB"/>
        </w:rPr>
        <w:instrText>≈</w:instrText>
      </w:r>
      <w:r w:rsidR="000E7353">
        <w:rPr>
          <w:sz w:val="22"/>
          <w:szCs w:val="22"/>
          <w:lang w:val="en-GB"/>
        </w:rPr>
        <w:instrText>0.4</w:instrText>
      </w:r>
      <w:r w:rsidR="000E7353">
        <w:rPr>
          <w:rFonts w:ascii="Aptos" w:hAnsi="Aptos" w:cs="Aptos"/>
          <w:sz w:val="22"/>
          <w:szCs w:val="22"/>
          <w:lang w:val="en-GB"/>
        </w:rPr>
        <w:instrText>‰</w:instrText>
      </w:r>
      <w:r w:rsidR="000E7353">
        <w:rPr>
          <w:sz w:val="22"/>
          <w:szCs w:val="22"/>
          <w:lang w:val="en-GB"/>
        </w:rPr>
        <w:instrText>) in the acid fractionation factor values that must be taken into account during digestion of carbonate polymorphs at 90</w:instrText>
      </w:r>
      <w:r w:rsidR="000E7353">
        <w:rPr>
          <w:rFonts w:ascii="Aptos" w:hAnsi="Aptos" w:cs="Aptos"/>
          <w:sz w:val="22"/>
          <w:szCs w:val="22"/>
          <w:lang w:val="en-GB"/>
        </w:rPr>
        <w:instrText>°</w:instrText>
      </w:r>
      <w:r w:rsidR="000E7353">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0E7353">
        <w:rPr>
          <w:sz w:val="22"/>
          <w:szCs w:val="22"/>
          <w:lang w:val="en-GB"/>
        </w:rPr>
        <w:fldChar w:fldCharType="separate"/>
      </w:r>
      <w:r w:rsidR="000E7353" w:rsidRPr="000E7353">
        <w:rPr>
          <w:rFonts w:ascii="Aptos" w:hAnsi="Aptos" w:cs="Times New Roman"/>
          <w:kern w:val="0"/>
          <w:sz w:val="22"/>
        </w:rPr>
        <w:t>(Grossman and Ku, 1986; Kim et al., 2007; Lécuyer et al., 2012)</w:t>
      </w:r>
      <w:r w:rsidR="000E7353">
        <w:rPr>
          <w:sz w:val="22"/>
          <w:szCs w:val="22"/>
          <w:lang w:val="en-GB"/>
        </w:rPr>
        <w:fldChar w:fldCharType="end"/>
      </w:r>
      <w:r w:rsidR="000E7353">
        <w:rPr>
          <w:sz w:val="22"/>
          <w:szCs w:val="22"/>
          <w:lang w:val="en-GB"/>
        </w:rPr>
        <w:t xml:space="preserve"> and four different SSS-δ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 xml:space="preserve"> relationships (</w:t>
      </w:r>
      <w:r w:rsidR="000E7353">
        <w:rPr>
          <w:sz w:val="22"/>
          <w:szCs w:val="22"/>
          <w:lang w:val="en-GB"/>
        </w:rPr>
        <w:fldChar w:fldCharType="begin"/>
      </w:r>
      <w:r w:rsidR="000E7353">
        <w:rPr>
          <w:sz w:val="22"/>
          <w:szCs w:val="22"/>
          <w:lang w:val="en-GB"/>
        </w:rPr>
        <w:instrText xml:space="preserve"> ADDIN ZOTERO_ITEM CSL_CITATION {"citationID":"tNUdm9wP","properties":{"formattedCitation":"(Harwood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E7353">
        <w:rPr>
          <w:sz w:val="22"/>
          <w:szCs w:val="22"/>
          <w:lang w:val="en-GB"/>
        </w:rPr>
        <w:fldChar w:fldCharType="separate"/>
      </w:r>
      <w:r w:rsidR="000E7353" w:rsidRPr="000E7353">
        <w:rPr>
          <w:rFonts w:ascii="Aptos" w:hAnsi="Aptos"/>
          <w:sz w:val="22"/>
        </w:rPr>
        <w:t>(Harwood et al., 2008)</w:t>
      </w:r>
      <w:r w:rsidR="000E7353">
        <w:rPr>
          <w:sz w:val="22"/>
          <w:szCs w:val="22"/>
          <w:lang w:val="en-GB"/>
        </w:rPr>
        <w:fldChar w:fldCharType="end"/>
      </w:r>
      <w:r w:rsidR="000E7353">
        <w:rPr>
          <w:sz w:val="22"/>
          <w:szCs w:val="22"/>
          <w:lang w:val="en-GB"/>
        </w:rPr>
        <w:t xml:space="preserve"> for the North Sea, </w:t>
      </w:r>
      <w:r w:rsidR="000E7353">
        <w:rPr>
          <w:sz w:val="22"/>
          <w:szCs w:val="22"/>
          <w:lang w:val="en-GB"/>
        </w:rPr>
        <w:fldChar w:fldCharType="begin"/>
      </w:r>
      <w:r w:rsidR="000E7353">
        <w:rPr>
          <w:sz w:val="22"/>
          <w:szCs w:val="22"/>
          <w:lang w:val="en-GB"/>
        </w:rPr>
        <w:instrText xml:space="preserve"> ADDIN ZOTERO_ITEM CSL_CITATION {"citationID":"Px5RWr6N","properties":{"formattedCitation":"(Graniero et al., 2017)","plainCitation":"(Graniero et al., 2017)","noteIndex":0},"citationItems":[{"id":8134,"uris":["http://zotero.org/users/2470179/items/HBBTXNPK"],"itemData":{"id":8134,"type":"article-journal","abstract":"We use time-series δ18O and δ13C data from seawater and live-collected Conus shells from Panama's Pacific coast to test the fidelity of the gastropod's δ13C values as a proxy for the δ13C of marine dissolved inorganic carbon (DIC), and the potential of δ18O-δ13C correlations in shell profiles for resolving relative magnitudes of seasonal upwelling and freshening. Water samples were collected from March 2011 to August 2012 from Naos Island Marine Laboratory, and Conus specimens were collected from nearby Veracruz Beach in July 2013. In general, patterns corresponded with seasonal changes in rainfall and upwelling on the Pacific coast of Panama. During the long rainy season, the upwelling signal is absent and seawater salinity, δ18O, and δ13CDIC all decline. During the dry season, the upwelling signal increases and runoff declines increasing salinity, δ18O, and δ13CDIC values. Shell δ13C values strongly correlate with measured δ13CDIC values, but are lower than expected equilibrium for aragonite by approximately +2‰ reflecting the incorporation of light metabolic C. The co-dependences of δ18O and δ13C provide reliable indicators of upwelling (negative correlation) and freshening (positive correlation) for nearshore environments, allowing for the study of historical climate change and upwelling based on beach-collected museum specimens.","container-title":"Palaeogeography, Palaeoclimatology, Palaeoecology","DOI":"10.1016/j.palaeo.2017.02.007","ISSN":"0031-0182","journalAbbreviation":"Palaeogeography, Palaeoclimatology, Palaeoecology","page":"119-127","source":"ScienceDirect","title":"&lt;i&gt;Conus&lt;/i&gt; Shell δ13C values as proxies for δ13CDIC in tropical waters","volume":"472","author":[{"family":"Graniero","given":"Lauren E."},{"family":"Grossman","given":"Ethan L."},{"family":"Robbins","given":"John"},{"family":"Morales","given":"Jorge"},{"family":"Thompson","given":"Ricardo"},{"family":"O'Dea","given":"Aaron"}],"issued":{"date-parts":[["2017",4,15]]}}}],"schema":"https://github.com/citation-style-language/schema/raw/master/csl-citation.json"} </w:instrText>
      </w:r>
      <w:r w:rsidR="000E7353">
        <w:rPr>
          <w:sz w:val="22"/>
          <w:szCs w:val="22"/>
          <w:lang w:val="en-GB"/>
        </w:rPr>
        <w:fldChar w:fldCharType="separate"/>
      </w:r>
      <w:r w:rsidR="000E7353" w:rsidRPr="000E7353">
        <w:rPr>
          <w:rFonts w:ascii="Aptos" w:hAnsi="Aptos"/>
          <w:sz w:val="22"/>
        </w:rPr>
        <w:t>(Graniero et al., 2017)</w:t>
      </w:r>
      <w:r w:rsidR="000E7353">
        <w:rPr>
          <w:sz w:val="22"/>
          <w:szCs w:val="22"/>
          <w:lang w:val="en-GB"/>
        </w:rPr>
        <w:fldChar w:fldCharType="end"/>
      </w:r>
      <w:r w:rsidR="000E7353">
        <w:rPr>
          <w:sz w:val="22"/>
          <w:szCs w:val="22"/>
          <w:lang w:val="en-GB"/>
        </w:rPr>
        <w:t xml:space="preserve"> for the </w:t>
      </w:r>
      <w:r w:rsidR="000E7353" w:rsidRPr="00256EAA">
        <w:rPr>
          <w:sz w:val="22"/>
          <w:szCs w:val="22"/>
          <w:lang w:val="en-GB"/>
        </w:rPr>
        <w:t>Gulf of Panama</w:t>
      </w:r>
      <w:r w:rsidR="000E7353">
        <w:rPr>
          <w:sz w:val="22"/>
          <w:szCs w:val="22"/>
          <w:lang w:val="en-GB"/>
        </w:rPr>
        <w:t xml:space="preserve"> and both the icehouse and greenhouse model by </w:t>
      </w:r>
      <w:r w:rsidR="000E7353">
        <w:rPr>
          <w:sz w:val="22"/>
          <w:szCs w:val="22"/>
          <w:lang w:val="en-GB"/>
        </w:rPr>
        <w:fldChar w:fldCharType="begin"/>
      </w:r>
      <w:r w:rsidR="000E7353">
        <w:rPr>
          <w:sz w:val="22"/>
          <w:szCs w:val="22"/>
          <w:lang w:val="en-GB"/>
        </w:rPr>
        <w:instrText xml:space="preserve"> ADDIN ZOTERO_ITEM CSL_CITATION {"citationID":"8eF5cDJH","properties":{"formattedCitation":"(Railsback et al., 1989)","plainCitation":"(Railsback et al., 1989)","noteIndex":0},"citationItems":[{"id":11710,"uris":["http://zotero.org/users/2470179/items/NBDGKEWA"],"itemData":{"id":11710,"type":"article-journal","abstract":"Temperature-salinity (T-S) profiles in ancient seawater can be estimated from oxygen isotopic compositions of well-preserved calcitic fossils sampled from known paleodepth gradients. The proposed model uses isotopic compositions of fossils to determine possible combinations of temperature and salinity during deposition (given estimates of average salinity, isotopic composition, and net global hydrologic fractionation for ancient oceans). Increasing density with depth constrains those combinations to narrow ranges. This graphic method superposes curves for density and isotopic composition in T-S space, to reveal possible ancient T-S profiles. Application of this method to oxygen isotope data from Ordovician brachiopods deposited on the eastern continental slope of North America demonstrates its usefulness and yields a stable seawater column in which brackish intermediate waters overlie warmer, more saline deep waters.","container-title":"Paleoceanography","DOI":"10.1029/PA004i005p00585","ISSN":"1944-9186","issue":"5","language":"en","license":"Copyright 1989 by the American Geophysical Union.","note":"_eprint: https://agupubs.onlinelibrary.wiley.com/doi/pdf/10.1029/PA004i005p00585","page":"585-591","source":"Wiley Online Library","title":"Paleoceanographic modeling of temperature-salinity profiles from stable isotopic data","volume":"4","author":[{"family":"Railsback","given":"L. Bruce"},{"family":"Anderson","given":"Thomas F."},{"family":"Ackerly","given":"Spafford C."},{"family":"Cisne","given":"John L."}],"issued":{"date-parts":[["1989"]]}}}],"schema":"https://github.com/citation-style-language/schema/raw/master/csl-citation.json"} </w:instrText>
      </w:r>
      <w:r w:rsidR="000E7353">
        <w:rPr>
          <w:sz w:val="22"/>
          <w:szCs w:val="22"/>
          <w:lang w:val="en-GB"/>
        </w:rPr>
        <w:fldChar w:fldCharType="separate"/>
      </w:r>
      <w:r w:rsidR="000E7353" w:rsidRPr="000E7353">
        <w:rPr>
          <w:rFonts w:ascii="Aptos" w:hAnsi="Aptos"/>
          <w:sz w:val="22"/>
        </w:rPr>
        <w:t>(Railsback et al., 1989)</w:t>
      </w:r>
      <w:r w:rsidR="000E7353">
        <w:rPr>
          <w:sz w:val="22"/>
          <w:szCs w:val="22"/>
          <w:lang w:val="en-GB"/>
        </w:rPr>
        <w:fldChar w:fldCharType="end"/>
      </w:r>
      <w:r w:rsidR="000E7353">
        <w:rPr>
          <w:sz w:val="22"/>
          <w:szCs w:val="22"/>
          <w:lang w:val="en-GB"/>
        </w:rPr>
        <w:t>).</w:t>
      </w:r>
    </w:p>
    <w:p w14:paraId="3D231A58" w14:textId="0F95553B" w:rsidR="00156B07" w:rsidRPr="00B4717D" w:rsidRDefault="00B4717D" w:rsidP="00B4717D">
      <w:pPr>
        <w:jc w:val="both"/>
        <w:rPr>
          <w:sz w:val="22"/>
          <w:szCs w:val="22"/>
          <w:lang w:val="en-GB"/>
        </w:rPr>
      </w:pPr>
      <w:r>
        <w:rPr>
          <w:sz w:val="22"/>
          <w:szCs w:val="22"/>
          <w:lang w:val="en-GB"/>
        </w:rPr>
        <w:t xml:space="preserve">2.3.5 </w:t>
      </w:r>
      <w:r w:rsidR="00F86172">
        <w:rPr>
          <w:sz w:val="22"/>
          <w:szCs w:val="22"/>
          <w:lang w:val="en-GB"/>
        </w:rPr>
        <w:t>Variation in model boundary conditions</w:t>
      </w:r>
    </w:p>
    <w:p w14:paraId="0845DEBF" w14:textId="285B31AA" w:rsidR="001B6F7E" w:rsidRPr="00B4717D" w:rsidRDefault="00363145" w:rsidP="008E3D79">
      <w:pPr>
        <w:jc w:val="both"/>
        <w:rPr>
          <w:sz w:val="22"/>
          <w:szCs w:val="22"/>
          <w:lang w:val="en-GB"/>
        </w:rPr>
      </w:pPr>
      <w:r>
        <w:rPr>
          <w:sz w:val="22"/>
          <w:szCs w:val="22"/>
          <w:lang w:val="en-GB"/>
        </w:rPr>
        <w:t xml:space="preserve">Finally, since the prior state of our data assimilations is based on model outcomes, we included a sensitivity test to assess the fact of model boundary conditions on the data assimilation outcome. Needless to say, GCMs have many boundary conditions, and exploring the effects of </w:t>
      </w:r>
      <w:r>
        <w:rPr>
          <w:sz w:val="22"/>
          <w:szCs w:val="22"/>
          <w:lang w:val="en-GB"/>
        </w:rPr>
        <w:lastRenderedPageBreak/>
        <w:t xml:space="preserve">all of them would vastly increase the scope of this study. We therefore only consider the impact of variations in radiative forcing in this study, but note that the impact of other model conditions can (and should) be explored in </w:t>
      </w:r>
      <w:proofErr w:type="spellStart"/>
      <w:r>
        <w:rPr>
          <w:sz w:val="22"/>
          <w:szCs w:val="22"/>
          <w:lang w:val="en-GB"/>
        </w:rPr>
        <w:t>paleoDA</w:t>
      </w:r>
      <w:proofErr w:type="spellEnd"/>
      <w:r>
        <w:rPr>
          <w:sz w:val="22"/>
          <w:szCs w:val="22"/>
          <w:lang w:val="en-GB"/>
        </w:rPr>
        <w:t xml:space="preserve"> studies to assess the sensitivity of posterior outcomes to model choices. </w:t>
      </w:r>
      <w:r w:rsidR="00C12DC4">
        <w:rPr>
          <w:sz w:val="22"/>
          <w:szCs w:val="22"/>
          <w:lang w:val="en-GB"/>
        </w:rPr>
        <w:t>We tested the sensitivity of our DA protocol on the Lutetian case study by assimilating the same proxy data with prior climate state (SST, SAT, SSS and precipitation) information from two different models run with varying radiative forcing (here expressed in terms of atmospheric pCO</w:t>
      </w:r>
      <w:r w:rsidR="00C12DC4">
        <w:rPr>
          <w:sz w:val="22"/>
          <w:szCs w:val="22"/>
          <w:vertAlign w:val="subscript"/>
          <w:lang w:val="en-GB"/>
        </w:rPr>
        <w:t>2</w:t>
      </w:r>
      <w:r w:rsidR="00C12DC4">
        <w:rPr>
          <w:sz w:val="22"/>
          <w:szCs w:val="22"/>
          <w:lang w:val="en-GB"/>
        </w:rPr>
        <w:t xml:space="preserve">): The </w:t>
      </w:r>
      <w:proofErr w:type="spellStart"/>
      <w:r w:rsidR="00C12DC4">
        <w:rPr>
          <w:sz w:val="22"/>
          <w:szCs w:val="22"/>
          <w:lang w:val="en-GB"/>
        </w:rPr>
        <w:t>HadCM</w:t>
      </w:r>
      <w:proofErr w:type="spellEnd"/>
      <w:r w:rsidR="00C12DC4">
        <w:rPr>
          <w:sz w:val="22"/>
          <w:szCs w:val="22"/>
          <w:lang w:val="en-GB"/>
        </w:rPr>
        <w:t xml:space="preserve"> model (also used for the Cretaceous case study) run</w:t>
      </w:r>
      <w:r w:rsidR="00BE3504">
        <w:rPr>
          <w:sz w:val="22"/>
          <w:szCs w:val="22"/>
          <w:lang w:val="en-GB"/>
        </w:rPr>
        <w:t xml:space="preserve"> with atmospheric pCO</w:t>
      </w:r>
      <w:r w:rsidR="00BE3504" w:rsidRPr="00BE3504">
        <w:rPr>
          <w:sz w:val="22"/>
          <w:szCs w:val="22"/>
          <w:vertAlign w:val="subscript"/>
          <w:lang w:val="en-GB"/>
        </w:rPr>
        <w:t>2</w:t>
      </w:r>
      <w:r w:rsidR="00BE3504">
        <w:rPr>
          <w:sz w:val="22"/>
          <w:szCs w:val="22"/>
          <w:lang w:val="en-GB"/>
        </w:rPr>
        <w:t xml:space="preserve"> concentrations of 280 ppm, 560 ppm and 1120 ppm and the CESM model (same as the default Lutetian case study) run with 2x (560 ppm) and 4x pre-industrial (1120 ppm) atmospheric pCO</w:t>
      </w:r>
      <w:r w:rsidR="00BE3504" w:rsidRPr="00BE3504">
        <w:rPr>
          <w:sz w:val="22"/>
          <w:szCs w:val="22"/>
          <w:vertAlign w:val="subscript"/>
          <w:lang w:val="en-GB"/>
        </w:rPr>
        <w:t>2</w:t>
      </w:r>
      <w:r w:rsidR="00BE3504">
        <w:rPr>
          <w:sz w:val="22"/>
          <w:szCs w:val="22"/>
          <w:lang w:val="en-GB"/>
        </w:rPr>
        <w:t xml:space="preserve"> concentrations.</w:t>
      </w:r>
    </w:p>
    <w:p w14:paraId="13B9A8F6" w14:textId="5AACCF4F" w:rsidR="001B6F7E" w:rsidRPr="001B6F7E" w:rsidRDefault="002F3751" w:rsidP="001B6F7E">
      <w:pPr>
        <w:jc w:val="both"/>
        <w:rPr>
          <w:b/>
          <w:bCs/>
          <w:sz w:val="22"/>
          <w:szCs w:val="22"/>
          <w:lang w:val="en-GB"/>
        </w:rPr>
      </w:pPr>
      <w:r w:rsidRPr="00256EAA">
        <w:rPr>
          <w:b/>
          <w:bCs/>
          <w:sz w:val="22"/>
          <w:szCs w:val="22"/>
          <w:lang w:val="en-GB"/>
        </w:rPr>
        <w:t>Results</w:t>
      </w:r>
    </w:p>
    <w:p w14:paraId="4A9DFA1A" w14:textId="7414D1EC" w:rsidR="00156B07" w:rsidRDefault="00D03063" w:rsidP="00505760">
      <w:pPr>
        <w:pStyle w:val="ListParagraph"/>
        <w:numPr>
          <w:ilvl w:val="0"/>
          <w:numId w:val="1"/>
        </w:numPr>
        <w:jc w:val="both"/>
        <w:rPr>
          <w:sz w:val="22"/>
          <w:szCs w:val="22"/>
          <w:lang w:val="en-GB"/>
        </w:rPr>
      </w:pPr>
      <w:r w:rsidRPr="00256EAA">
        <w:rPr>
          <w:sz w:val="22"/>
          <w:szCs w:val="22"/>
          <w:lang w:val="en-GB"/>
        </w:rPr>
        <w:t xml:space="preserve">Fully </w:t>
      </w:r>
      <w:r w:rsidR="003E7FF0">
        <w:rPr>
          <w:sz w:val="22"/>
          <w:szCs w:val="22"/>
          <w:lang w:val="en-GB"/>
        </w:rPr>
        <w:t>assimilate</w:t>
      </w:r>
      <w:r w:rsidRPr="00256EAA">
        <w:rPr>
          <w:sz w:val="22"/>
          <w:szCs w:val="22"/>
          <w:lang w:val="en-GB"/>
        </w:rPr>
        <w:t>d default posteriors for all case studies</w:t>
      </w:r>
      <w:r w:rsidR="003613F6" w:rsidRPr="00256EAA">
        <w:rPr>
          <w:sz w:val="22"/>
          <w:szCs w:val="22"/>
          <w:lang w:val="en-GB"/>
        </w:rPr>
        <w:t xml:space="preserve"> + compare data and model information on different parameters</w:t>
      </w:r>
    </w:p>
    <w:p w14:paraId="49CD5BA5" w14:textId="77777777" w:rsidR="001B6F7E" w:rsidRDefault="001B6F7E" w:rsidP="001B6F7E">
      <w:pPr>
        <w:pStyle w:val="ListParagraph"/>
        <w:numPr>
          <w:ilvl w:val="0"/>
          <w:numId w:val="1"/>
        </w:numPr>
        <w:jc w:val="both"/>
        <w:rPr>
          <w:sz w:val="22"/>
          <w:szCs w:val="22"/>
          <w:lang w:val="en-US"/>
        </w:rPr>
      </w:pPr>
      <w:r w:rsidRPr="001B6F7E">
        <w:rPr>
          <w:sz w:val="22"/>
          <w:szCs w:val="22"/>
          <w:lang w:val="en-US"/>
        </w:rPr>
        <w:t xml:space="preserve">Model priors, reconstruction likelihoods, posterior estimates and aggregated measurement data for the modern case study using the default choices for assimilation are plotted in </w:t>
      </w:r>
      <w:r w:rsidRPr="001B6F7E">
        <w:rPr>
          <w:b/>
          <w:bCs/>
          <w:sz w:val="22"/>
          <w:szCs w:val="22"/>
          <w:lang w:val="en-US"/>
        </w:rPr>
        <w:t>Figure 6</w:t>
      </w:r>
      <w:r w:rsidRPr="001B6F7E">
        <w:rPr>
          <w:sz w:val="22"/>
          <w:szCs w:val="22"/>
          <w:lang w:val="en-US"/>
        </w:rPr>
        <w:t>.</w:t>
      </w:r>
    </w:p>
    <w:p w14:paraId="6641A806" w14:textId="77777777" w:rsidR="001B6F7E" w:rsidRPr="00752D0A" w:rsidRDefault="001B6F7E" w:rsidP="00752D0A">
      <w:pPr>
        <w:jc w:val="both"/>
        <w:rPr>
          <w:sz w:val="22"/>
          <w:szCs w:val="22"/>
          <w:lang w:val="en-US"/>
        </w:rPr>
      </w:pPr>
      <w:r>
        <w:rPr>
          <w:noProof/>
          <w:lang w:val="en-US"/>
        </w:rPr>
        <w:lastRenderedPageBreak/>
        <w:drawing>
          <wp:inline distT="0" distB="0" distL="0" distR="0" wp14:anchorId="1703F841" wp14:editId="78B836CA">
            <wp:extent cx="5731510" cy="5731510"/>
            <wp:effectExtent l="0" t="0" r="2540" b="2540"/>
            <wp:docPr id="213630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FD7DB46" w14:textId="77777777" w:rsidR="001B6F7E" w:rsidRPr="00752D0A" w:rsidRDefault="001B6F7E" w:rsidP="00752D0A">
      <w:pPr>
        <w:jc w:val="both"/>
        <w:rPr>
          <w:sz w:val="22"/>
          <w:szCs w:val="22"/>
          <w:lang w:val="en-US"/>
        </w:rPr>
      </w:pPr>
      <w:r w:rsidRPr="00752D0A">
        <w:rPr>
          <w:b/>
          <w:bCs/>
          <w:sz w:val="22"/>
          <w:szCs w:val="22"/>
          <w:lang w:val="en-US"/>
        </w:rPr>
        <w:t>Figure 6</w:t>
      </w:r>
      <w:r w:rsidRPr="00752D0A">
        <w:rPr>
          <w:sz w:val="22"/>
          <w:szCs w:val="22"/>
          <w:lang w:val="en-US"/>
        </w:rPr>
        <w:t>: Data assimilation model priors (green), reconstruction likelihood (yellow) and posterior estimates (red) for the modern case study compared to local measurements (blue).</w:t>
      </w:r>
    </w:p>
    <w:p w14:paraId="16A5EAFB" w14:textId="61449AD7" w:rsidR="00D03063"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6A5EDCC9" w14:textId="6C58D7AA" w:rsidR="00A83C41" w:rsidRDefault="00A83C41" w:rsidP="00752D0A">
      <w:pPr>
        <w:jc w:val="both"/>
        <w:rPr>
          <w:b/>
          <w:bCs/>
          <w:sz w:val="22"/>
          <w:szCs w:val="22"/>
          <w:lang w:val="en-GB"/>
        </w:rPr>
      </w:pPr>
      <w:r>
        <w:rPr>
          <w:b/>
          <w:bCs/>
          <w:noProof/>
          <w:sz w:val="22"/>
          <w:szCs w:val="22"/>
          <w:lang w:val="en-GB"/>
        </w:rPr>
        <w:lastRenderedPageBreak/>
        <w:drawing>
          <wp:inline distT="0" distB="0" distL="0" distR="0" wp14:anchorId="275684C7" wp14:editId="5A2B1F88">
            <wp:extent cx="5685890" cy="4530315"/>
            <wp:effectExtent l="0" t="0" r="0" b="3810"/>
            <wp:docPr id="42991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12538"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685890" cy="4530315"/>
                    </a:xfrm>
                    <a:prstGeom prst="rect">
                      <a:avLst/>
                    </a:prstGeom>
                  </pic:spPr>
                </pic:pic>
              </a:graphicData>
            </a:graphic>
          </wp:inline>
        </w:drawing>
      </w:r>
    </w:p>
    <w:p w14:paraId="1B4F6C6F" w14:textId="743D1E61" w:rsidR="00752D0A" w:rsidRPr="00A83C41" w:rsidRDefault="00752D0A" w:rsidP="00752D0A">
      <w:pPr>
        <w:jc w:val="both"/>
        <w:rPr>
          <w:sz w:val="22"/>
          <w:szCs w:val="22"/>
          <w:lang w:val="en-GB"/>
        </w:rPr>
      </w:pPr>
      <w:r>
        <w:rPr>
          <w:b/>
          <w:bCs/>
          <w:sz w:val="22"/>
          <w:szCs w:val="22"/>
          <w:lang w:val="en-GB"/>
        </w:rPr>
        <w:t>Figure 7</w:t>
      </w:r>
      <w:r>
        <w:rPr>
          <w:sz w:val="22"/>
          <w:szCs w:val="22"/>
          <w:lang w:val="en-GB"/>
        </w:rPr>
        <w:t>: Effect of uncertainty on proxy values on posterior precision and accuracy</w:t>
      </w:r>
      <w:r w:rsidR="0086160F">
        <w:rPr>
          <w:sz w:val="22"/>
          <w:szCs w:val="22"/>
          <w:lang w:val="en-GB"/>
        </w:rPr>
        <w:t xml:space="preserve"> in the proxy domain</w:t>
      </w:r>
      <w:r w:rsidR="00A83C41">
        <w:rPr>
          <w:sz w:val="22"/>
          <w:szCs w:val="22"/>
          <w:lang w:val="en-GB"/>
        </w:rPr>
        <w:t xml:space="preserve"> (green = model prior, blue = </w:t>
      </w:r>
      <w:r w:rsidR="00A83C41">
        <w:rPr>
          <w:i/>
          <w:iCs/>
          <w:sz w:val="22"/>
          <w:szCs w:val="22"/>
          <w:lang w:val="en-GB"/>
        </w:rPr>
        <w:t>in situ</w:t>
      </w:r>
      <w:r w:rsidR="00A83C41">
        <w:rPr>
          <w:sz w:val="22"/>
          <w:szCs w:val="22"/>
          <w:lang w:val="en-GB"/>
        </w:rPr>
        <w:t xml:space="preserve"> measurement, red = posteriors)</w:t>
      </w:r>
    </w:p>
    <w:p w14:paraId="7B1323A6" w14:textId="2B701A25" w:rsidR="00A83C41" w:rsidRDefault="00D550C7" w:rsidP="00752D0A">
      <w:pPr>
        <w:jc w:val="both"/>
        <w:rPr>
          <w:b/>
          <w:bCs/>
          <w:sz w:val="22"/>
          <w:szCs w:val="22"/>
          <w:lang w:val="en-GB"/>
        </w:rPr>
      </w:pPr>
      <w:r>
        <w:rPr>
          <w:b/>
          <w:bCs/>
          <w:noProof/>
          <w:sz w:val="22"/>
          <w:szCs w:val="22"/>
          <w:lang w:val="en-GB"/>
        </w:rPr>
        <w:drawing>
          <wp:inline distT="0" distB="0" distL="0" distR="0" wp14:anchorId="06A7C36E" wp14:editId="61D86B3A">
            <wp:extent cx="5731509" cy="2402283"/>
            <wp:effectExtent l="0" t="0" r="3175" b="0"/>
            <wp:docPr id="157799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7012"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731509" cy="2402283"/>
                    </a:xfrm>
                    <a:prstGeom prst="rect">
                      <a:avLst/>
                    </a:prstGeom>
                  </pic:spPr>
                </pic:pic>
              </a:graphicData>
            </a:graphic>
          </wp:inline>
        </w:drawing>
      </w:r>
    </w:p>
    <w:p w14:paraId="1B4ABE89" w14:textId="5C1E15A0" w:rsidR="00752D0A" w:rsidRPr="00752D0A" w:rsidRDefault="00752D0A" w:rsidP="00752D0A">
      <w:pPr>
        <w:jc w:val="both"/>
        <w:rPr>
          <w:sz w:val="22"/>
          <w:szCs w:val="22"/>
          <w:lang w:val="en-GB"/>
        </w:rPr>
      </w:pPr>
      <w:r>
        <w:rPr>
          <w:b/>
          <w:bCs/>
          <w:sz w:val="22"/>
          <w:szCs w:val="22"/>
          <w:lang w:val="en-GB"/>
        </w:rPr>
        <w:t>Figure 8</w:t>
      </w:r>
      <w:r>
        <w:rPr>
          <w:sz w:val="22"/>
          <w:szCs w:val="22"/>
          <w:lang w:val="en-GB"/>
        </w:rPr>
        <w:t>: Effect of including or excluding d18Oc or D47 from the data assimilation</w:t>
      </w:r>
      <w:r w:rsidR="0086160F">
        <w:rPr>
          <w:sz w:val="22"/>
          <w:szCs w:val="22"/>
          <w:lang w:val="en-GB"/>
        </w:rPr>
        <w:t xml:space="preserve"> on SST and SAT outcomes</w:t>
      </w:r>
    </w:p>
    <w:p w14:paraId="09F57757" w14:textId="659F236C" w:rsidR="00D03063"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7B9A55F7" w14:textId="3993F920" w:rsidR="00625895" w:rsidRDefault="00625895" w:rsidP="00681201">
      <w:pPr>
        <w:jc w:val="both"/>
        <w:rPr>
          <w:b/>
          <w:bCs/>
          <w:sz w:val="22"/>
          <w:szCs w:val="22"/>
          <w:lang w:val="en-GB"/>
        </w:rPr>
      </w:pPr>
      <w:r>
        <w:rPr>
          <w:b/>
          <w:bCs/>
          <w:noProof/>
          <w:sz w:val="22"/>
          <w:szCs w:val="22"/>
          <w:lang w:val="en-GB"/>
        </w:rPr>
        <w:lastRenderedPageBreak/>
        <w:drawing>
          <wp:inline distT="0" distB="0" distL="0" distR="0" wp14:anchorId="7CC918F6" wp14:editId="6324FD55">
            <wp:extent cx="5731510" cy="2868652"/>
            <wp:effectExtent l="0" t="0" r="2540" b="8255"/>
            <wp:docPr id="1232772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2347"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731510" cy="2868652"/>
                    </a:xfrm>
                    <a:prstGeom prst="rect">
                      <a:avLst/>
                    </a:prstGeom>
                  </pic:spPr>
                </pic:pic>
              </a:graphicData>
            </a:graphic>
          </wp:inline>
        </w:drawing>
      </w:r>
    </w:p>
    <w:p w14:paraId="393BF596" w14:textId="6DE4BFAE" w:rsidR="00681201" w:rsidRDefault="00681201" w:rsidP="00681201">
      <w:pPr>
        <w:jc w:val="both"/>
        <w:rPr>
          <w:sz w:val="22"/>
          <w:szCs w:val="22"/>
          <w:lang w:val="en-GB"/>
        </w:rPr>
      </w:pPr>
      <w:r>
        <w:rPr>
          <w:b/>
          <w:bCs/>
          <w:sz w:val="22"/>
          <w:szCs w:val="22"/>
          <w:lang w:val="en-GB"/>
        </w:rPr>
        <w:t>Figure 9</w:t>
      </w:r>
      <w:r>
        <w:rPr>
          <w:sz w:val="22"/>
          <w:szCs w:val="22"/>
          <w:lang w:val="en-GB"/>
        </w:rPr>
        <w:t>: Effect of SSS-d18Ow relationships on assimilation posteriors</w:t>
      </w:r>
    </w:p>
    <w:p w14:paraId="3FDE14E3" w14:textId="4693FD83" w:rsidR="00091716" w:rsidRDefault="00091716" w:rsidP="00681201">
      <w:pPr>
        <w:jc w:val="both"/>
        <w:rPr>
          <w:b/>
          <w:bCs/>
          <w:sz w:val="22"/>
          <w:szCs w:val="22"/>
          <w:lang w:val="en-GB"/>
        </w:rPr>
      </w:pPr>
      <w:r>
        <w:rPr>
          <w:b/>
          <w:bCs/>
          <w:noProof/>
          <w:sz w:val="22"/>
          <w:szCs w:val="22"/>
          <w:lang w:val="en-GB"/>
        </w:rPr>
        <w:drawing>
          <wp:inline distT="0" distB="0" distL="0" distR="0" wp14:anchorId="3671664E" wp14:editId="29757058">
            <wp:extent cx="5738411" cy="3057350"/>
            <wp:effectExtent l="0" t="0" r="0" b="0"/>
            <wp:docPr id="87640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05166"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5746521" cy="3061671"/>
                    </a:xfrm>
                    <a:prstGeom prst="rect">
                      <a:avLst/>
                    </a:prstGeom>
                  </pic:spPr>
                </pic:pic>
              </a:graphicData>
            </a:graphic>
          </wp:inline>
        </w:drawing>
      </w:r>
    </w:p>
    <w:p w14:paraId="2A02DDA4" w14:textId="3C450BAF" w:rsidR="00402433" w:rsidRPr="00402433" w:rsidRDefault="00402433" w:rsidP="00681201">
      <w:pPr>
        <w:jc w:val="both"/>
        <w:rPr>
          <w:sz w:val="22"/>
          <w:szCs w:val="22"/>
          <w:lang w:val="en-GB"/>
        </w:rPr>
      </w:pPr>
      <w:r>
        <w:rPr>
          <w:b/>
          <w:bCs/>
          <w:sz w:val="22"/>
          <w:szCs w:val="22"/>
          <w:lang w:val="en-GB"/>
        </w:rPr>
        <w:t>Figure 10</w:t>
      </w:r>
      <w:r>
        <w:rPr>
          <w:sz w:val="22"/>
          <w:szCs w:val="22"/>
          <w:lang w:val="en-GB"/>
        </w:rPr>
        <w:t>: Effect of different 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 equations</w:t>
      </w:r>
    </w:p>
    <w:p w14:paraId="6EEFF53B" w14:textId="77332033" w:rsidR="00752D0A" w:rsidRDefault="00752D0A" w:rsidP="00752D0A">
      <w:pPr>
        <w:pStyle w:val="ListParagraph"/>
        <w:numPr>
          <w:ilvl w:val="0"/>
          <w:numId w:val="1"/>
        </w:numPr>
        <w:jc w:val="both"/>
        <w:rPr>
          <w:sz w:val="22"/>
          <w:szCs w:val="22"/>
          <w:lang w:val="en-GB"/>
        </w:rPr>
      </w:pPr>
      <w:r w:rsidRPr="00256EAA">
        <w:rPr>
          <w:sz w:val="22"/>
          <w:szCs w:val="22"/>
          <w:lang w:val="en-GB"/>
        </w:rPr>
        <w:t>Sensitivity of PWP result to different pCO2</w:t>
      </w:r>
      <w:r w:rsidR="00681201">
        <w:rPr>
          <w:sz w:val="22"/>
          <w:szCs w:val="22"/>
          <w:lang w:val="en-GB"/>
        </w:rPr>
        <w:t xml:space="preserve"> forcing in</w:t>
      </w:r>
      <w:r w:rsidRPr="00256EAA">
        <w:rPr>
          <w:sz w:val="22"/>
          <w:szCs w:val="22"/>
          <w:lang w:val="en-GB"/>
        </w:rPr>
        <w:t xml:space="preserve"> models</w:t>
      </w:r>
    </w:p>
    <w:p w14:paraId="4329926C" w14:textId="339D0B1D" w:rsidR="00471C8D" w:rsidRDefault="00471C8D" w:rsidP="00752D0A">
      <w:pPr>
        <w:jc w:val="both"/>
        <w:rPr>
          <w:b/>
          <w:bCs/>
          <w:sz w:val="22"/>
          <w:szCs w:val="22"/>
          <w:lang w:val="en-GB"/>
        </w:rPr>
      </w:pPr>
      <w:r>
        <w:rPr>
          <w:b/>
          <w:bCs/>
          <w:noProof/>
          <w:sz w:val="22"/>
          <w:szCs w:val="22"/>
          <w:lang w:val="en-GB"/>
        </w:rPr>
        <w:lastRenderedPageBreak/>
        <w:drawing>
          <wp:inline distT="0" distB="0" distL="0" distR="0" wp14:anchorId="2AC01B6C" wp14:editId="50CF3108">
            <wp:extent cx="5731508" cy="4566662"/>
            <wp:effectExtent l="0" t="0" r="3175" b="5715"/>
            <wp:docPr id="184189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9392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5731508" cy="4566662"/>
                    </a:xfrm>
                    <a:prstGeom prst="rect">
                      <a:avLst/>
                    </a:prstGeom>
                  </pic:spPr>
                </pic:pic>
              </a:graphicData>
            </a:graphic>
          </wp:inline>
        </w:drawing>
      </w:r>
    </w:p>
    <w:p w14:paraId="7C8952CA" w14:textId="7543BFFF" w:rsidR="00752D0A" w:rsidRPr="00752D0A" w:rsidRDefault="00752D0A" w:rsidP="00752D0A">
      <w:pPr>
        <w:jc w:val="both"/>
        <w:rPr>
          <w:sz w:val="22"/>
          <w:szCs w:val="22"/>
          <w:lang w:val="en-GB"/>
        </w:rPr>
      </w:pPr>
      <w:r>
        <w:rPr>
          <w:b/>
          <w:bCs/>
          <w:sz w:val="22"/>
          <w:szCs w:val="22"/>
          <w:lang w:val="en-GB"/>
        </w:rPr>
        <w:t xml:space="preserve">Figure </w:t>
      </w:r>
      <w:r w:rsidR="00681201">
        <w:rPr>
          <w:b/>
          <w:bCs/>
          <w:sz w:val="22"/>
          <w:szCs w:val="22"/>
          <w:lang w:val="en-GB"/>
        </w:rPr>
        <w:t>1</w:t>
      </w:r>
      <w:r w:rsidR="00402433">
        <w:rPr>
          <w:b/>
          <w:bCs/>
          <w:sz w:val="22"/>
          <w:szCs w:val="22"/>
          <w:lang w:val="en-GB"/>
        </w:rPr>
        <w:t>1</w:t>
      </w:r>
      <w:r>
        <w:rPr>
          <w:sz w:val="22"/>
          <w:szCs w:val="22"/>
          <w:lang w:val="en-GB"/>
        </w:rPr>
        <w:t xml:space="preserve">: Comparison of assimilations of </w:t>
      </w:r>
      <w:r w:rsidR="00681201">
        <w:rPr>
          <w:sz w:val="22"/>
          <w:szCs w:val="22"/>
          <w:lang w:val="en-GB"/>
        </w:rPr>
        <w:t>Lutetian</w:t>
      </w:r>
      <w:r>
        <w:rPr>
          <w:sz w:val="22"/>
          <w:szCs w:val="22"/>
          <w:lang w:val="en-GB"/>
        </w:rPr>
        <w:t xml:space="preserve"> case study </w:t>
      </w:r>
      <w:r w:rsidR="00681201">
        <w:rPr>
          <w:sz w:val="22"/>
          <w:szCs w:val="22"/>
          <w:lang w:val="en-GB"/>
        </w:rPr>
        <w:t>with different models and different pCO2 forcing</w:t>
      </w:r>
    </w:p>
    <w:p w14:paraId="69BF0551" w14:textId="65C83CAF" w:rsidR="002F3751" w:rsidRPr="00256EAA" w:rsidRDefault="002F3751" w:rsidP="00505760">
      <w:pPr>
        <w:jc w:val="both"/>
        <w:rPr>
          <w:b/>
          <w:bCs/>
          <w:sz w:val="22"/>
          <w:szCs w:val="22"/>
          <w:lang w:val="en-GB"/>
        </w:rPr>
      </w:pPr>
      <w:r w:rsidRPr="00256EAA">
        <w:rPr>
          <w:b/>
          <w:bCs/>
          <w:sz w:val="22"/>
          <w:szCs w:val="22"/>
          <w:lang w:val="en-GB"/>
        </w:rPr>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2E29B7B9" w:rsidR="00D07D4B" w:rsidRPr="00256EAA" w:rsidRDefault="00D07D4B" w:rsidP="00505760">
      <w:pPr>
        <w:pStyle w:val="ListParagraph"/>
        <w:numPr>
          <w:ilvl w:val="0"/>
          <w:numId w:val="1"/>
        </w:numPr>
        <w:jc w:val="both"/>
        <w:rPr>
          <w:sz w:val="22"/>
          <w:szCs w:val="22"/>
          <w:lang w:val="en-GB"/>
        </w:rPr>
      </w:pPr>
      <w:r w:rsidRPr="00256EAA">
        <w:rPr>
          <w:sz w:val="22"/>
          <w:szCs w:val="22"/>
          <w:lang w:val="en-GB"/>
        </w:rPr>
        <w:t xml:space="preserve">Any technical improvements in the DA script needed to better </w:t>
      </w:r>
      <w:r w:rsidR="003E7FF0">
        <w:rPr>
          <w:sz w:val="22"/>
          <w:szCs w:val="22"/>
          <w:lang w:val="en-GB"/>
        </w:rPr>
        <w:t>assimilate</w:t>
      </w:r>
      <w:r w:rsidRPr="00256EAA">
        <w:rPr>
          <w:sz w:val="22"/>
          <w:szCs w:val="22"/>
          <w:lang w:val="en-GB"/>
        </w:rPr>
        <w:t xml:space="preserv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2F74F740" w14:textId="77777777" w:rsidR="000E7353" w:rsidRDefault="00B053FA" w:rsidP="000E7353">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0E7353">
        <w:t xml:space="preserve">Alberti, M., Fürsich, F. T., Abdelhady, A. A., and Andersen, N.: Middle to Late Jurassic equatorial seawater temperatures and latitudinal temperature gradients based on stable isotopes of brachiopods and oysters from Gebel Maghara, Egypt, </w:t>
      </w:r>
      <w:r w:rsidR="000E7353">
        <w:lastRenderedPageBreak/>
        <w:t>Palaeogeography, Palaeoclimatology, Palaeoecology, 468, 301–313, https://doi.org/10.1016/j.palaeo.2016.11.052, 2017.</w:t>
      </w:r>
    </w:p>
    <w:p w14:paraId="353E2AAB" w14:textId="77777777" w:rsidR="000E7353" w:rsidRDefault="000E7353" w:rsidP="000E7353">
      <w:pPr>
        <w:pStyle w:val="Bibliography"/>
      </w:pPr>
      <w:r>
        <w:t>Appelblad, P. K., Rodushkin, I., and Baxter, D. C.: Sources of Uncertainty in Isotope Ratio Measurements by Inductively Coupled Plasma Mass Spectrometry, Anal. Chem., 73, 2911–2919, https://doi.org/10.1021/ac001537y, 2001.</w:t>
      </w:r>
    </w:p>
    <w:p w14:paraId="2CF7A27C" w14:textId="77777777" w:rsidR="000E7353" w:rsidRDefault="000E7353" w:rsidP="000E7353">
      <w:pPr>
        <w:pStyle w:val="Bibliography"/>
      </w:pPr>
      <w:r>
        <w:t>Baatsen, M., von der Heydt, A. S., Huber, M., Kliphuis, M. A., Bijl, P. K., Sluijs, A., and Dijkstra, H. A.: The middle to late Eocene greenhouse climate modelled using the CESM 1.0.5, Climate of the Past, 16, 2573–2597, https://doi.org/10.5194/cp-16-2573-2020, 2020.</w:t>
      </w:r>
    </w:p>
    <w:p w14:paraId="33214A03" w14:textId="77777777" w:rsidR="000E7353" w:rsidRDefault="000E7353" w:rsidP="000E7353">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1F211C33" w14:textId="77777777" w:rsidR="000E7353" w:rsidRDefault="000E7353" w:rsidP="000E7353">
      <w:pPr>
        <w:pStyle w:val="Bibliography"/>
      </w:pPr>
      <w:r>
        <w:t>Bova, S., Rosenthal, Y., Liu, Z., Godad, S. P., and Yan, M.: Seasonal origin of the thermal maxima at the Holocene and the last interglacial, Nature, 589, 548–553, https://doi.org/10.1038/s41586-020-03155-x, 2021.</w:t>
      </w:r>
    </w:p>
    <w:p w14:paraId="54439277" w14:textId="77777777" w:rsidR="000E7353" w:rsidRDefault="000E7353" w:rsidP="000E7353">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3F56B313" w14:textId="77777777" w:rsidR="000E7353" w:rsidRDefault="000E7353" w:rsidP="000E7353">
      <w:pPr>
        <w:pStyle w:val="Bibliography"/>
      </w:pPr>
      <w:r>
        <w:t>Burke, K. D., Williams, J. W., Chandler, M. A., Haywood, A. M., Lunt, D. J., and Otto-Bliesner, B. L.: Pliocene and Eocene provide best analogs for near-future climates, PNAS, 115, 13288–13293, https://doi.org/10.1073/pnas.1809600115, 2018.</w:t>
      </w:r>
    </w:p>
    <w:p w14:paraId="7C20C38E" w14:textId="77777777" w:rsidR="000E7353" w:rsidRDefault="000E7353" w:rsidP="000E7353">
      <w:pPr>
        <w:pStyle w:val="Bibliography"/>
      </w:pPr>
      <w:r>
        <w:t>Caldarescu, D., Sadatzki, H., Andersson, C., Schäfer, P., Fortunato, H., and Meckler, A. N.: Clumped Isotope Data from Caldarescu et al 2020 Geochimica et Cosmochimica Acta, 2020.</w:t>
      </w:r>
    </w:p>
    <w:p w14:paraId="0FFB0EC2" w14:textId="77777777" w:rsidR="000E7353" w:rsidRDefault="000E7353" w:rsidP="000E7353">
      <w:pPr>
        <w:pStyle w:val="Bibliography"/>
      </w:pPr>
      <w:r>
        <w:t>Caldarescu, D. E., Sadatzki, H., Andersson, C., Schäfer, P., Fortunato, H., and Meckler, A. N.: Clumped isotope thermometry in bivalve shells: A tool for reconstructing seasonal upwelling, Geochimica et Cosmochimica Acta, 294, 174–191, https://doi.org/10.1016/j.gca.2020.11.019, 2021.</w:t>
      </w:r>
    </w:p>
    <w:p w14:paraId="2D71D8CF" w14:textId="77777777" w:rsidR="000E7353" w:rsidRDefault="000E7353" w:rsidP="000E7353">
      <w:pPr>
        <w:pStyle w:val="Bibliography"/>
      </w:pPr>
      <w:r>
        <w:t>Carré, M. and Cheddadi, R.: Seasonality in long-term climate change, Quaternaire. Revue de l’Association française pour l’étude du Quaternaire, 28, 173–177, https://doi.org/10.4000/quaternaire.8018, 2017.</w:t>
      </w:r>
    </w:p>
    <w:p w14:paraId="039736C0" w14:textId="77777777" w:rsidR="000E7353" w:rsidRDefault="000E7353" w:rsidP="000E7353">
      <w:pPr>
        <w:pStyle w:val="Bibliography"/>
      </w:pPr>
      <w:r>
        <w:t>Daëron, M. and Vermeesch, P.: Omnivariant generalized least squares regression: Theory, geochronological applications, and making the case for reconciled Δ47 calibrations, Chemical Geology, 121881, https://doi.org/10.1016/j.chemgeo.2023.121881, 2023.</w:t>
      </w:r>
    </w:p>
    <w:p w14:paraId="5B1C040B" w14:textId="77777777" w:rsidR="000E7353" w:rsidRDefault="000E7353" w:rsidP="000E7353">
      <w:pPr>
        <w:pStyle w:val="Bibliography"/>
      </w:pPr>
      <w:r>
        <w:t xml:space="preserve">Danabasoglu, G., Lamarque, J.-F., Bacmeister, J., Bailey, D. A., DuVivier, A. K., Edwards, J., Emmons, L. K., Fasullo, J., Garcia, R., Gettelman, A., Hannay, C., Holland, M. M., </w:t>
      </w:r>
      <w:r>
        <w:lastRenderedPageBreak/>
        <w:t>Large, W. G., Lauritzen, P. H., Lawrence, D. M., Lenaerts, J. T. M., Lindsay, K., Lipscomb, W. H., Mills, M. J., Neale, R., Oleson, K. W., Otto-Bliesner, B., Phillips, A. S., Sacks, W., Tilmes, S., van Kampenhout, L., Vertenstein, M., Bertini, A., Dennis, J., Deser, C., Fischer, C., Fox-Kemper, B., Kay, J. E., Kinnison, D., Kushner, P. J., Larson, V. E., Long, M. C., Mickelson, S., Moore, J. K., Nienhouse, E., Polvani, L., Rasch, P. J., and Strand, W. G.: The Community Earth System Model Version 2 (CESM2), Journal of Advances in Modeling Earth Systems, 12, e2019MS001916, https://doi.org/10.1029/2019MS001916, 2020.</w:t>
      </w:r>
    </w:p>
    <w:p w14:paraId="5CD3FED9" w14:textId="77777777" w:rsidR="000E7353" w:rsidRDefault="000E7353" w:rsidP="000E7353">
      <w:pPr>
        <w:pStyle w:val="Bibliography"/>
      </w:pPr>
      <w:r>
        <w:t>De Winter, N., Snoeck, C., and Claeys, P.: Seasonal cyclicity in trace elements and stable isotopes of modern horse enamel, PLoS ONE, 11, 1, https://doi.org/10.1371/journal.pone.0166678, 2016.</w:t>
      </w:r>
    </w:p>
    <w:p w14:paraId="4BE4B767" w14:textId="77777777" w:rsidR="000E7353" w:rsidRDefault="000E7353" w:rsidP="000E7353">
      <w:pPr>
        <w:pStyle w:val="Bibliography"/>
      </w:pPr>
      <w:r>
        <w:t>Dettman, D. L., Reische, A. K., and Lohmann, K. C.: Controls on the stable isotope composition of seasonal growth bands in aragonitic fresh-water bivalves (unionidae), Geochimica et Cosmochimica Acta, 63, 1049–1057, https://doi.org/10.1016/S0016-7037(99)00020-4, 1999.</w:t>
      </w:r>
    </w:p>
    <w:p w14:paraId="205CCBD4" w14:textId="77777777" w:rsidR="000E7353" w:rsidRDefault="000E7353" w:rsidP="000E7353">
      <w:pPr>
        <w:pStyle w:val="Bibliography"/>
      </w:pPr>
      <w:r>
        <w:t>Evans, M. N., Tolwinski-Ward, S. E., Thompson, D. M., and Anchukaitis, K. J.: Applications of proxy system modeling in high resolution paleoclimatology, Quaternary Science Reviews, 76, 16–28, https://doi.org/10.1016/j.quascirev.2013.05.024, 2013.</w:t>
      </w:r>
    </w:p>
    <w:p w14:paraId="23043C97" w14:textId="77777777" w:rsidR="000E7353" w:rsidRDefault="000E7353" w:rsidP="000E7353">
      <w:pPr>
        <w:pStyle w:val="Bibliography"/>
      </w:pPr>
      <w:r>
        <w:t>Eyring, V., Bony, S., Meehl, G. A., Senior, C. A., Stevens, B., Stouffer, R. J., and Taylor, K. E.: Overview of the Coupled Model Intercomparison Project Phase 6 (CMIP6) experimental design and organization, Geoscientific Model Development, 9, 1937–1958, https://doi.org/10.5194/gmd-9-1937-2016, 2016.</w:t>
      </w:r>
    </w:p>
    <w:p w14:paraId="749525A6" w14:textId="77777777" w:rsidR="000E7353" w:rsidRDefault="000E7353" w:rsidP="000E7353">
      <w:pPr>
        <w:pStyle w:val="Bibliography"/>
      </w:pPr>
      <w:r>
        <w:t>Farnsworth, A., Lunt, D. J., O’Brien, C. L., Foster, G. L., Inglis, G. N., Markwick, P., Pancost, R. D., and Robinson, S. A.: Climate Sensitivity on Geological Timescales Controlled by Nonlinear Feedbacks and Ocean Circulation, Geophys. Res. Lett., 46, 9880–9889, https://doi.org/10.1029/2019GL083574, 2019.</w:t>
      </w:r>
    </w:p>
    <w:p w14:paraId="18D2455F" w14:textId="77777777" w:rsidR="000E7353" w:rsidRDefault="000E7353" w:rsidP="000E7353">
      <w:pPr>
        <w:pStyle w:val="Bibliography"/>
      </w:pPr>
      <w:r>
        <w:t>Font, J., Boutin, J., Reul, N., Spurgeon, P., Ballabrera-Poy, J., Chuprin, A., Gabarró, C., Gourrion, J., Guimbard, S., Hénocq, C., Lavender, S., Martin, N., Martínez, J., McCulloch, M., Meirold-Mautner, I., Mugerin, C., Petitcolin, F., Portabella, M., Sabia, R., Talone, M., Tenerelli, J., Turiel, A., Vergely, J.-L., Waldteufel, P., Yin, X., Zine, S., and Delwart, S.: SMOS first data analysis for sea surface salinity determination, International Journal of Remote Sensing, 34, 3654–3670, https://doi.org/10.1080/01431161.2012.716541, 2013.</w:t>
      </w:r>
    </w:p>
    <w:p w14:paraId="55BC0EEC" w14:textId="77777777" w:rsidR="000E7353" w:rsidRDefault="000E7353" w:rsidP="000E7353">
      <w:pPr>
        <w:pStyle w:val="Bibliography"/>
      </w:pPr>
      <w:r>
        <w:t>Franke, J., Brönnimann, S., Bhend, J., and Brugnara, Y.: A monthly global paleo-reanalysis of the atmosphere from 1600 to 2005 for studying past climatic variations, Sci Data, 4, 170076, https://doi.org/10.1038/sdata.2017.76, 2017.</w:t>
      </w:r>
    </w:p>
    <w:p w14:paraId="2A956387" w14:textId="77777777" w:rsidR="000E7353" w:rsidRDefault="000E7353" w:rsidP="000E7353">
      <w:pPr>
        <w:pStyle w:val="Bibliography"/>
      </w:pPr>
      <w:r>
        <w:t>Fricke, H. C., Clyde, W. C., and O’Neil, J. R.: Intra-tooth variations in δ 18 O (PO 4) of mammalian tooth enamel as a record of seasonal variations in continental climate variables, Geochimica et Cosmochimica Acta, 62, 1839–1850, 1998.</w:t>
      </w:r>
    </w:p>
    <w:p w14:paraId="40180C2F" w14:textId="77777777" w:rsidR="000E7353" w:rsidRDefault="000E7353" w:rsidP="000E7353">
      <w:pPr>
        <w:pStyle w:val="Bibliography"/>
      </w:pPr>
      <w:r>
        <w:lastRenderedPageBreak/>
        <w:t>Gagan, M. K., Chivas, A. R., and Isdale, P. J.: High-resolution isotopic records from corals using ocean temperature and mass-spawning chronometers, Earth and Planetary Science Letters, 121, 549–558, https://doi.org/10.1016/0012-821X(94)90090-6, 1994.</w:t>
      </w:r>
    </w:p>
    <w:p w14:paraId="75982E41" w14:textId="77777777" w:rsidR="000E7353" w:rsidRDefault="000E7353" w:rsidP="000E7353">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A3362E1" w14:textId="77777777" w:rsidR="000E7353" w:rsidRDefault="000E7353" w:rsidP="000E7353">
      <w:pPr>
        <w:pStyle w:val="Bibliography"/>
      </w:pPr>
      <w:r>
        <w:t>Gély, J. P. and Merle, D.: La stratigraphie et la paléogéographie du Lutétien en France, Stratotype Lutétien. Muséum National d’Histoire Naturelle, Paris, 182–227, 2008.</w:t>
      </w:r>
    </w:p>
    <w:p w14:paraId="506547E6" w14:textId="77777777" w:rsidR="000E7353" w:rsidRDefault="000E7353" w:rsidP="000E7353">
      <w:pPr>
        <w:pStyle w:val="Bibliography"/>
      </w:pPr>
      <w:r>
        <w:t>GitHub and OpenAI: GitHub Copilot, 2025.</w:t>
      </w:r>
    </w:p>
    <w:p w14:paraId="58842D8D" w14:textId="77777777" w:rsidR="000E7353" w:rsidRDefault="000E7353" w:rsidP="000E7353">
      <w:pPr>
        <w:pStyle w:val="Bibliography"/>
      </w:pPr>
      <w:r>
        <w:t>Gonfiantini, R., Stichler, W., and Rozanski, K.: Standards and intercomparison materials distributed by the International Atomic Energy Agency for stable isotope measurements, 1995.</w:t>
      </w:r>
    </w:p>
    <w:p w14:paraId="61D462BF" w14:textId="77777777" w:rsidR="000E7353" w:rsidRDefault="000E7353" w:rsidP="000E7353">
      <w:pPr>
        <w:pStyle w:val="Bibliography"/>
      </w:pPr>
      <w:r>
        <w:t>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Temperature During the Early Eocene, Paleoceanography and Paleoclimatology, 38, e2022PA004532, https://doi.org/10.1029/2022PA004532, 2023.</w:t>
      </w:r>
    </w:p>
    <w:p w14:paraId="2BDD2223" w14:textId="77777777" w:rsidR="000E7353" w:rsidRDefault="000E7353" w:rsidP="000E7353">
      <w:pPr>
        <w:pStyle w:val="Bibliography"/>
      </w:pPr>
      <w:r>
        <w:t xml:space="preserve">Graniero, L. E., Grossman, E. L., Robbins, J., Morales, J., Thompson, R., and O’Dea, A.: </w:t>
      </w:r>
      <w:r>
        <w:rPr>
          <w:i/>
          <w:iCs/>
        </w:rPr>
        <w:t>Conus</w:t>
      </w:r>
      <w:r>
        <w:t xml:space="preserve"> Shell δ13C values as proxies for δ13CDIC in tropical waters, Palaeogeography, Palaeoclimatology, Palaeoecology, 472, 119–127, https://doi.org/10.1016/j.palaeo.2017.02.007, 2017.</w:t>
      </w:r>
    </w:p>
    <w:p w14:paraId="5D737001" w14:textId="77777777" w:rsidR="000E7353" w:rsidRDefault="000E7353" w:rsidP="000E7353">
      <w:pPr>
        <w:pStyle w:val="Bibliography"/>
      </w:pPr>
      <w:r>
        <w:t>Grossman, E. L. and Ku, T.-L.: Oxygen and carbon isotope fractionation in biogenic aragonite: temperature effects, Chemical Geology: Isotope Geoscience section, 59, 59–74, 1986.</w:t>
      </w:r>
    </w:p>
    <w:p w14:paraId="309CC7A8" w14:textId="77777777" w:rsidR="000E7353" w:rsidRDefault="000E7353" w:rsidP="000E7353">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09A44416" w14:textId="77777777" w:rsidR="000E7353" w:rsidRDefault="000E7353" w:rsidP="000E7353">
      <w:pPr>
        <w:pStyle w:val="Bibliography"/>
      </w:pPr>
      <w:r>
        <w:t>Hao, S., Zhang, X., Duan, Y., Gowan, E. J., Zhu, J., Cauquoin, A., Chen, J., Werner, M., and Chen, F.: Model seasonal and proxy spatial biases revealed by assimilated mid-Holocene seasonal temperatures, Science Bulletin, 70, 2014–2022, https://doi.org/10.1016/j.scib.2025.03.039, 2025.</w:t>
      </w:r>
    </w:p>
    <w:p w14:paraId="7DD4C17A" w14:textId="77777777" w:rsidR="000E7353" w:rsidRDefault="000E7353" w:rsidP="000E7353">
      <w:pPr>
        <w:pStyle w:val="Bibliography"/>
      </w:pPr>
      <w:r>
        <w:t>Harwood, A. J. P., Dennis, P. F., Marca, A. D., Pilling, G. M., and Millner, R. S.: The oxygen isotope composition of water masses within the North Sea, Estuarine, Coastal and Shelf Science, 78, 353–359, https://doi.org/10.1016/j.ecss.2007.12.010, 2008.</w:t>
      </w:r>
    </w:p>
    <w:p w14:paraId="660F5C14" w14:textId="77777777" w:rsidR="000E7353" w:rsidRDefault="000E7353" w:rsidP="000E7353">
      <w:pPr>
        <w:pStyle w:val="Bibliography"/>
      </w:pPr>
      <w:r>
        <w:lastRenderedPageBreak/>
        <w:t>Haywood, A. M., Dowsett, H. J., Dolan, A. M., Rowley, D., Abe-Ouchi, A., Otto-Bliesner, B., Chandler, M. A., Hunter, S. J., Lunt, D. J., Pound, M., and Salzmann, U.: The Pliocene Model Intercomparison Project (PlioMIP) Phase 2: scientific objectives and experimental design, Climate of the Past, 12, 663–675, https://doi.org/10.5194/cp-12-663-2016, 2016.</w:t>
      </w:r>
    </w:p>
    <w:p w14:paraId="764C67B8" w14:textId="77777777" w:rsidR="000E7353" w:rsidRDefault="000E7353" w:rsidP="000E7353">
      <w:pPr>
        <w:pStyle w:val="Bibliography"/>
      </w:pPr>
      <w:r>
        <w:t>He, T., Kemp, D. B., Li, J., and Ruhl, M.: Paleoenvironmental changes across the Mesozoic–Paleogene hyperthermal events, Global and Planetary Change, 222, 104058, https://doi.org/10.1016/j.gloplacha.2023.104058, 2023.</w:t>
      </w:r>
    </w:p>
    <w:p w14:paraId="6C33F2BB" w14:textId="77777777" w:rsidR="000E7353" w:rsidRDefault="000E7353" w:rsidP="000E7353">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1FF3D790" w14:textId="77777777" w:rsidR="000E7353" w:rsidRDefault="000E7353" w:rsidP="000E7353">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68A16AE1" w14:textId="77777777" w:rsidR="000E7353" w:rsidRDefault="000E7353" w:rsidP="000E7353">
      <w:pPr>
        <w:pStyle w:val="Bibliography"/>
      </w:pPr>
      <w:r>
        <w:t>van Hinsbergen, D. J., de Groot, L. V., van Schaik, S. J., Spakman, W., Bijl, P. K., Sluijs, A., Langereis, C. G., and Brinkhuis, H.: A paleolatitude calculator for paleoclimate studies, PloS one, 10, e0126946, 2015.</w:t>
      </w:r>
    </w:p>
    <w:p w14:paraId="138E2317" w14:textId="77777777" w:rsidR="000E7353" w:rsidRDefault="000E7353" w:rsidP="000E7353">
      <w:pPr>
        <w:pStyle w:val="Bibliography"/>
      </w:pPr>
      <w:r>
        <w:t>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E., Matthews, J. B. R., Maycock, T. K., Waterfield, T., Yelekçi, Ö., Yu, R., and Zhou, B., Cambridge University Press, 2021.</w:t>
      </w:r>
    </w:p>
    <w:p w14:paraId="4EE4EBAB" w14:textId="77777777" w:rsidR="000E7353" w:rsidRDefault="000E7353" w:rsidP="000E7353">
      <w:pPr>
        <w:pStyle w:val="Bibliography"/>
      </w:pPr>
      <w:r>
        <w:t>Iturbide, M., Fernández, J., Gutiérrez, J. M., Pirani, A., Huard, D., Al Khourdajie, A., Baño-Medina, J., Bedia, J., Casanueva, A., Cimadevilla, E., Cofiño, A. S., De Felice, M., Diez-Sierra, J., García-Díez, M., Goldie, J., Herrera, D. A., Herrera, S., Manzanas, R., Milovac, J., Radhakrishnan, A., San-Martín, D., Spinuso, A., Thyng, K. M., Trenham, C., and Yelekçi, Ö.: Implementation of FAIR principles in the IPCC: the WGI AR6 Atlas repository, Sci Data, 9, 629, https://doi.org/10.1038/s41597-022-01739-y, 2022.</w:t>
      </w:r>
    </w:p>
    <w:p w14:paraId="3F31CF72" w14:textId="77777777" w:rsidR="000E7353" w:rsidRDefault="000E7353" w:rsidP="000E7353">
      <w:pPr>
        <w:pStyle w:val="Bibliography"/>
      </w:pPr>
      <w:r>
        <w:t>Ivany, L. C.: Reconstructing paleoseasonality from accretionary skeletal carbonates—challenges and opportunities, The Paleontological Society Papers, 18, 133–166, 2012.</w:t>
      </w:r>
    </w:p>
    <w:p w14:paraId="74F01776" w14:textId="77777777" w:rsidR="000E7353" w:rsidRDefault="000E7353" w:rsidP="000E7353">
      <w:pPr>
        <w:pStyle w:val="Bibliography"/>
      </w:pPr>
      <w:r>
        <w:t>Ivany, L. C. and Judd, E. J.: Deciphering Temperature Seasonality in Earth’s Ancient Oceans, Annual Review of Earth and Planetary Sciences, 50, 123–152, https://doi.org/10.1146/annurev-earth-032320-095156, 2022.</w:t>
      </w:r>
    </w:p>
    <w:p w14:paraId="39C0FBE9" w14:textId="77777777" w:rsidR="000E7353" w:rsidRDefault="000E7353" w:rsidP="000E7353">
      <w:pPr>
        <w:pStyle w:val="Bibliography"/>
      </w:pPr>
      <w:r>
        <w:t>Ivany, L. C. and Runnegar, B.: Early Permian seasonality from bivalve δ18O and implications for the oxygen isotopic composition of seawater, Geology, 38, 1027–1030, 2010.</w:t>
      </w:r>
    </w:p>
    <w:p w14:paraId="3B8CDECE" w14:textId="77777777" w:rsidR="000E7353" w:rsidRDefault="000E7353" w:rsidP="000E7353">
      <w:pPr>
        <w:pStyle w:val="Bibliography"/>
      </w:pPr>
      <w:r>
        <w:lastRenderedPageBreak/>
        <w:t>Judd, E. J., Bhattacharya, T., and Ivany, L. C.: A Dynamical Framework for Interpreting Ancient Sea Surface Temperatures, Geophysical Research Letters, 47, e2020GL089044, https://doi.org/10.1029/2020GL089044, 2020.</w:t>
      </w:r>
    </w:p>
    <w:p w14:paraId="264C516A" w14:textId="77777777" w:rsidR="000E7353" w:rsidRDefault="000E7353" w:rsidP="000E7353">
      <w:pPr>
        <w:pStyle w:val="Bibliography"/>
      </w:pPr>
      <w:r>
        <w:t>Judd, E. J., Tierney, J. E., Lunt, D. J., Montañez, I. P., Huber, B. T., Wing, S. L., and Valdes, P. J.: A 485-million-year history of Earth’s surface temperature, Science, 385, eadk3705, https://doi.org/10.1126/science.adk3705, 2024.</w:t>
      </w:r>
    </w:p>
    <w:p w14:paraId="58DC1B69" w14:textId="77777777" w:rsidR="000E7353" w:rsidRDefault="000E7353" w:rsidP="000E7353">
      <w:pPr>
        <w:pStyle w:val="Bibliography"/>
      </w:pPr>
      <w:r>
        <w:t>Kalman, R. E.: A New Approach to Linear Filtering and Prediction Problems, J. Basic Eng, 82, 35–45, https://doi.org/10.1115/1.3662552, 1960.</w:t>
      </w:r>
    </w:p>
    <w:p w14:paraId="0F146510" w14:textId="77777777" w:rsidR="000E7353" w:rsidRDefault="000E7353" w:rsidP="000E7353">
      <w:pPr>
        <w:pStyle w:val="Bibliography"/>
      </w:pPr>
      <w:r>
        <w:t>Kim, S.-T., O’Neil, J. R., Hillaire-Marcel, C., and Mucci, A.: Oxygen isotope fractionation between synthetic aragonite and water: Influence of temperature and Mg2+ concentration, Geochimica et Cosmochimica Acta, 71, 4704–4715, https://doi.org/10.1016/j.gca.2007.04.019, 2007.</w:t>
      </w:r>
    </w:p>
    <w:p w14:paraId="1C75C918" w14:textId="77777777" w:rsidR="000E7353" w:rsidRDefault="000E7353" w:rsidP="000E7353">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6DB04C9F" w14:textId="77777777" w:rsidR="000E7353" w:rsidRDefault="000E7353" w:rsidP="000E7353">
      <w:pPr>
        <w:pStyle w:val="Bibliography"/>
      </w:pPr>
      <w:r>
        <w:t>Kluyver, T., Ragan-Kelley, B., P&amp;#233, Rez, F., Granger, B., Bussonnier, M., Frederic, J., Kelley, K., Hamrick, J., Grout, J., Corlay, S., Ivanov, P., Avila, D., n, Abdalla, S., Willing, C., and Team, J. D.: Jupyter Notebooks – a publishing format for reproducible computational workflows, in: Positioning and Power in Academic Publishing: Players, Agents and Agendas, IOS Press, 87–90, https://doi.org/10.3233/978-1-61499-649-1-87, 2016.</w:t>
      </w:r>
    </w:p>
    <w:p w14:paraId="1F7864BA" w14:textId="77777777" w:rsidR="000E7353" w:rsidRDefault="000E7353" w:rsidP="000E7353">
      <w:pPr>
        <w:pStyle w:val="Bibliography"/>
      </w:pPr>
      <w:r>
        <w:t>Lazareth, C. E., Willenz, P., Navez, J., Keppens, E., Dehairs, F., and André, L.: Sclerosponges as a new potential recorder of environmental changes: Lead in Ceratoporella nicholsoni, Geology, 28, 515–518, 2000.</w:t>
      </w:r>
    </w:p>
    <w:p w14:paraId="68BCFBE0" w14:textId="77777777" w:rsidR="000E7353" w:rsidRDefault="000E7353" w:rsidP="000E7353">
      <w:pPr>
        <w:pStyle w:val="Bibliography"/>
      </w:pPr>
      <w:r>
        <w:t>Lécuyer, C., Hutzler, A., Amiot, R., Daux, V., Grosheny, D., Otero, O., Martineau, F., Fourel, F., Balter, V., and Reynard, B.: Carbon and oxygen isotope fractionations between aragonite and calcite of shells from modern molluscs, Chemical Geology, 332–333, 92–101, https://doi.org/10.1016/j.chemgeo.2012.08.034, 2012.</w:t>
      </w:r>
    </w:p>
    <w:p w14:paraId="3517A514" w14:textId="77777777" w:rsidR="000E7353" w:rsidRDefault="000E7353" w:rsidP="000E7353">
      <w:pPr>
        <w:pStyle w:val="Bibliography"/>
      </w:pPr>
      <w:r>
        <w:t>LeGrande, A. N. and Schmidt, G. A.: Global gridded data set of the oxygen isotopic composition in seawater, Geophysical research letters, 33, 2006.</w:t>
      </w:r>
    </w:p>
    <w:p w14:paraId="6724CEE6" w14:textId="77777777" w:rsidR="000E7353" w:rsidRDefault="000E7353" w:rsidP="000E7353">
      <w:pPr>
        <w:pStyle w:val="Bibliography"/>
      </w:pPr>
      <w:r>
        <w:t>Liu, Z., Zhu, J., Rosenthal, Y., Zhang, X., Otto-Bliesner, B. L., Timmermann, A., Smith, R. S., Lohmann, G., Zheng, W., and Elison Timm, O.: The Holocene temperature conundrum, Proceedings of the National Academy of Sciences, 111, E3501–E3505, https://doi.org/10.1073/pnas.1407229111, 2014.</w:t>
      </w:r>
    </w:p>
    <w:p w14:paraId="0A223735" w14:textId="77777777" w:rsidR="000E7353" w:rsidRDefault="000E7353" w:rsidP="000E7353">
      <w:pPr>
        <w:pStyle w:val="Bibliography"/>
      </w:pPr>
      <w:r>
        <w:t xml:space="preserve">Locarnini, R. A., Mishonov, A. V., Antonov, J. I., Boyer, T. P., Garcia, H. E., Baranova, O. K., Zweng, M. M., Paver, C. R., Reagan, J. R., Johnson, D. R., Hamilton, M., and Seidov, D.: World ocean atlas 2013. Volume 1, Temperature, U.S. Department of Commerce, </w:t>
      </w:r>
      <w:r>
        <w:lastRenderedPageBreak/>
        <w:t>National Oceanic and Atmospheric Administration, National Environmental Satellite, Data and Information Service, https://doi.org/10.7289/v55x26vd, 2013.</w:t>
      </w:r>
    </w:p>
    <w:p w14:paraId="5DACA413" w14:textId="77777777" w:rsidR="000E7353" w:rsidRDefault="000E7353" w:rsidP="000E7353">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431F531B" w14:textId="77777777" w:rsidR="000E7353" w:rsidRDefault="000E7353" w:rsidP="000E7353">
      <w:pPr>
        <w:pStyle w:val="Bibliography"/>
      </w:pPr>
      <w:r>
        <w:t>Mann, M. E., Rutherford, S., Wahl, E., and Ammann, C.: Robustness of proxy-based climate field reconstruction methods, Journal of Geophysical Research: Atmospheres, 112, https://doi.org/10.1029/2006JD008272, 2007.</w:t>
      </w:r>
    </w:p>
    <w:p w14:paraId="23C4035C" w14:textId="77777777" w:rsidR="000E7353" w:rsidRDefault="000E7353" w:rsidP="000E7353">
      <w:pPr>
        <w:pStyle w:val="Bibliography"/>
      </w:pPr>
      <w:r>
        <w:t>McCulloch, M. T., Winter, A., Sherman, C. E., and Trotter, J. A.: 300 years of sclerosponge thermometry shows global warming has exceeded 1.5 °C, Nat. Clim. Chang., 14, 171–177, https://doi.org/10.1038/s41558-023-01919-7, 2024.</w:t>
      </w:r>
    </w:p>
    <w:p w14:paraId="31C19E04" w14:textId="77777777" w:rsidR="000E7353" w:rsidRDefault="000E7353" w:rsidP="000E7353">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6BD7BEC4" w14:textId="77777777" w:rsidR="000E7353" w:rsidRDefault="000E7353" w:rsidP="000E7353">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4EBE51B3" w14:textId="77777777" w:rsidR="000E7353" w:rsidRDefault="000E7353" w:rsidP="000E7353">
      <w:pPr>
        <w:pStyle w:val="Bibliography"/>
      </w:pPr>
      <w:r>
        <w:t>Mii, H.-S. and Grossman, E. L.: Late Pennsylvanian seasonality reflected in the 18O and elemental composition of a brachiopod shell, Geology, 22, 661–664, https://doi.org/10.1130/0091-7613(1994)022%253C0661:LPSRIT%253E2.3.CO;2, 1994.</w:t>
      </w:r>
    </w:p>
    <w:p w14:paraId="76511A76" w14:textId="77777777" w:rsidR="000E7353" w:rsidRDefault="000E7353" w:rsidP="000E7353">
      <w:pPr>
        <w:pStyle w:val="Bibliography"/>
      </w:pPr>
      <w:r>
        <w:t>Okazaki, A. and Yoshimura, K.: Development and evaluation of a system of proxy data assimilation for paleoclimate reconstruction, Climate of the Past, 13, 379–393, https://doi.org/10.5194/cp-13-379-2017, 2017.</w:t>
      </w:r>
    </w:p>
    <w:p w14:paraId="20712A4A" w14:textId="77777777" w:rsidR="000E7353" w:rsidRDefault="000E7353" w:rsidP="000E7353">
      <w:pPr>
        <w:pStyle w:val="Bibliography"/>
      </w:pPr>
      <w:r>
        <w:t>Osman, M. B., Tierney, J. E., Zhu, J., Tardif, R., Hakim, G. J., King, J., and Poulsen, C. J.: Globally resolved surface temperatures since the Last Glacial Maximum, Nature, 599, 239–244, https://doi.org/10.1038/s41586-021-03984-4, 2021.</w:t>
      </w:r>
    </w:p>
    <w:p w14:paraId="30701174" w14:textId="77777777" w:rsidR="000E7353" w:rsidRDefault="000E7353" w:rsidP="000E7353">
      <w:pPr>
        <w:pStyle w:val="Bibliography"/>
      </w:pPr>
      <w:r>
        <w:t xml:space="preserve">Petersen, S. V., Defliese, W. F., Saenger, C., Daëron, M., Huntington, K. W., John, C. M., Kelson, J. R., Bernasconi, S. M., Colman, A. S., Kluge, T., Olack, G. A., Schauer, A. J., Bajnai, D., Bonifacie, M., Breitenbach, S. F. M., Fiebig, J., Fernandez, A. B., Henkes, G. A., Hodell, D., Katz, A., Kele, S., Lohmann, K. C., Passey, B. H., Peral, M. Y., Petrizzo, D. A., Rosenheim, B. E., Tripati, A., Venturelli, R., Young, E. D., and Winkelstern, I. Z.: Effects of Improved 17O Correction on Interlaboratory Agreement in Clumped Isotope Calibrations, Estimates of Mineral-Specific Offsets, and Temperature Dependence of </w:t>
      </w:r>
      <w:r>
        <w:lastRenderedPageBreak/>
        <w:t>Acid Digestion Fractionation, Geochemistry, Geophysics, Geosystems, 20, 3495–3519, https://doi.org/10.1029/2018GC008127, 2019.</w:t>
      </w:r>
    </w:p>
    <w:p w14:paraId="565A6E4C" w14:textId="77777777" w:rsidR="000E7353" w:rsidRDefault="000E7353" w:rsidP="000E7353">
      <w:pPr>
        <w:pStyle w:val="Bibliography"/>
      </w:pPr>
      <w:r>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66464DAC" w14:textId="77777777" w:rsidR="000E7353" w:rsidRDefault="000E7353" w:rsidP="000E7353">
      <w:pPr>
        <w:pStyle w:val="Bibliography"/>
      </w:pPr>
      <w:r>
        <w:t>Python Software Foundation: Python Language, 2025.</w:t>
      </w:r>
    </w:p>
    <w:p w14:paraId="321EA730" w14:textId="77777777" w:rsidR="000E7353" w:rsidRDefault="000E7353" w:rsidP="000E7353">
      <w:pPr>
        <w:pStyle w:val="Bibliography"/>
      </w:pPr>
      <w:r>
        <w:t>Railsback, L. B., Anderson, T. F., Ackerly, S. C., and Cisne, J. L.: Paleoceanographic modeling of temperature-salinity profiles from stable isotopic data, Paleoceanography, 4, 585–591, https://doi.org/10.1029/PA004i005p00585, 1989.</w:t>
      </w:r>
    </w:p>
    <w:p w14:paraId="5D009EE6" w14:textId="77777777" w:rsidR="000E7353" w:rsidRDefault="000E7353" w:rsidP="000E7353">
      <w:pPr>
        <w:pStyle w:val="Bibliography"/>
      </w:pPr>
      <w:r>
        <w:t>Reagan, J. R., Seidov, D., Wang, Z., Dukhovskoy, D., Boyer, T. P., Locarnini, R. A., Baranova, O. K., Mishonov, A. V., Garcia, H. E., and Bouchard, C.: World ocean atlas 2023, volume 2: salinity, 2024.</w:t>
      </w:r>
    </w:p>
    <w:p w14:paraId="7BDCBBD0" w14:textId="77777777" w:rsidR="000E7353" w:rsidRDefault="000E7353" w:rsidP="000E7353">
      <w:pPr>
        <w:pStyle w:val="Bibliography"/>
      </w:pPr>
      <w:r>
        <w:t>Sharp, Z. D. and Cerling, T. E.: Fossil isotope records of seasonal climate and ecology: straight from the horse’s mouth, Geology, 26, 219–222, 1998.</w:t>
      </w:r>
    </w:p>
    <w:p w14:paraId="5E1E07BB" w14:textId="77777777" w:rsidR="000E7353" w:rsidRDefault="000E7353" w:rsidP="000E7353">
      <w:pPr>
        <w:pStyle w:val="Bibliography"/>
      </w:pPr>
      <w:r>
        <w:t>Shi, X., Werner, M., Krug, C., Brierley, C. M., Zhao, A., Igbinosa, E., Braconnot, P., Brady, E., Cao, J., D’Agostino, R., Jungclaus, J., Liu, X., Otto-Bliesner, B., Sidorenko, D., Tomas, R., Volodin, E. M., Yang, H., Zhang, Q., Zheng, W., and Lohmann, G.: Calendar effects on surface air temperature and precipitation based on model-ensemble equilibrium and transient simulations from PMIP4 and PACMEDY, Climate of the Past, 18, 1047–1070, https://doi.org/10.5194/cp-18-1047-2022, 2022.</w:t>
      </w:r>
    </w:p>
    <w:p w14:paraId="411B83CD" w14:textId="77777777" w:rsidR="000E7353" w:rsidRDefault="000E7353" w:rsidP="000E7353">
      <w:pPr>
        <w:pStyle w:val="Bibliography"/>
      </w:pPr>
      <w:r>
        <w:t>Smithsonian Tropical Research Institute: SST Monitoring - Physical Monitoring | Smithsonian Tropical Research Institute, 2025.</w:t>
      </w:r>
    </w:p>
    <w:p w14:paraId="579C1468" w14:textId="77777777" w:rsidR="000E7353" w:rsidRDefault="000E7353" w:rsidP="000E7353">
      <w:pPr>
        <w:pStyle w:val="Bibliography"/>
      </w:pPr>
      <w:r>
        <w:t>Steiger, N. J., Hakim, G. J., Steig, E. J., Battisti, D. S., and Roe, G. H.: Assimilation of Time-Averaged Pseudoproxies for Climate Reconstruction, Journal of Climate, 27, 426–441, https://doi.org/10.1175/JCLI-D-12-00693.1, 2014.</w:t>
      </w:r>
    </w:p>
    <w:p w14:paraId="19C7B7D2" w14:textId="77777777" w:rsidR="000E7353" w:rsidRDefault="000E7353" w:rsidP="000E7353">
      <w:pPr>
        <w:pStyle w:val="Bibliography"/>
      </w:pPr>
      <w:r>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1DE3A532" w14:textId="77777777" w:rsidR="000E7353" w:rsidRDefault="000E7353" w:rsidP="000E7353">
      <w:pPr>
        <w:pStyle w:val="Bibliography"/>
      </w:pPr>
      <w:r>
        <w:t>Tierney, J. E., Judd, E. J., Osman, M. B., King, J. M., Truax, O. J., Steiger, N. J., Amrhein, D. E., and Anchukaitis, K. J.: Advances in Paleoclimate Data Assimilation, Annual Review of Earth and Planetary Sciences, 53, 625–650, https://doi.org/10.1146/annurev-earth-032320-064209, 2025.</w:t>
      </w:r>
    </w:p>
    <w:p w14:paraId="41452197" w14:textId="77777777" w:rsidR="000E7353" w:rsidRDefault="000E7353" w:rsidP="000E7353">
      <w:pPr>
        <w:pStyle w:val="Bibliography"/>
      </w:pPr>
      <w:r>
        <w:lastRenderedPageBreak/>
        <w:t>Van Horebeek, N., de Winter, N. J., Baatsen, M., Ziegler, M., Speijer, R. P., and Vellekoop, J.: A European monsoon-like climate in a warmhouse world, Nat Commun, 16, 9207, https://doi.org/10.1038/s41467-025-64241-0, 2025.</w:t>
      </w:r>
    </w:p>
    <w:p w14:paraId="14268110" w14:textId="77777777" w:rsidR="000E7353" w:rsidRDefault="000E7353" w:rsidP="000E7353">
      <w:pPr>
        <w:pStyle w:val="Bibliography"/>
      </w:pPr>
      <w:r>
        <w:t>Van Rampelbergh, M., Verheyden, S., Allan, M., Quinif, Y., Cheng, H., Edwards, L., Keppens, E., and Claeys, P.: A 500 year seasonally resolved 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2432092C" w14:textId="77777777" w:rsidR="000E7353" w:rsidRDefault="000E7353" w:rsidP="000E7353">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2E96A5F7" w14:textId="77777777" w:rsidR="000E7353" w:rsidRDefault="000E7353" w:rsidP="000E7353">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6469CB6C" w14:textId="77777777" w:rsidR="000E7353" w:rsidRDefault="000E7353" w:rsidP="000E7353">
      <w:pPr>
        <w:pStyle w:val="Bibliography"/>
      </w:pPr>
      <w:r>
        <w:t>Watanabe, T., Winter, A., and Oba, T.: Seasonal changes in sea surface temperature and salinity during the Little Ice Age in the Caribbean Sea deduced from Mg/Ca and 18O/16O ratios in corals, Marine Geology, 173, 21–35, 2001.</w:t>
      </w:r>
    </w:p>
    <w:p w14:paraId="49ADCE24" w14:textId="77777777" w:rsidR="000E7353" w:rsidRDefault="000E7353" w:rsidP="000E7353">
      <w:pPr>
        <w:pStyle w:val="Bibliography"/>
      </w:pPr>
      <w:r>
        <w:t>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dated record of Earth’s climate and its predictability over the last 66 million years, Science, 369, 1383–1387, https://doi.org/10.1126/science.aba6853, 2020.</w:t>
      </w:r>
    </w:p>
    <w:p w14:paraId="2BCA281A" w14:textId="77777777" w:rsidR="000E7353" w:rsidRDefault="000E7353" w:rsidP="000E7353">
      <w:pPr>
        <w:pStyle w:val="Bibliography"/>
      </w:pPr>
      <w:r>
        <w:t>de Winter, N. J.: ShellChron 0.4.0: a new tool for constructing chronologies in accretionary carbonate archives from stable oxygen isotope profiles, Geoscientific Model Development, 15, 1247–1267, https://doi.org/10.5194/gmd-15-1247-2022, 2022.</w:t>
      </w:r>
    </w:p>
    <w:p w14:paraId="05712BF0" w14:textId="77777777" w:rsidR="000E7353" w:rsidRDefault="000E7353" w:rsidP="000E7353">
      <w:pPr>
        <w:pStyle w:val="Bibliography"/>
      </w:pPr>
      <w:r>
        <w:t>de Winter, N. J.: nielsjdewinter/SeasonalDA_script, 2025.</w:t>
      </w:r>
    </w:p>
    <w:p w14:paraId="61AF5C65" w14:textId="77777777" w:rsidR="000E7353" w:rsidRDefault="000E7353" w:rsidP="000E7353">
      <w:pPr>
        <w:pStyle w:val="Bibliography"/>
      </w:pPr>
      <w:r>
        <w:t>de Winter, N. J., Goderis, S., Dehairs, F., Jagt, J. W. M., Fraaije, R. H. B., Van Malderen,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1F78701A" w14:textId="77777777" w:rsidR="000E7353" w:rsidRDefault="000E7353" w:rsidP="000E7353">
      <w:pPr>
        <w:pStyle w:val="Bibliography"/>
      </w:pPr>
      <w:r>
        <w:t xml:space="preserve">de Winter, N. J., Goderis, S., Malderen, S. J. M. V., Sinnesael, M., Vansteenberge, S., Snoeck, C., Belza, J., Vanhaecke, F., and Claeys, P.: Subdaily-Scale Chemical Variability </w:t>
      </w:r>
      <w:r>
        <w:lastRenderedPageBreak/>
        <w:t>in a Torreites Sanchezi Rudist Shell: Implications for Rudist Paleobiology and the Cretaceous Day-Night Cycle, Paleoceanography and Paleoclimatology, 35, e2019PA003723, https://doi.org/10.1029/2019PA003723, 2020a.</w:t>
      </w:r>
    </w:p>
    <w:p w14:paraId="6A714E04" w14:textId="77777777" w:rsidR="000E7353" w:rsidRDefault="000E7353" w:rsidP="000E7353">
      <w:pPr>
        <w:pStyle w:val="Bibliography"/>
      </w:pPr>
      <w:r>
        <w:t>de Winter, N. J., Vellekoop, J., Clark, A. J., Stassen, P., Speijer, R. P., and Claeys, P.: The giant marine gastropod Campanile giganteum (Lamarck, 1804) as a high-resolution archive of seasonality in the Eocene greenhouse world, Geochemistry, Geophysics, Geosystems, 21, e2019GC008794, https://doi.org/10.1029/2019GC008794, 2020b.</w:t>
      </w:r>
    </w:p>
    <w:p w14:paraId="17CACE9D" w14:textId="77777777" w:rsidR="000E7353" w:rsidRDefault="000E7353" w:rsidP="000E7353">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5A652ABC" w14:textId="77777777" w:rsidR="000E7353" w:rsidRDefault="000E7353" w:rsidP="000E7353">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762555FF" w14:textId="77777777" w:rsidR="000E7353" w:rsidRDefault="000E7353" w:rsidP="000E7353">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4044D1AB"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ter, N.J. de (Niels)" w:date="2025-11-25T10:06:00Z" w:initials="NW">
    <w:p w14:paraId="6656059E" w14:textId="77777777" w:rsidR="001C3757" w:rsidRDefault="001C3757" w:rsidP="001C3757">
      <w:pPr>
        <w:pStyle w:val="CommentText"/>
      </w:pPr>
      <w:r>
        <w:rPr>
          <w:rStyle w:val="CommentReference"/>
        </w:rPr>
        <w:annotationRef/>
      </w:r>
      <w:r>
        <w:t>Excel file containing pre-processing of age models for Caldarescu data</w:t>
      </w:r>
    </w:p>
  </w:comment>
  <w:comment w:id="1" w:author="Winter, N.J. de (Niels)" w:date="2025-11-28T09:09:00Z" w:initials="NW">
    <w:p w14:paraId="0AC1AF12" w14:textId="77777777" w:rsidR="0006186A" w:rsidRDefault="0006186A" w:rsidP="0006186A">
      <w:pPr>
        <w:pStyle w:val="CommentText"/>
      </w:pPr>
      <w:r>
        <w:rPr>
          <w:rStyle w:val="CommentReference"/>
        </w:rPr>
        <w:annotationRef/>
      </w:r>
      <w:r>
        <w:t>Captions of F1-4 to be written out later.</w:t>
      </w:r>
    </w:p>
    <w:p w14:paraId="4365F532" w14:textId="77777777" w:rsidR="0006186A" w:rsidRDefault="0006186A" w:rsidP="0006186A">
      <w:pPr>
        <w:pStyle w:val="CommentText"/>
      </w:pPr>
    </w:p>
    <w:p w14:paraId="7360E499" w14:textId="77777777" w:rsidR="0006186A" w:rsidRDefault="0006186A" w:rsidP="0006186A">
      <w:pPr>
        <w:pStyle w:val="CommentText"/>
      </w:pPr>
      <w:r>
        <w:t>Figures 1-4 can probably be combined into one “prior + likelihood figure” if I reorganize the panels vertically and equalize the vertical axes between case studies (arranged horizontally). On the to do-list!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6059E" w15:done="0"/>
  <w15:commentEx w15:paraId="7360E4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CECED" w16cex:dateUtc="2025-11-25T09:06:00Z"/>
  <w16cex:commentExtensible w16cex:durableId="1F1ADC9C" w16cex:dateUtc="2025-11-28T08: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6059E" w16cid:durableId="60ACECED"/>
  <w16cid:commentId w16cid:paraId="7360E499" w16cid:durableId="1F1ADC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B69F8"/>
    <w:multiLevelType w:val="hybridMultilevel"/>
    <w:tmpl w:val="BD6A39C6"/>
    <w:lvl w:ilvl="0" w:tplc="633454E2">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2"/>
  </w:num>
  <w:num w:numId="2" w16cid:durableId="773672122">
    <w:abstractNumId w:val="1"/>
  </w:num>
  <w:num w:numId="3" w16cid:durableId="16724881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N.J. de (Niels)">
    <w15:presenceInfo w15:providerId="AD" w15:userId="S::n.j.de.winter@vu.nl::e6504d91-0c90-4d44-8513-5500cefb27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revisionView w:formatting="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170CD"/>
    <w:rsid w:val="000320AA"/>
    <w:rsid w:val="0006186A"/>
    <w:rsid w:val="00062C73"/>
    <w:rsid w:val="000776D2"/>
    <w:rsid w:val="00085AC6"/>
    <w:rsid w:val="00091716"/>
    <w:rsid w:val="00093AC9"/>
    <w:rsid w:val="000D1EFE"/>
    <w:rsid w:val="000E5CF5"/>
    <w:rsid w:val="000E7353"/>
    <w:rsid w:val="00107CB6"/>
    <w:rsid w:val="0013639F"/>
    <w:rsid w:val="00136807"/>
    <w:rsid w:val="00156B07"/>
    <w:rsid w:val="0018512C"/>
    <w:rsid w:val="00185E85"/>
    <w:rsid w:val="001966CD"/>
    <w:rsid w:val="001A570A"/>
    <w:rsid w:val="001A621E"/>
    <w:rsid w:val="001B6F7E"/>
    <w:rsid w:val="001C0AB9"/>
    <w:rsid w:val="001C3757"/>
    <w:rsid w:val="001E293D"/>
    <w:rsid w:val="001E50D0"/>
    <w:rsid w:val="001E5F2C"/>
    <w:rsid w:val="001F00C1"/>
    <w:rsid w:val="002000F4"/>
    <w:rsid w:val="00203C6E"/>
    <w:rsid w:val="00236A83"/>
    <w:rsid w:val="00256EAA"/>
    <w:rsid w:val="00261B2C"/>
    <w:rsid w:val="00273730"/>
    <w:rsid w:val="002A7F75"/>
    <w:rsid w:val="002B4754"/>
    <w:rsid w:val="002B6CF9"/>
    <w:rsid w:val="002E575F"/>
    <w:rsid w:val="002F3751"/>
    <w:rsid w:val="0030398C"/>
    <w:rsid w:val="00305A10"/>
    <w:rsid w:val="003266CB"/>
    <w:rsid w:val="003334B1"/>
    <w:rsid w:val="003613F6"/>
    <w:rsid w:val="0036247F"/>
    <w:rsid w:val="00363145"/>
    <w:rsid w:val="003856EB"/>
    <w:rsid w:val="003A25DA"/>
    <w:rsid w:val="003D0BEF"/>
    <w:rsid w:val="003D191A"/>
    <w:rsid w:val="003E7FF0"/>
    <w:rsid w:val="003F32EB"/>
    <w:rsid w:val="003F4DA4"/>
    <w:rsid w:val="004019EA"/>
    <w:rsid w:val="00402433"/>
    <w:rsid w:val="0040490B"/>
    <w:rsid w:val="00421AD2"/>
    <w:rsid w:val="00425D2F"/>
    <w:rsid w:val="0046364C"/>
    <w:rsid w:val="00471C8D"/>
    <w:rsid w:val="0047651E"/>
    <w:rsid w:val="00495FA3"/>
    <w:rsid w:val="004A6FEB"/>
    <w:rsid w:val="004F30F0"/>
    <w:rsid w:val="00505760"/>
    <w:rsid w:val="00540DB4"/>
    <w:rsid w:val="005936F0"/>
    <w:rsid w:val="005A4B7C"/>
    <w:rsid w:val="005A4F83"/>
    <w:rsid w:val="005B62E7"/>
    <w:rsid w:val="00625895"/>
    <w:rsid w:val="006630F6"/>
    <w:rsid w:val="00681201"/>
    <w:rsid w:val="006C1CEB"/>
    <w:rsid w:val="006E638A"/>
    <w:rsid w:val="00706A20"/>
    <w:rsid w:val="00735D38"/>
    <w:rsid w:val="0074454F"/>
    <w:rsid w:val="0074699D"/>
    <w:rsid w:val="00752D0A"/>
    <w:rsid w:val="007A06F2"/>
    <w:rsid w:val="007B52EE"/>
    <w:rsid w:val="007C5671"/>
    <w:rsid w:val="007D34B4"/>
    <w:rsid w:val="007D7503"/>
    <w:rsid w:val="00825877"/>
    <w:rsid w:val="00837524"/>
    <w:rsid w:val="00837DC6"/>
    <w:rsid w:val="0086160F"/>
    <w:rsid w:val="0086443C"/>
    <w:rsid w:val="008E3D79"/>
    <w:rsid w:val="008E464A"/>
    <w:rsid w:val="008F4501"/>
    <w:rsid w:val="0090670A"/>
    <w:rsid w:val="0092384B"/>
    <w:rsid w:val="0095306F"/>
    <w:rsid w:val="00953791"/>
    <w:rsid w:val="00984D32"/>
    <w:rsid w:val="009A54D2"/>
    <w:rsid w:val="009F0A30"/>
    <w:rsid w:val="009F1935"/>
    <w:rsid w:val="00A06C38"/>
    <w:rsid w:val="00A0729E"/>
    <w:rsid w:val="00A13D69"/>
    <w:rsid w:val="00A2177C"/>
    <w:rsid w:val="00A43638"/>
    <w:rsid w:val="00A83C41"/>
    <w:rsid w:val="00A8482D"/>
    <w:rsid w:val="00A90835"/>
    <w:rsid w:val="00AE4C39"/>
    <w:rsid w:val="00B053FA"/>
    <w:rsid w:val="00B4717D"/>
    <w:rsid w:val="00B76605"/>
    <w:rsid w:val="00B844C9"/>
    <w:rsid w:val="00B9176A"/>
    <w:rsid w:val="00BB31C9"/>
    <w:rsid w:val="00BB6B72"/>
    <w:rsid w:val="00BE3504"/>
    <w:rsid w:val="00BF3E88"/>
    <w:rsid w:val="00C12DC4"/>
    <w:rsid w:val="00C34200"/>
    <w:rsid w:val="00C35FC3"/>
    <w:rsid w:val="00C42363"/>
    <w:rsid w:val="00C56E81"/>
    <w:rsid w:val="00CA4454"/>
    <w:rsid w:val="00D03063"/>
    <w:rsid w:val="00D07D4B"/>
    <w:rsid w:val="00D11201"/>
    <w:rsid w:val="00D17945"/>
    <w:rsid w:val="00D17E14"/>
    <w:rsid w:val="00D36236"/>
    <w:rsid w:val="00D550C7"/>
    <w:rsid w:val="00DE1E1D"/>
    <w:rsid w:val="00DF0DC1"/>
    <w:rsid w:val="00E030B2"/>
    <w:rsid w:val="00E15706"/>
    <w:rsid w:val="00E17C34"/>
    <w:rsid w:val="00E33CA1"/>
    <w:rsid w:val="00E62E6C"/>
    <w:rsid w:val="00E64B84"/>
    <w:rsid w:val="00EA5404"/>
    <w:rsid w:val="00EE06A0"/>
    <w:rsid w:val="00EF23F4"/>
    <w:rsid w:val="00EF2CE9"/>
    <w:rsid w:val="00F20E4B"/>
    <w:rsid w:val="00F230B0"/>
    <w:rsid w:val="00F37C28"/>
    <w:rsid w:val="00F4367D"/>
    <w:rsid w:val="00F448CD"/>
    <w:rsid w:val="00F534D5"/>
    <w:rsid w:val="00F557E7"/>
    <w:rsid w:val="00F764FB"/>
    <w:rsid w:val="00F86172"/>
    <w:rsid w:val="00F86397"/>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2382</TotalTime>
  <Pages>26</Pages>
  <Words>53885</Words>
  <Characters>307146</Characters>
  <Application>Microsoft Office Word</Application>
  <DocSecurity>0</DocSecurity>
  <Lines>2559</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65</cp:revision>
  <dcterms:created xsi:type="dcterms:W3CDTF">2025-05-14T15:12:00Z</dcterms:created>
  <dcterms:modified xsi:type="dcterms:W3CDTF">2026-04-17T12:09:00Z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id="xGgMWl4E"/&gt;&lt;style id="http://www.zotero.org/styles/climate-of-the-past" hasBibliography="1" bibliographyStyleHasBeenSet="1"/&gt;&lt;prefs&gt;&lt;pref name="fieldType" value="Field"/&gt;&lt;/prefs&gt;&lt;/data&gt;</vt:lpwstr>
  </property>
</Properties>
</file>