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735D38">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735D38">
        <w:rPr>
          <w:sz w:val="22"/>
          <w:szCs w:val="22"/>
          <w:lang w:val="nl-NL"/>
        </w:rPr>
        <w:instrText xml:space="preserve">18O and </w:instrText>
      </w:r>
      <w:r w:rsidRPr="00256EAA">
        <w:rPr>
          <w:sz w:val="22"/>
          <w:szCs w:val="22"/>
          <w:lang w:val="en-GB"/>
        </w:rPr>
        <w:instrText>δ</w:instrText>
      </w:r>
      <w:r w:rsidRPr="00735D38">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w:t>
      </w:r>
      <w:proofErr w:type="spellStart"/>
      <w:r w:rsidRPr="00256EAA">
        <w:rPr>
          <w:sz w:val="22"/>
          <w:szCs w:val="22"/>
        </w:rPr>
        <w:t>Brocas</w:t>
      </w:r>
      <w:proofErr w:type="spellEnd"/>
      <w:r w:rsidRPr="00256EAA">
        <w:rPr>
          <w:sz w:val="22"/>
          <w:szCs w:val="22"/>
        </w:rPr>
        <w:t xml:space="preserve">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6DB5AA37">
            <wp:extent cx="5731412" cy="1889125"/>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3621FBEB">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1B4F6C6F" w14:textId="08071813" w:rsidR="00752D0A" w:rsidRDefault="00752D0A" w:rsidP="00752D0A">
      <w:pPr>
        <w:jc w:val="both"/>
        <w:rPr>
          <w:sz w:val="22"/>
          <w:szCs w:val="22"/>
          <w:lang w:val="en-GB"/>
        </w:rPr>
      </w:pPr>
      <w:commentRangeStart w:id="3"/>
      <w:r>
        <w:rPr>
          <w:b/>
          <w:bCs/>
          <w:sz w:val="22"/>
          <w:szCs w:val="22"/>
          <w:lang w:val="en-GB"/>
        </w:rPr>
        <w:t>Figure 7</w:t>
      </w:r>
      <w:commentRangeEnd w:id="3"/>
      <w:r w:rsidR="00681201">
        <w:rPr>
          <w:rStyle w:val="CommentReference"/>
        </w:rPr>
        <w:commentReference w:id="3"/>
      </w:r>
      <w:r>
        <w:rPr>
          <w:sz w:val="22"/>
          <w:szCs w:val="22"/>
          <w:lang w:val="en-GB"/>
        </w:rPr>
        <w:t>: Effect of uncertainty on proxy values on posterior precision and accuracy</w:t>
      </w:r>
    </w:p>
    <w:p w14:paraId="1B4ABE89" w14:textId="56D0DD01" w:rsidR="00752D0A" w:rsidRPr="00752D0A" w:rsidRDefault="00752D0A" w:rsidP="00752D0A">
      <w:pPr>
        <w:jc w:val="both"/>
        <w:rPr>
          <w:sz w:val="22"/>
          <w:szCs w:val="22"/>
          <w:lang w:val="en-GB"/>
        </w:rPr>
      </w:pPr>
      <w:r>
        <w:rPr>
          <w:b/>
          <w:bCs/>
          <w:sz w:val="22"/>
          <w:szCs w:val="22"/>
          <w:lang w:val="en-GB"/>
        </w:rPr>
        <w:t>Figure 8</w:t>
      </w:r>
      <w:r>
        <w:rPr>
          <w:sz w:val="22"/>
          <w:szCs w:val="22"/>
          <w:lang w:val="en-GB"/>
        </w:rPr>
        <w:t>: Effect of including or excluding d18Oc or D47 from the data assimilation</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393BF596" w14:textId="7BCC433B"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2A02DDA4" w14:textId="134BA548"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7C8952CA" w14:textId="0E7F71BC"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lastRenderedPageBreak/>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Alberti, M., Fürsich, F. T., Abdelhady, A. A., and Andersen, N.: Middle to Late Jurassic equatorial seawater temperatures and latitudinal temperature gradients based on stable isotopes of brachiopods and oysters from Gebel Maghara, Egypt, 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lastRenderedPageBreak/>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Danabasoglu, G., Lamarque, J.-F., Bacmeister, J., Bailey, D. A., DuVivier, A. K., Edwards, J., Emmons, L. K., Fasullo, J., Garcia, R., Gettelman, A., Hannay, C., Holland, M. M., 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 xml:space="preserve">Farnsworth, A., Lunt, D. J., O’Brien, C. L., Foster, G. L., Inglis, G. N., Markwick, P., Pancost, R. D., and Robinson, S. A.: Climate Sensitivity on Geological Timescales </w:t>
      </w:r>
      <w:r>
        <w:lastRenderedPageBreak/>
        <w:t>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w:t>
      </w:r>
      <w:r>
        <w:lastRenderedPageBreak/>
        <w:t>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 xml:space="preserve">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w:t>
      </w:r>
      <w:r>
        <w:lastRenderedPageBreak/>
        <w:t>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lastRenderedPageBreak/>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Locarnini, R. A., Mishonov, A. V., Antonov, J. I., Boyer, T. P., Garcia, H. E., Baranova, O. K., Zweng, M. M., Paver, C. R., Reagan, J. R., Johnson, D. R., Hamilton, M., and Seidov, D.: World ocean atlas 2013. Volume 1, Temperature, U.S. Department of Commerce, 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lastRenderedPageBreak/>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lastRenderedPageBreak/>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 xml:space="preserve">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w:t>
      </w:r>
      <w:r>
        <w:lastRenderedPageBreak/>
        <w:t>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de Winter, N. J., Goderis, S., Malderen, S. J. M. V., Sinnesael, M., Vansteenberge, S., Snoeck, C., Belza, J., Vanhaecke, F., and Claeys, P.: Subdaily-Scale Chemical Variability 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 w:id="3" w:author="Winter, N.J. de (Niels)" w:date="2025-11-25T09:16:00Z" w:initials="NW">
    <w:p w14:paraId="5B031389" w14:textId="6FB1EC97" w:rsidR="00681201" w:rsidRDefault="00681201" w:rsidP="00681201">
      <w:pPr>
        <w:pStyle w:val="CommentText"/>
      </w:pPr>
      <w:r>
        <w:rPr>
          <w:rStyle w:val="CommentReference"/>
        </w:rPr>
        <w:annotationRef/>
      </w:r>
      <w:r>
        <w:t>Consistent format for figures 7-10:</w:t>
      </w:r>
    </w:p>
    <w:p w14:paraId="2011446A" w14:textId="77777777" w:rsidR="00681201" w:rsidRDefault="00681201" w:rsidP="00681201">
      <w:pPr>
        <w:pStyle w:val="CommentText"/>
        <w:ind w:left="300"/>
      </w:pPr>
      <w:r>
        <w:t>Monthly ranges prior and posteriors (which outcome variable?)</w:t>
      </w:r>
    </w:p>
    <w:p w14:paraId="771C0840" w14:textId="77777777" w:rsidR="00681201" w:rsidRDefault="00681201" w:rsidP="00681201">
      <w:pPr>
        <w:pStyle w:val="CommentText"/>
        <w:ind w:left="300"/>
      </w:pPr>
      <w:r>
        <w:t>Boundary conditions on discrete x-axis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Ex w15:paraId="771C08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Extensible w16cex:durableId="0AE926B5" w16cex:dateUtc="2025-11-25T0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Id w16cid:paraId="771C0840" w16cid:durableId="0AE926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320AA"/>
    <w:rsid w:val="0006186A"/>
    <w:rsid w:val="00062C73"/>
    <w:rsid w:val="000776D2"/>
    <w:rsid w:val="00085AC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6CF9"/>
    <w:rsid w:val="002E575F"/>
    <w:rsid w:val="002F3751"/>
    <w:rsid w:val="00305A10"/>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5D2F"/>
    <w:rsid w:val="0047651E"/>
    <w:rsid w:val="00495FA3"/>
    <w:rsid w:val="004A6FEB"/>
    <w:rsid w:val="004F30F0"/>
    <w:rsid w:val="00505760"/>
    <w:rsid w:val="00540DB4"/>
    <w:rsid w:val="005936F0"/>
    <w:rsid w:val="005A4B7C"/>
    <w:rsid w:val="005A4F83"/>
    <w:rsid w:val="005B62E7"/>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443C"/>
    <w:rsid w:val="008E3D79"/>
    <w:rsid w:val="008E464A"/>
    <w:rsid w:val="008F4501"/>
    <w:rsid w:val="0090670A"/>
    <w:rsid w:val="0095306F"/>
    <w:rsid w:val="00953791"/>
    <w:rsid w:val="00984D32"/>
    <w:rsid w:val="009A54D2"/>
    <w:rsid w:val="009F0A30"/>
    <w:rsid w:val="009F1935"/>
    <w:rsid w:val="00A06C38"/>
    <w:rsid w:val="00A0729E"/>
    <w:rsid w:val="00A13D69"/>
    <w:rsid w:val="00A2177C"/>
    <w:rsid w:val="00A43638"/>
    <w:rsid w:val="00A8482D"/>
    <w:rsid w:val="00A90835"/>
    <w:rsid w:val="00AE4C39"/>
    <w:rsid w:val="00B053FA"/>
    <w:rsid w:val="00B4717D"/>
    <w:rsid w:val="00B76605"/>
    <w:rsid w:val="00B9176A"/>
    <w:rsid w:val="00BB31C9"/>
    <w:rsid w:val="00BB6B72"/>
    <w:rsid w:val="00BE3504"/>
    <w:rsid w:val="00BF3E88"/>
    <w:rsid w:val="00C12DC4"/>
    <w:rsid w:val="00C34200"/>
    <w:rsid w:val="00C56E81"/>
    <w:rsid w:val="00CA4454"/>
    <w:rsid w:val="00D03063"/>
    <w:rsid w:val="00D07D4B"/>
    <w:rsid w:val="00D11201"/>
    <w:rsid w:val="00D17E14"/>
    <w:rsid w:val="00D36236"/>
    <w:rsid w:val="00DE1E1D"/>
    <w:rsid w:val="00DF0DC1"/>
    <w:rsid w:val="00E030B2"/>
    <w:rsid w:val="00E15706"/>
    <w:rsid w:val="00E17C34"/>
    <w:rsid w:val="00E62E6C"/>
    <w:rsid w:val="00E64B84"/>
    <w:rsid w:val="00EA5404"/>
    <w:rsid w:val="00EE06A0"/>
    <w:rsid w:val="00EF23F4"/>
    <w:rsid w:val="00EF2CE9"/>
    <w:rsid w:val="00F20E4B"/>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1975</TotalTime>
  <Pages>23</Pages>
  <Words>53867</Words>
  <Characters>307043</Characters>
  <Application>Microsoft Office Word</Application>
  <DocSecurity>0</DocSecurity>
  <Lines>2558</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50</cp:revision>
  <dcterms:created xsi:type="dcterms:W3CDTF">2025-05-14T15:12:00Z</dcterms:created>
  <dcterms:modified xsi:type="dcterms:W3CDTF">2025-11-28T11:41:00Z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