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92384B">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92384B">
        <w:rPr>
          <w:sz w:val="22"/>
          <w:szCs w:val="22"/>
          <w:lang w:val="nl-NL"/>
        </w:rPr>
        <w:instrText xml:space="preserve">18O and </w:instrText>
      </w:r>
      <w:r w:rsidRPr="00256EAA">
        <w:rPr>
          <w:sz w:val="22"/>
          <w:szCs w:val="22"/>
          <w:lang w:val="en-GB"/>
        </w:rPr>
        <w:instrText>δ</w:instrText>
      </w:r>
      <w:r w:rsidRPr="0092384B">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(Brocas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43BD364E">
            <wp:extent cx="5731412" cy="1889124"/>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4"/>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35DB93AD">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561E3BC8">
            <wp:extent cx="5671524" cy="4518867"/>
            <wp:effectExtent l="0" t="0" r="5715" b="0"/>
            <wp:docPr id="42991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685892" cy="4530315"/>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r>
        <w:rPr>
          <w:b/>
          <w:bCs/>
          <w:sz w:val="22"/>
          <w:szCs w:val="22"/>
          <w:lang w:val="en-GB"/>
        </w:rPr>
        <w:t>Figure 7</w:t>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4F796152">
            <wp:extent cx="5731510" cy="2874465"/>
            <wp:effectExtent l="0" t="0" r="2540" b="254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731510" cy="2874465"/>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lastRenderedPageBreak/>
        <w:drawing>
          <wp:inline distT="0" distB="0" distL="0" distR="0" wp14:anchorId="7CC918F6" wp14:editId="6324FD55">
            <wp:extent cx="5731510" cy="2868652"/>
            <wp:effectExtent l="0" t="0" r="2540" b="8255"/>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731510" cy="2868652"/>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drawing>
          <wp:inline distT="0" distB="0" distL="0" distR="0" wp14:anchorId="3671664E" wp14:editId="29757058">
            <wp:extent cx="5738411" cy="3057350"/>
            <wp:effectExtent l="0" t="0" r="0" b="0"/>
            <wp:docPr id="8764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5746521" cy="3061671"/>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4329926C" w14:textId="339D0B1D" w:rsidR="00471C8D" w:rsidRDefault="00471C8D" w:rsidP="00752D0A">
      <w:pPr>
        <w:jc w:val="both"/>
        <w:rPr>
          <w:b/>
          <w:bCs/>
          <w:sz w:val="22"/>
          <w:szCs w:val="22"/>
          <w:lang w:val="en-GB"/>
        </w:rPr>
      </w:pPr>
      <w:r>
        <w:rPr>
          <w:b/>
          <w:bCs/>
          <w:noProof/>
          <w:sz w:val="22"/>
          <w:szCs w:val="22"/>
          <w:lang w:val="en-GB"/>
        </w:rPr>
        <w:lastRenderedPageBreak/>
        <w:drawing>
          <wp:inline distT="0" distB="0" distL="0" distR="0" wp14:anchorId="2AC01B6C" wp14:editId="50CF3108">
            <wp:extent cx="5731508" cy="4566662"/>
            <wp:effectExtent l="0" t="0" r="3175" b="5715"/>
            <wp:docPr id="184189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92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731508" cy="4566662"/>
                    </a:xfrm>
                    <a:prstGeom prst="rect">
                      <a:avLst/>
                    </a:prstGeom>
                  </pic:spPr>
                </pic:pic>
              </a:graphicData>
            </a:graphic>
          </wp:inline>
        </w:drawing>
      </w:r>
    </w:p>
    <w:p w14:paraId="7C8952CA" w14:textId="7543BFFF"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Fürsich, F. T., Abdelhady, A. A., and Andersen, N.: Middle to Late Jurassic equatorial seawater temperatures and latitudinal temperature gradients based on stable isotopes of brachiopods and oysters from Gebel Maghara, Egypt, </w:t>
      </w:r>
      <w:r w:rsidR="000E7353">
        <w:lastRenderedPageBreak/>
        <w:t>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 xml:space="preserve">Danabasoglu, G., Lamarque, J.-F., Bacmeister, J., Bailey, D. A., DuVivier, A. K., Edwards, J., Emmons, L. K., Fasullo, J., Garcia, R., Gettelman, A., Hannay, C., Holland, M. M., </w:t>
      </w:r>
      <w:r>
        <w:lastRenderedPageBreak/>
        <w:t>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lastRenderedPageBreak/>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lastRenderedPageBreak/>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lastRenderedPageBreak/>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 xml:space="preserve">Locarnini, R. A., Mishonov, A. V., Antonov, J. I., Boyer, T. P., Garcia, H. E., Baranova, O. K., Zweng, M. M., Paver, C. R., Reagan, J. R., Johnson, D. R., Hamilton, M., and Seidov, D.: World ocean atlas 2013. Volume 1, Temperature, U.S. Department of Commerce, </w:t>
      </w:r>
      <w:r>
        <w:lastRenderedPageBreak/>
        <w:t>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w:t>
      </w:r>
      <w:r>
        <w:lastRenderedPageBreak/>
        <w:t>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lastRenderedPageBreak/>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Goderis, S., Malderen, S. J. M. V., Sinnesael, M., Vansteenberge, S., Snoeck, C., Belza, J., Vanhaecke, F., and Claeys, P.: Subdaily-Scale Chemical Variability </w:t>
      </w:r>
      <w:r>
        <w:lastRenderedPageBreak/>
        <w:t>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4754"/>
    <w:rsid w:val="002B6CF9"/>
    <w:rsid w:val="002E575F"/>
    <w:rsid w:val="002F3751"/>
    <w:rsid w:val="0030398C"/>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1AD2"/>
    <w:rsid w:val="00425D2F"/>
    <w:rsid w:val="00471C8D"/>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2384B"/>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35FC3"/>
    <w:rsid w:val="00C42363"/>
    <w:rsid w:val="00C56E81"/>
    <w:rsid w:val="00CA4454"/>
    <w:rsid w:val="00D03063"/>
    <w:rsid w:val="00D07D4B"/>
    <w:rsid w:val="00D11201"/>
    <w:rsid w:val="00D17E14"/>
    <w:rsid w:val="00D36236"/>
    <w:rsid w:val="00D550C7"/>
    <w:rsid w:val="00DE1E1D"/>
    <w:rsid w:val="00DF0DC1"/>
    <w:rsid w:val="00E030B2"/>
    <w:rsid w:val="00E15706"/>
    <w:rsid w:val="00E17C34"/>
    <w:rsid w:val="00E33CA1"/>
    <w:rsid w:val="00E62E6C"/>
    <w:rsid w:val="00E64B84"/>
    <w:rsid w:val="00EA5404"/>
    <w:rsid w:val="00EE06A0"/>
    <w:rsid w:val="00EF23F4"/>
    <w:rsid w:val="00EF2CE9"/>
    <w:rsid w:val="00F20E4B"/>
    <w:rsid w:val="00F230B0"/>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26</Pages>
  <Words>53885</Words>
  <Characters>307146</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60</cp:revision>
  <dcterms:created xsi:type="dcterms:W3CDTF">2025-05-14T15:12:00Z</dcterms:created>
  <dcterms:modified xsi:type="dcterms:W3CDTF">2026-01-15T07:24:00Z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