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Niels J. de Winter, Michiel Baatsen, Pepijn Bakker, Alexander Farnsworth,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routine for assimilating sub-annual paleoclimate data with monthly climate model simulations. The aim of this contribution is to lay the groundwork for data assimilation of paleoclimate data on the seasonal to monthly scale, making data assimilation accessible for sclerochronologists,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However, the various spatio-temporal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(paleoDA)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paleoDA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r w:rsidRPr="00256EAA">
        <w:rPr>
          <w:sz w:val="22"/>
          <w:szCs w:val="22"/>
          <w:lang w:val="en-GB"/>
        </w:rPr>
        <w:t>Paleo</w:t>
      </w:r>
      <w:r w:rsidR="0074454F" w:rsidRPr="00256EAA">
        <w:rPr>
          <w:sz w:val="22"/>
          <w:szCs w:val="22"/>
          <w:lang w:val="en-GB"/>
        </w:rPr>
        <w:t xml:space="preserve">DA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825877">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825877">
        <w:rPr>
          <w:sz w:val="22"/>
          <w:szCs w:val="22"/>
          <w:lang w:val="nl-NL"/>
        </w:rPr>
        <w:instrText xml:space="preserve">18O and </w:instrText>
      </w:r>
      <w:r w:rsidRPr="00256EAA">
        <w:rPr>
          <w:sz w:val="22"/>
          <w:szCs w:val="22"/>
          <w:lang w:val="en-GB"/>
        </w:rPr>
        <w:instrText>δ</w:instrText>
      </w:r>
      <w:r w:rsidRPr="00825877">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(Brocas et al., 2016; Gagan et al., 1994; Watanabe et al., 2001)</w:t>
      </w:r>
      <w:r w:rsidRPr="00256EAA">
        <w:rPr>
          <w:sz w:val="22"/>
          <w:szCs w:val="22"/>
          <w:lang w:val="en-GB"/>
        </w:rPr>
        <w:fldChar w:fldCharType="end"/>
      </w:r>
      <w:r w:rsidRPr="00256EAA">
        <w:rPr>
          <w:sz w:val="22"/>
          <w:szCs w:val="22"/>
          <w:lang w:val="nl-NL"/>
        </w:rPr>
        <w:t xml:space="preserve">, </w:t>
      </w:r>
      <w:r w:rsidR="001F00C1" w:rsidRPr="00256EAA">
        <w:rPr>
          <w:sz w:val="22"/>
          <w:szCs w:val="22"/>
          <w:lang w:val="nl-NL"/>
        </w:rPr>
        <w:t xml:space="preserve">sclerosponges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tooth bioapatite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sclerochronology,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paleothermometry,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77777777"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paleoDA studies assemble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paleoDA studies. As a consequence, sub-annual scale variability in climate parameters is either not included in paleoDA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assembled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lastRenderedPageBreak/>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at the sub-annual scale to make the paleoDA workflow accessible for researchers in the field of sclerochronology. Secondly, we apply our paleoDA framework to modern and ancient seasonal proxy datasets to test the sensitivity of the paleoDA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2A9874FC"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One modern dataset and three datasets consisting of paleoclimate reconstructions on the seasonal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77777777" w:rsidR="00953791" w:rsidRDefault="003334B1" w:rsidP="00505760">
      <w:pPr>
        <w:jc w:val="both"/>
        <w:rPr>
          <w:sz w:val="22"/>
          <w:szCs w:val="22"/>
          <w:lang w:val="en-GB"/>
        </w:rPr>
      </w:pPr>
      <w:r w:rsidRPr="00256EAA">
        <w:rPr>
          <w:sz w:val="22"/>
          <w:szCs w:val="22"/>
          <w:lang w:val="en-GB"/>
        </w:rPr>
        <w:t>A modern case study was assembled based on the seasonal-scale clumped isotope dataset obtained from two bivalve shells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EarthChem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3A9B9D5A" w14:textId="762F4864" w:rsidR="00953791" w:rsidRPr="00256EAA" w:rsidRDefault="00953791" w:rsidP="00505760">
      <w:pPr>
        <w:jc w:val="both"/>
        <w:rPr>
          <w:sz w:val="22"/>
          <w:szCs w:val="22"/>
          <w:lang w:val="en-GB"/>
        </w:rPr>
      </w:pPr>
      <w:r>
        <w:rPr>
          <w:sz w:val="22"/>
          <w:szCs w:val="22"/>
          <w:lang w:val="en-GB"/>
        </w:rPr>
        <w:t>&lt;Fig 1: Modern PRIOR (monthly model) and LIKELIHOOD (individual D47 and d18Oc data)&gt;</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1480EB66" w:rsidR="001E50D0" w:rsidRPr="00256EAA" w:rsidRDefault="00FD10E6" w:rsidP="00FD10E6">
      <w:pPr>
        <w:jc w:val="both"/>
        <w:rPr>
          <w:sz w:val="22"/>
          <w:szCs w:val="22"/>
          <w:lang w:val="en-GB"/>
        </w:rPr>
      </w:pPr>
      <w:r w:rsidRPr="00256EAA">
        <w:rPr>
          <w:sz w:val="22"/>
          <w:szCs w:val="22"/>
          <w:lang w:val="en-GB"/>
        </w:rPr>
        <w:t>A case study focused on the Pliocene Warm Period (PWP) was assembled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 xml:space="preserve">O data from 7 shells from 6 different bivalve species dated to within the mid-Piazencian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w:t>
      </w:r>
      <w:r w:rsidR="00953791">
        <w:rPr>
          <w:sz w:val="22"/>
          <w:szCs w:val="22"/>
          <w:lang w:val="en-GB"/>
        </w:rPr>
        <w:lastRenderedPageBreak/>
        <w:t>dating uncertainty on paleoDA outcomes by propagating the dating uncertainty through the assimilation and aggregating data and model outcomes in both monthly and seasonal (three-monthly) bins.</w:t>
      </w:r>
    </w:p>
    <w:p w14:paraId="7116BB81" w14:textId="18D0B496"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assemblage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678E8AA8" w14:textId="5C6D778A" w:rsidR="00953791" w:rsidRPr="00256EAA" w:rsidRDefault="00953791" w:rsidP="00953791">
      <w:pPr>
        <w:jc w:val="both"/>
        <w:rPr>
          <w:sz w:val="22"/>
          <w:szCs w:val="22"/>
          <w:lang w:val="en-GB"/>
        </w:rPr>
      </w:pPr>
      <w:r>
        <w:rPr>
          <w:sz w:val="22"/>
          <w:szCs w:val="22"/>
          <w:lang w:val="en-GB"/>
        </w:rPr>
        <w:t>&lt;Fig 2: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paleoDA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paleoDA.</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2DC9B62B" w14:textId="49EAC266" w:rsidR="00953791" w:rsidRPr="00256EAA" w:rsidRDefault="00953791" w:rsidP="00953791">
      <w:pPr>
        <w:jc w:val="both"/>
        <w:rPr>
          <w:sz w:val="22"/>
          <w:szCs w:val="22"/>
          <w:lang w:val="en-GB"/>
        </w:rPr>
      </w:pPr>
      <w:r>
        <w:rPr>
          <w:sz w:val="22"/>
          <w:szCs w:val="22"/>
          <w:lang w:val="en-GB"/>
        </w:rPr>
        <w:t>&lt;Fig 3: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6AF463DA" w:rsidR="007C5671" w:rsidRPr="00256EAA" w:rsidRDefault="007C5671" w:rsidP="00FD10E6">
      <w:pPr>
        <w:jc w:val="both"/>
        <w:rPr>
          <w:sz w:val="22"/>
          <w:szCs w:val="22"/>
          <w:lang w:val="en-GB"/>
        </w:rPr>
      </w:pPr>
      <w:r w:rsidRPr="00256EAA">
        <w:rPr>
          <w:sz w:val="22"/>
          <w:szCs w:val="22"/>
          <w:lang w:val="en-GB"/>
        </w:rPr>
        <w:t>A third case study was assembled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HadCM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xml:space="preserve">. The simulation is identical to </w:t>
      </w:r>
      <w:r w:rsidRPr="00256EAA">
        <w:rPr>
          <w:sz w:val="22"/>
          <w:szCs w:val="22"/>
          <w:lang w:val="en-GB"/>
        </w:rPr>
        <w:lastRenderedPageBreak/>
        <w:t>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6665057E" w14:textId="1D9F1BF1" w:rsidR="00953791" w:rsidRPr="00256EAA" w:rsidRDefault="00953791" w:rsidP="00953791">
      <w:pPr>
        <w:jc w:val="both"/>
        <w:rPr>
          <w:sz w:val="22"/>
          <w:szCs w:val="22"/>
          <w:lang w:val="en-GB"/>
        </w:rPr>
      </w:pPr>
      <w:r>
        <w:rPr>
          <w:sz w:val="22"/>
          <w:szCs w:val="22"/>
          <w:lang w:val="en-GB"/>
        </w:rPr>
        <w:t>&lt;Fig 4: Campanian PRIOR (monthly model) and LIKELIHOOD (individual D47 and d18Oc data)&gt;</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Jupyter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A stable release of this data and code package will be released on the open source repository Zenodo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4DD87B7D" w14:textId="725E2105" w:rsidR="00825877" w:rsidRDefault="00825877" w:rsidP="00953791">
      <w:pPr>
        <w:jc w:val="both"/>
        <w:rPr>
          <w:sz w:val="22"/>
          <w:szCs w:val="22"/>
          <w:lang w:val="en-GB"/>
        </w:rPr>
      </w:pPr>
      <w:r>
        <w:rPr>
          <w:sz w:val="22"/>
          <w:szCs w:val="22"/>
          <w:lang w:val="en-GB"/>
        </w:rPr>
        <w:t>&lt;Fig 5: Flow chart DA routine&gt;</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7777777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assembled model outcomes with data is as means and variances of proxy values in monthly time bins.</w:t>
      </w:r>
    </w:p>
    <w:p w14:paraId="71E2ACF5" w14:textId="77777777" w:rsidR="0095306F" w:rsidRDefault="00A43638" w:rsidP="00953791">
      <w:pPr>
        <w:jc w:val="both"/>
        <w:rPr>
          <w:sz w:val="22"/>
          <w:szCs w:val="22"/>
          <w:lang w:val="en-GB"/>
        </w:rPr>
      </w:pPr>
      <w:r>
        <w:rPr>
          <w:sz w:val="22"/>
          <w:szCs w:val="22"/>
          <w:lang w:val="en-GB"/>
        </w:rPr>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 xml:space="preserve">values for the four assembled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77777777"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r w:rsidR="00261B2C" w:rsidRPr="00261B2C">
        <w:rPr>
          <w:sz w:val="22"/>
          <w:szCs w:val="22"/>
          <w:lang w:val="en-GB"/>
        </w:rPr>
        <w:t xml:space="preserve">Omnivariant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w:t>
      </w:r>
      <w:r w:rsidR="0095306F">
        <w:rPr>
          <w:sz w:val="22"/>
          <w:szCs w:val="22"/>
          <w:lang w:val="en-GB"/>
        </w:rPr>
        <w:t>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 xml:space="preserve">use the North Sea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w:t>
      </w:r>
      <w:r w:rsidR="001966CD">
        <w:rPr>
          <w:sz w:val="22"/>
          <w:szCs w:val="22"/>
          <w:lang w:val="en-GB"/>
        </w:rPr>
        <w:t xml:space="preserve">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w:t>
      </w:r>
      <w:r w:rsidR="001966CD">
        <w:rPr>
          <w:sz w:val="22"/>
          <w:szCs w:val="22"/>
          <w:lang w:val="en-GB"/>
        </w:rPr>
        <w:t xml:space="preserve">s on the data assimilation outcome. As a second step,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w:t>
      </w:r>
      <w:r w:rsidR="001966CD" w:rsidRPr="001966CD">
        <w:rPr>
          <w:sz w:val="22"/>
          <w:szCs w:val="22"/>
          <w:lang w:val="en-GB"/>
        </w:rPr>
        <w:t xml:space="preserve">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lastRenderedPageBreak/>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r w:rsidR="00706A20" w:rsidRPr="00706A20">
        <w:rPr>
          <w:b/>
          <w:bCs/>
          <w:sz w:val="22"/>
          <w:szCs w:val="22"/>
          <w:lang w:val="en-GB"/>
        </w:rPr>
        <w:t>M</w:t>
      </w:r>
      <w:r w:rsidR="00706A20" w:rsidRPr="00706A20">
        <w:rPr>
          <w:b/>
          <w:bCs/>
          <w:sz w:val="22"/>
          <w:szCs w:val="22"/>
          <w:vertAlign w:val="subscript"/>
          <w:lang w:val="en-GB"/>
        </w:rPr>
        <w:t>prior</w:t>
      </w:r>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xml:space="preserve">, </w:t>
      </w:r>
      <w:r w:rsidR="00E17C34">
        <w:rPr>
          <w:sz w:val="22"/>
          <w:szCs w:val="22"/>
          <w:lang w:val="en-GB"/>
        </w:rPr>
        <w:t>S</w:t>
      </w:r>
      <w:r w:rsidR="00E17C34">
        <w:rPr>
          <w:sz w:val="22"/>
          <w:szCs w:val="22"/>
          <w:lang w:val="en-GB"/>
        </w:rPr>
        <w:t>A</w:t>
      </w:r>
      <w:r w:rsidR="00E17C34">
        <w:rPr>
          <w:sz w:val="22"/>
          <w:szCs w:val="22"/>
          <w:lang w:val="en-GB"/>
        </w:rPr>
        <w:t>T-derived Δ</w:t>
      </w:r>
      <w:r w:rsidR="00E17C34" w:rsidRPr="00E17C34">
        <w:rPr>
          <w:sz w:val="22"/>
          <w:szCs w:val="22"/>
          <w:vertAlign w:val="subscript"/>
          <w:lang w:val="en-GB"/>
        </w:rPr>
        <w:t>47</w:t>
      </w:r>
      <w:r w:rsidR="00E17C34">
        <w:rPr>
          <w:sz w:val="22"/>
          <w:szCs w:val="22"/>
          <w:lang w:val="en-GB"/>
        </w:rPr>
        <w:t>,</w:t>
      </w:r>
      <w:r w:rsidR="00E17C34">
        <w:rPr>
          <w:sz w:val="22"/>
          <w:szCs w:val="22"/>
          <w:lang w:val="en-GB"/>
        </w:rPr>
        <w:t xml:space="preserve"> SSS- and </w:t>
      </w:r>
      <w:r w:rsidR="00E17C34">
        <w:rPr>
          <w:sz w:val="22"/>
          <w:szCs w:val="22"/>
          <w:lang w:val="en-GB"/>
        </w:rPr>
        <w:t xml:space="preserve">SST-derived </w:t>
      </w:r>
      <w:r w:rsidR="00E17C34">
        <w:rPr>
          <w:sz w:val="22"/>
          <w:szCs w:val="22"/>
          <w:lang w:val="en-GB"/>
        </w:rPr>
        <w:t>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r w:rsidR="00706A20" w:rsidRPr="00706A20">
        <w:rPr>
          <w:b/>
          <w:bCs/>
          <w:sz w:val="22"/>
          <w:szCs w:val="22"/>
          <w:lang w:val="en-US"/>
        </w:rPr>
        <w:t>COV</w:t>
      </w:r>
      <w:r w:rsidR="00706A20" w:rsidRPr="00706A20">
        <w:rPr>
          <w:b/>
          <w:bCs/>
          <w:sz w:val="22"/>
          <w:szCs w:val="22"/>
          <w:vertAlign w:val="subscript"/>
          <w:lang w:val="en-US"/>
        </w:rPr>
        <w:t>prior</w:t>
      </w:r>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54B5EC61"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seasonal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(Caldarescu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507F9EFE"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r w:rsidR="007D7503">
        <w:rPr>
          <w:b/>
          <w:bCs/>
          <w:sz w:val="22"/>
          <w:szCs w:val="22"/>
          <w:lang w:val="en-GB"/>
        </w:rPr>
        <w:t>Z</w:t>
      </w:r>
      <w:r w:rsidR="007D7503">
        <w:rPr>
          <w:b/>
          <w:bCs/>
          <w:sz w:val="22"/>
          <w:szCs w:val="22"/>
          <w:vertAlign w:val="subscript"/>
          <w:lang w:val="en-GB"/>
        </w:rPr>
        <w:t>obs</w:t>
      </w:r>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r w:rsidR="007D7503">
        <w:rPr>
          <w:b/>
          <w:bCs/>
          <w:sz w:val="22"/>
          <w:szCs w:val="22"/>
          <w:lang w:val="en-GB"/>
        </w:rPr>
        <w:t>Z</w:t>
      </w:r>
      <w:r w:rsidR="007D7503">
        <w:rPr>
          <w:b/>
          <w:bCs/>
          <w:sz w:val="22"/>
          <w:szCs w:val="22"/>
          <w:vertAlign w:val="subscript"/>
          <w:lang w:val="en-GB"/>
        </w:rPr>
        <w:t>obs</w:t>
      </w:r>
      <w:r w:rsidR="007D7503">
        <w:rPr>
          <w:sz w:val="22"/>
          <w:szCs w:val="22"/>
          <w:lang w:val="en-GB"/>
        </w:rPr>
        <w:t xml:space="preserve"> to the index of the corresponding monthly model parameter in the state vector </w:t>
      </w:r>
      <w:r w:rsidR="007D7503" w:rsidRPr="00706A20">
        <w:rPr>
          <w:b/>
          <w:bCs/>
          <w:sz w:val="22"/>
          <w:szCs w:val="22"/>
          <w:lang w:val="en-GB"/>
        </w:rPr>
        <w:t>M</w:t>
      </w:r>
      <w:r w:rsidR="007D7503" w:rsidRPr="00706A20">
        <w:rPr>
          <w:b/>
          <w:bCs/>
          <w:sz w:val="22"/>
          <w:szCs w:val="22"/>
          <w:vertAlign w:val="subscript"/>
          <w:lang w:val="en-GB"/>
        </w:rPr>
        <w:t>prior</w:t>
      </w:r>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w:t>
      </w:r>
      <w:r w:rsidR="007D7503">
        <w:rPr>
          <w:sz w:val="22"/>
          <w:szCs w:val="22"/>
          <w:lang w:val="en-GB"/>
        </w:rPr>
        <w:t>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and assigning all other values in the 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62299A02" w:rsidR="005A4F83" w:rsidRDefault="00EF23F4" w:rsidP="00825877">
      <w:pPr>
        <w:jc w:val="both"/>
        <w:rPr>
          <w:sz w:val="22"/>
          <w:szCs w:val="22"/>
          <w:lang w:val="en-US"/>
        </w:rPr>
      </w:pPr>
      <w:r>
        <w:rPr>
          <w:sz w:val="22"/>
          <w:szCs w:val="22"/>
          <w:lang w:val="en-US"/>
        </w:rPr>
        <w:t xml:space="preserve">Reconstruction and model data is assembled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assembled in one go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w:t>
      </w:r>
      <w:r w:rsidR="00B9176A">
        <w:rPr>
          <w:sz w:val="22"/>
          <w:szCs w:val="22"/>
          <w:lang w:val="en-US"/>
        </w:rPr>
        <w:t>in mass spectrometry</w:t>
      </w:r>
      <w:r w:rsidR="00B9176A">
        <w:rPr>
          <w:sz w:val="22"/>
          <w:szCs w:val="22"/>
          <w:lang w:val="en-US"/>
        </w:rPr>
        <w:t xml:space="preserve">;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paleoDA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lastRenderedPageBreak/>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EF2CE9"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m:t>
          </m:r>
          <m:r>
            <w:rPr>
              <w:rFonts w:ascii="Cambria Math" w:eastAsiaTheme="minorEastAsia" w:hAnsi="Cambria Math"/>
              <w:sz w:val="22"/>
              <w:szCs w:val="22"/>
              <w:lang w:val="en-US"/>
            </w:rPr>
            <m:t>=</m:t>
          </m:r>
          <m:r>
            <w:rPr>
              <w:rFonts w:ascii="Cambria Math" w:eastAsiaTheme="minorEastAsia" w:hAnsi="Cambria Math"/>
              <w:sz w:val="22"/>
              <w:szCs w:val="22"/>
              <w:lang w:val="en-US"/>
            </w:rPr>
            <m:t>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r>
        <w:rPr>
          <w:b/>
          <w:bCs/>
          <w:sz w:val="22"/>
          <w:szCs w:val="22"/>
          <w:lang w:val="en-US"/>
        </w:rPr>
        <w:t>M</w:t>
      </w:r>
      <w:r w:rsidRPr="00EF2CE9">
        <w:rPr>
          <w:b/>
          <w:bCs/>
          <w:sz w:val="22"/>
          <w:szCs w:val="22"/>
          <w:vertAlign w:val="subscript"/>
          <w:lang w:val="en-US"/>
        </w:rPr>
        <w:t>prior</w:t>
      </w:r>
      <w:r>
        <w:rPr>
          <w:sz w:val="22"/>
          <w:szCs w:val="22"/>
          <w:lang w:val="en-US"/>
        </w:rPr>
        <w:t>) and can therefore be used to directly update the state vector to obtain the posterior state vector (</w:t>
      </w:r>
      <w:r>
        <w:rPr>
          <w:b/>
          <w:bCs/>
          <w:sz w:val="22"/>
          <w:szCs w:val="22"/>
          <w:lang w:val="en-US"/>
        </w:rPr>
        <w:t>M</w:t>
      </w:r>
      <w:r w:rsidRPr="00EF2CE9">
        <w:rPr>
          <w:b/>
          <w:bCs/>
          <w:sz w:val="22"/>
          <w:szCs w:val="22"/>
          <w:vertAlign w:val="subscript"/>
          <w:lang w:val="en-US"/>
        </w:rPr>
        <w:t>post</w:t>
      </w:r>
      <w:r>
        <w:rPr>
          <w:sz w:val="22"/>
          <w:szCs w:val="22"/>
          <w:lang w:val="en-US"/>
        </w:rPr>
        <w:t>):</w:t>
      </w:r>
    </w:p>
    <w:p w14:paraId="3ED3FD3E" w14:textId="2449F5E4" w:rsidR="00EF2CE9" w:rsidRPr="00C34200" w:rsidRDefault="00EF2CE9"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t>T</w:t>
      </w:r>
      <w:r>
        <w:rPr>
          <w:sz w:val="22"/>
          <w:szCs w:val="22"/>
          <w:lang w:val="en-US"/>
        </w:rPr>
        <w:t>he posterior covariance matrix (</w:t>
      </w:r>
      <w:r>
        <w:rPr>
          <w:b/>
          <w:bCs/>
          <w:sz w:val="22"/>
          <w:szCs w:val="22"/>
          <w:lang w:val="en-US"/>
        </w:rPr>
        <w:t>COV</w:t>
      </w:r>
      <w:r w:rsidRPr="00EF2CE9">
        <w:rPr>
          <w:b/>
          <w:bCs/>
          <w:sz w:val="22"/>
          <w:szCs w:val="22"/>
          <w:vertAlign w:val="subscript"/>
          <w:lang w:val="en-US"/>
        </w:rPr>
        <w:t>post</w:t>
      </w:r>
      <w:r>
        <w:rPr>
          <w:sz w:val="22"/>
          <w:szCs w:val="22"/>
          <w:lang w:val="en-US"/>
        </w:rPr>
        <w:t>)</w:t>
      </w:r>
      <w:r>
        <w:rPr>
          <w:sz w:val="22"/>
          <w:szCs w:val="22"/>
          <w:lang w:val="en-US"/>
        </w:rPr>
        <w:t xml:space="preserve"> is obtained by updating the prior covariance matrix with the innovation in terms of estimate uncertainty which follows from combining the K-matrix with the </w:t>
      </w:r>
      <w:r>
        <w:rPr>
          <w:sz w:val="22"/>
          <w:szCs w:val="22"/>
          <w:lang w:val="en-US"/>
        </w:rPr>
        <w:t>prior covariance matrix</w:t>
      </w:r>
      <w:r>
        <w:rPr>
          <w:sz w:val="22"/>
          <w:szCs w:val="22"/>
          <w:lang w:val="en-US"/>
        </w:rPr>
        <w:t>:</w:t>
      </w:r>
    </w:p>
    <w:p w14:paraId="4D5C4C26" w14:textId="28286DF7" w:rsidR="00C34200" w:rsidRPr="00C34200" w:rsidRDefault="00C342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m:t>
          </m:r>
          <m:r>
            <w:rPr>
              <w:rFonts w:ascii="Cambria Math" w:hAnsi="Cambria Math"/>
              <w:sz w:val="22"/>
              <w:szCs w:val="22"/>
              <w:lang w:val="en-US"/>
            </w:rPr>
            <m:t>Kalman gain</m:t>
          </m:r>
          <m:r>
            <w:rPr>
              <w:rFonts w:ascii="Cambria Math" w:hAnsi="Cambria Math"/>
              <w:sz w:val="22"/>
              <w:szCs w:val="22"/>
              <w:lang w:val="en-US"/>
            </w:rPr>
            <m:t>∙K∙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Omnivariant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r>
        <w:rPr>
          <w:sz w:val="22"/>
          <w:szCs w:val="22"/>
          <w:lang w:val="en-GB"/>
        </w:rPr>
        <w:t xml:space="preserve">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r>
        <w:rPr>
          <w:sz w:val="22"/>
          <w:szCs w:val="22"/>
          <w:lang w:val="en-GB"/>
        </w:rPr>
        <w:t>value:</w:t>
      </w:r>
    </w:p>
    <w:p w14:paraId="232C7C1C" w14:textId="59B2F3A7" w:rsidR="008E464A" w:rsidRPr="009F1935" w:rsidRDefault="008E464A"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m:t>
              </m:r>
              <m:r>
                <w:rPr>
                  <w:rFonts w:ascii="Cambria Math" w:eastAsiaTheme="minorEastAsia" w:hAnsi="Cambria Math"/>
                  <w:sz w:val="22"/>
                  <w:szCs w:val="22"/>
                  <w:lang w:val="en-US"/>
                </w:rPr>
                <m:t>,post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0"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0"/>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w:t>
      </w:r>
      <w:r>
        <w:rPr>
          <w:sz w:val="22"/>
          <w:szCs w:val="22"/>
          <w:lang w:val="en-GB"/>
        </w:rPr>
        <w:t>and SST:</w:t>
      </w:r>
    </w:p>
    <w:p w14:paraId="40497795" w14:textId="728735C0" w:rsidR="009F1935" w:rsidRPr="00C34200" w:rsidRDefault="009F1935"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m:t>
                  </m:r>
                  <m:r>
                    <w:rPr>
                      <w:rFonts w:ascii="Cambria Math" w:eastAsiaTheme="minorEastAsia" w:hAnsi="Cambria Math"/>
                      <w:sz w:val="22"/>
                      <w:szCs w:val="22"/>
                      <w:lang w:val="en-US"/>
                    </w:rPr>
                    <m:t>,post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w:t>
      </w:r>
      <w:r>
        <w:rPr>
          <w:sz w:val="22"/>
          <w:szCs w:val="22"/>
          <w:lang w:val="en-GB"/>
        </w:rPr>
        <w:t xml:space="preserve">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9F1935"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9F1935"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17D5B330" w14:textId="53F5EDAC" w:rsidR="00A06C38" w:rsidRDefault="00A06C38" w:rsidP="00825877">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 Model priors, reconstruction likelihoods, posterior estimates and aggregated measurement data for the modern case study using the default choices for assimilation are plotted in </w:t>
      </w:r>
      <w:r>
        <w:rPr>
          <w:b/>
          <w:bCs/>
          <w:sz w:val="22"/>
          <w:szCs w:val="22"/>
          <w:lang w:val="en-US"/>
        </w:rPr>
        <w:t>Figure 6</w:t>
      </w:r>
      <w:r>
        <w:rPr>
          <w:sz w:val="22"/>
          <w:szCs w:val="22"/>
          <w:lang w:val="en-US"/>
        </w:rPr>
        <w:t>.</w:t>
      </w:r>
    </w:p>
    <w:p w14:paraId="18AC19C9" w14:textId="12833ECF" w:rsidR="00A06C38" w:rsidRDefault="00A06C38" w:rsidP="00825877">
      <w:pPr>
        <w:jc w:val="both"/>
        <w:rPr>
          <w:sz w:val="22"/>
          <w:szCs w:val="22"/>
          <w:lang w:val="en-US"/>
        </w:rPr>
      </w:pPr>
      <w:r>
        <w:rPr>
          <w:noProof/>
          <w:sz w:val="22"/>
          <w:szCs w:val="22"/>
          <w:lang w:val="en-US"/>
        </w:rPr>
        <w:lastRenderedPageBreak/>
        <w:drawing>
          <wp:inline distT="0" distB="0" distL="0" distR="0" wp14:anchorId="500D38E8" wp14:editId="0F3B9202">
            <wp:extent cx="5731510" cy="5731510"/>
            <wp:effectExtent l="0" t="0" r="2540" b="2540"/>
            <wp:docPr id="213630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21363027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0E7F164A" w14:textId="63A6C89B" w:rsidR="00A06C38" w:rsidRPr="00A06C38" w:rsidRDefault="00A06C38" w:rsidP="00825877">
      <w:pPr>
        <w:jc w:val="both"/>
        <w:rPr>
          <w:sz w:val="22"/>
          <w:szCs w:val="22"/>
          <w:lang w:val="en-US"/>
        </w:rPr>
      </w:pPr>
      <w:r w:rsidRPr="00A06C38">
        <w:rPr>
          <w:b/>
          <w:bCs/>
          <w:sz w:val="22"/>
          <w:szCs w:val="22"/>
          <w:lang w:val="en-US"/>
        </w:rPr>
        <w:t>Figure 6</w:t>
      </w:r>
      <w:r>
        <w:rPr>
          <w:sz w:val="22"/>
          <w:szCs w:val="22"/>
          <w:lang w:val="en-US"/>
        </w:rPr>
        <w:t>: Data assimilation model priors (green), reconstruction likelihood (yellow) and posterior estimates (red) for the modern case study compared to local measurements (blue).</w:t>
      </w:r>
    </w:p>
    <w:p w14:paraId="6225ED81" w14:textId="3941B164" w:rsidR="00953791" w:rsidRPr="008E464A" w:rsidRDefault="00953791" w:rsidP="00953791">
      <w:pPr>
        <w:jc w:val="both"/>
        <w:rPr>
          <w:sz w:val="22"/>
          <w:szCs w:val="22"/>
          <w:lang w:val="en-US"/>
        </w:rPr>
      </w:pPr>
      <w:r w:rsidRPr="008E464A">
        <w:rPr>
          <w:sz w:val="22"/>
          <w:szCs w:val="22"/>
          <w:lang w:val="en-US"/>
        </w:rPr>
        <w:t>2.3 Sensitivity experiments</w:t>
      </w:r>
    </w:p>
    <w:p w14:paraId="1763AE3D" w14:textId="5F75292B" w:rsidR="00156B07" w:rsidRDefault="00156B07" w:rsidP="00505760">
      <w:pPr>
        <w:pStyle w:val="ListParagraph"/>
        <w:numPr>
          <w:ilvl w:val="1"/>
          <w:numId w:val="1"/>
        </w:numPr>
        <w:jc w:val="both"/>
        <w:rPr>
          <w:sz w:val="22"/>
          <w:szCs w:val="22"/>
          <w:lang w:val="en-GB"/>
        </w:rPr>
      </w:pPr>
      <w:r w:rsidRPr="00256EAA">
        <w:rPr>
          <w:sz w:val="22"/>
          <w:szCs w:val="22"/>
          <w:lang w:val="en-GB"/>
        </w:rPr>
        <w:t>Treatment of uncertainty in time domain</w:t>
      </w:r>
      <w:r w:rsidR="00D03063" w:rsidRPr="00256EAA">
        <w:rPr>
          <w:sz w:val="22"/>
          <w:szCs w:val="22"/>
          <w:lang w:val="en-GB"/>
        </w:rPr>
        <w:t xml:space="preserve"> of proxy data</w:t>
      </w:r>
      <w:r w:rsidR="00256EAA">
        <w:rPr>
          <w:sz w:val="22"/>
          <w:szCs w:val="22"/>
          <w:lang w:val="en-GB"/>
        </w:rPr>
        <w:t xml:space="preserve"> + monthly vs seasonal</w:t>
      </w:r>
    </w:p>
    <w:p w14:paraId="17F2B2E1" w14:textId="56DD2BAA" w:rsidR="00706A20" w:rsidRPr="00256EAA" w:rsidRDefault="00706A20" w:rsidP="00706A20">
      <w:pPr>
        <w:pStyle w:val="ListParagraph"/>
        <w:numPr>
          <w:ilvl w:val="0"/>
          <w:numId w:val="1"/>
        </w:numPr>
        <w:jc w:val="both"/>
        <w:rPr>
          <w:sz w:val="22"/>
          <w:szCs w:val="22"/>
          <w:lang w:val="en-GB"/>
        </w:rPr>
      </w:pPr>
      <w:r>
        <w:rPr>
          <w:sz w:val="22"/>
          <w:szCs w:val="22"/>
          <w:lang w:val="en-GB"/>
        </w:rPr>
        <w:t>Wrapped normal distribution</w:t>
      </w:r>
    </w:p>
    <w:p w14:paraId="3D231A58" w14:textId="66458CD9" w:rsidR="00156B07" w:rsidRPr="00256EAA" w:rsidRDefault="00156B07" w:rsidP="00505760">
      <w:pPr>
        <w:pStyle w:val="ListParagraph"/>
        <w:numPr>
          <w:ilvl w:val="1"/>
          <w:numId w:val="1"/>
        </w:numPr>
        <w:jc w:val="both"/>
        <w:rPr>
          <w:sz w:val="22"/>
          <w:szCs w:val="22"/>
          <w:lang w:val="en-GB"/>
        </w:rPr>
      </w:pPr>
      <w:r w:rsidRPr="00256EAA">
        <w:rPr>
          <w:sz w:val="22"/>
          <w:szCs w:val="22"/>
          <w:lang w:val="en-GB"/>
        </w:rPr>
        <w:t>Treatment of uncertainty in proxy-forward models</w:t>
      </w:r>
    </w:p>
    <w:p w14:paraId="19C62B15" w14:textId="0864AE40" w:rsidR="00156B07" w:rsidRPr="00256EAA" w:rsidRDefault="00156B07" w:rsidP="00505760">
      <w:pPr>
        <w:pStyle w:val="ListParagraph"/>
        <w:numPr>
          <w:ilvl w:val="1"/>
          <w:numId w:val="1"/>
        </w:numPr>
        <w:jc w:val="both"/>
        <w:rPr>
          <w:sz w:val="22"/>
          <w:szCs w:val="22"/>
          <w:lang w:val="en-GB"/>
        </w:rPr>
      </w:pPr>
      <w:r w:rsidRPr="00256EAA">
        <w:rPr>
          <w:sz w:val="22"/>
          <w:szCs w:val="22"/>
          <w:lang w:val="en-GB"/>
        </w:rPr>
        <w:t>pCO2 in model prior</w:t>
      </w:r>
    </w:p>
    <w:p w14:paraId="394D6A87" w14:textId="73DE4E01" w:rsidR="00156B07" w:rsidRPr="00256EAA" w:rsidRDefault="00156B07" w:rsidP="00505760">
      <w:pPr>
        <w:pStyle w:val="ListParagraph"/>
        <w:numPr>
          <w:ilvl w:val="1"/>
          <w:numId w:val="1"/>
        </w:numPr>
        <w:jc w:val="both"/>
        <w:rPr>
          <w:sz w:val="22"/>
          <w:szCs w:val="22"/>
          <w:lang w:val="en-GB"/>
        </w:rPr>
      </w:pPr>
      <w:r w:rsidRPr="00256EAA">
        <w:rPr>
          <w:sz w:val="22"/>
          <w:szCs w:val="22"/>
          <w:lang w:val="en-GB"/>
        </w:rPr>
        <w:t>Assimilation of D47 alone or including d18Oc</w:t>
      </w:r>
    </w:p>
    <w:p w14:paraId="299287C2" w14:textId="40AE816F" w:rsidR="00156B07" w:rsidRPr="00256EAA" w:rsidRDefault="00156B07" w:rsidP="00505760">
      <w:pPr>
        <w:pStyle w:val="ListParagraph"/>
        <w:numPr>
          <w:ilvl w:val="1"/>
          <w:numId w:val="1"/>
        </w:numPr>
        <w:jc w:val="both"/>
        <w:rPr>
          <w:sz w:val="22"/>
          <w:szCs w:val="22"/>
          <w:lang w:val="en-GB"/>
        </w:rPr>
      </w:pPr>
      <w:r w:rsidRPr="00256EAA">
        <w:rPr>
          <w:sz w:val="22"/>
          <w:szCs w:val="22"/>
          <w:lang w:val="en-GB"/>
        </w:rPr>
        <w:t>D18Oc-hydrology transfer function and uncertainty</w:t>
      </w:r>
    </w:p>
    <w:p w14:paraId="0053E9B3" w14:textId="1044E252" w:rsidR="002F3751" w:rsidRPr="00256EAA" w:rsidRDefault="002F3751" w:rsidP="00505760">
      <w:pPr>
        <w:jc w:val="both"/>
        <w:rPr>
          <w:b/>
          <w:bCs/>
          <w:sz w:val="22"/>
          <w:szCs w:val="22"/>
          <w:lang w:val="en-GB"/>
        </w:rPr>
      </w:pPr>
      <w:r w:rsidRPr="00256EAA">
        <w:rPr>
          <w:b/>
          <w:bCs/>
          <w:sz w:val="22"/>
          <w:szCs w:val="22"/>
          <w:lang w:val="en-GB"/>
        </w:rPr>
        <w:t>Results</w:t>
      </w:r>
    </w:p>
    <w:p w14:paraId="4A9DFA1A" w14:textId="675E65C9" w:rsidR="00156B07" w:rsidRPr="00256EAA" w:rsidRDefault="00D03063" w:rsidP="00505760">
      <w:pPr>
        <w:pStyle w:val="ListParagraph"/>
        <w:numPr>
          <w:ilvl w:val="0"/>
          <w:numId w:val="1"/>
        </w:numPr>
        <w:jc w:val="both"/>
        <w:rPr>
          <w:sz w:val="22"/>
          <w:szCs w:val="22"/>
          <w:lang w:val="en-GB"/>
        </w:rPr>
      </w:pPr>
      <w:r w:rsidRPr="00256EAA">
        <w:rPr>
          <w:sz w:val="22"/>
          <w:szCs w:val="22"/>
          <w:lang w:val="en-GB"/>
        </w:rPr>
        <w:t>Fully assembled default posteriors for all case studies</w:t>
      </w:r>
      <w:r w:rsidR="003613F6" w:rsidRPr="00256EAA">
        <w:rPr>
          <w:sz w:val="22"/>
          <w:szCs w:val="22"/>
          <w:lang w:val="en-GB"/>
        </w:rPr>
        <w:t xml:space="preserve"> + compare data and model information on different parameters</w:t>
      </w:r>
    </w:p>
    <w:p w14:paraId="16A5EAFB" w14:textId="61449AD7" w:rsidR="00D03063" w:rsidRPr="00256EAA"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02D1C136" w14:textId="28EFE80C" w:rsidR="00D03063" w:rsidRPr="00256EAA" w:rsidRDefault="00D03063" w:rsidP="00505760">
      <w:pPr>
        <w:pStyle w:val="ListParagraph"/>
        <w:numPr>
          <w:ilvl w:val="0"/>
          <w:numId w:val="1"/>
        </w:numPr>
        <w:jc w:val="both"/>
        <w:rPr>
          <w:sz w:val="22"/>
          <w:szCs w:val="22"/>
          <w:lang w:val="en-GB"/>
        </w:rPr>
      </w:pPr>
      <w:r w:rsidRPr="00256EAA">
        <w:rPr>
          <w:sz w:val="22"/>
          <w:szCs w:val="22"/>
          <w:lang w:val="en-GB"/>
        </w:rPr>
        <w:lastRenderedPageBreak/>
        <w:t>Sensitivity of PWP result to different pCO2 models</w:t>
      </w:r>
    </w:p>
    <w:p w14:paraId="09F57757" w14:textId="659F236C" w:rsidR="00D03063" w:rsidRPr="00256EAA"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3B0B4B58" w:rsidR="00D07D4B" w:rsidRPr="00256EAA" w:rsidRDefault="00D07D4B" w:rsidP="00505760">
      <w:pPr>
        <w:pStyle w:val="ListParagraph"/>
        <w:numPr>
          <w:ilvl w:val="0"/>
          <w:numId w:val="1"/>
        </w:numPr>
        <w:jc w:val="both"/>
        <w:rPr>
          <w:sz w:val="22"/>
          <w:szCs w:val="22"/>
          <w:lang w:val="en-GB"/>
        </w:rPr>
      </w:pPr>
      <w:r w:rsidRPr="00256EAA">
        <w:rPr>
          <w:sz w:val="22"/>
          <w:szCs w:val="22"/>
          <w:lang w:val="en-GB"/>
        </w:rPr>
        <w:t>Any technical improvements in the DA script needed to better assemble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41DAB213" w14:textId="77777777" w:rsidR="009F1935" w:rsidRDefault="00B053FA" w:rsidP="009F1935">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9F1935">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7DEE5BEA" w14:textId="77777777" w:rsidR="009F1935" w:rsidRDefault="009F1935" w:rsidP="009F1935">
      <w:pPr>
        <w:pStyle w:val="Bibliography"/>
      </w:pPr>
      <w:r>
        <w:t>Appelblad, P. K., Rodushkin, I., and Baxter, D. C.: Sources of Uncertainty in Isotope Ratio Measurements by Inductively Coupled Plasma Mass Spectrometry, Anal. Chem., 73, 2911–2919, https://doi.org/10.1021/ac001537y, 2001.</w:t>
      </w:r>
    </w:p>
    <w:p w14:paraId="3C49181E" w14:textId="77777777" w:rsidR="009F1935" w:rsidRDefault="009F1935" w:rsidP="009F1935">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5B2F1754" w14:textId="77777777" w:rsidR="009F1935" w:rsidRDefault="009F1935" w:rsidP="009F1935">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389EE8F4" w14:textId="77777777" w:rsidR="009F1935" w:rsidRDefault="009F1935" w:rsidP="009F1935">
      <w:pPr>
        <w:pStyle w:val="Bibliography"/>
      </w:pPr>
      <w:r>
        <w:t>Bova, S., Rosenthal, Y., Liu, Z., Godad, S. P., and Yan, M.: Seasonal origin of the thermal maxima at the Holocene and the last interglacial, Nature, 589, 548–553, https://doi.org/10.1038/s41586-020-03155-x, 2021.</w:t>
      </w:r>
    </w:p>
    <w:p w14:paraId="435BA0A6" w14:textId="77777777" w:rsidR="009F1935" w:rsidRDefault="009F1935" w:rsidP="009F1935">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2D2EC923" w14:textId="77777777" w:rsidR="009F1935" w:rsidRDefault="009F1935" w:rsidP="009F1935">
      <w:pPr>
        <w:pStyle w:val="Bibliography"/>
      </w:pPr>
      <w:r>
        <w:lastRenderedPageBreak/>
        <w:t>Burke, K. D., Williams, J. W., Chandler, M. A., Haywood, A. M., Lunt, D. J., and Otto-Bliesner, B. L.: Pliocene and Eocene provide best analogs for near-future climates, PNAS, 115, 13288–13293, https://doi.org/10.1073/pnas.1809600115, 2018.</w:t>
      </w:r>
    </w:p>
    <w:p w14:paraId="76E70C78" w14:textId="77777777" w:rsidR="009F1935" w:rsidRDefault="009F1935" w:rsidP="009F1935">
      <w:pPr>
        <w:pStyle w:val="Bibliography"/>
      </w:pPr>
      <w:r>
        <w:t>Caldarescu, D., Sadatzki, H., Andersson, C., Schäfer, P., Fortunato, H., and Meckler, A. N.: Clumped Isotope Data from Caldarescu et al 2020 Geochimica et Cosmochimica Acta, 2020.</w:t>
      </w:r>
    </w:p>
    <w:p w14:paraId="18D63FBF" w14:textId="77777777" w:rsidR="009F1935" w:rsidRDefault="009F1935" w:rsidP="009F1935">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6E584871" w14:textId="77777777" w:rsidR="009F1935" w:rsidRDefault="009F1935" w:rsidP="009F1935">
      <w:pPr>
        <w:pStyle w:val="Bibliography"/>
      </w:pPr>
      <w:r>
        <w:t>Carré, M. and Cheddadi, R.: Seasonality in long-term climate change, Quaternaire. Revue de l’Association française pour l’étude du Quaternaire, 28, 173–177, https://doi.org/10.4000/quaternaire.8018, 2017.</w:t>
      </w:r>
    </w:p>
    <w:p w14:paraId="4BE010E2" w14:textId="77777777" w:rsidR="009F1935" w:rsidRDefault="009F1935" w:rsidP="009F1935">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6DF4956D" w14:textId="77777777" w:rsidR="009F1935" w:rsidRDefault="009F1935" w:rsidP="009F1935">
      <w:pPr>
        <w:pStyle w:val="Bibliography"/>
      </w:pPr>
      <w:r>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B1562F1" w14:textId="77777777" w:rsidR="009F1935" w:rsidRDefault="009F1935" w:rsidP="009F1935">
      <w:pPr>
        <w:pStyle w:val="Bibliography"/>
      </w:pPr>
      <w:r>
        <w:t>De Winter, N., Snoeck, C., and Claeys, P.: Seasonal cyclicity in trace elements and stable isotopes of modern horse enamel, PLoS ONE, 11, 1, https://doi.org/10.1371/journal.pone.0166678, 2016.</w:t>
      </w:r>
    </w:p>
    <w:p w14:paraId="5E81AA90" w14:textId="77777777" w:rsidR="009F1935" w:rsidRDefault="009F1935" w:rsidP="009F1935">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F794F8C" w14:textId="77777777" w:rsidR="009F1935" w:rsidRDefault="009F1935" w:rsidP="009F1935">
      <w:pPr>
        <w:pStyle w:val="Bibliography"/>
      </w:pPr>
      <w:r>
        <w:t>Evans, M. N., Tolwinski-Ward, S. E., Thompson, D. M., and Anchukaitis, K. J.: Applications of proxy system modeling in high resolution paleoclimatology, Quaternary Science Reviews, 76, 16–28, https://doi.org/10.1016/j.quascirev.2013.05.024, 2013.</w:t>
      </w:r>
    </w:p>
    <w:p w14:paraId="5BED83A7" w14:textId="77777777" w:rsidR="009F1935" w:rsidRDefault="009F1935" w:rsidP="009F1935">
      <w:pPr>
        <w:pStyle w:val="Bibliography"/>
      </w:pPr>
      <w:r>
        <w:t xml:space="preserve">Eyring, V., Bony, S., Meehl, G. A., Senior, C. A., Stevens, B., Stouffer, R. J., and Taylor, K. E.: Overview of the Coupled Model Intercomparison Project Phase 6 (CMIP6) </w:t>
      </w:r>
      <w:r>
        <w:lastRenderedPageBreak/>
        <w:t>experimental design and organization, Geoscientific Model Development, 9, 1937–1958, https://doi.org/10.5194/gmd-9-1937-2016, 2016.</w:t>
      </w:r>
    </w:p>
    <w:p w14:paraId="41E076AF" w14:textId="77777777" w:rsidR="009F1935" w:rsidRDefault="009F1935" w:rsidP="009F1935">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5B35E952" w14:textId="77777777" w:rsidR="009F1935" w:rsidRDefault="009F1935" w:rsidP="009F1935">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3E44CF26" w14:textId="77777777" w:rsidR="009F1935" w:rsidRDefault="009F1935" w:rsidP="009F1935">
      <w:pPr>
        <w:pStyle w:val="Bibliography"/>
      </w:pPr>
      <w:r>
        <w:t>Franke, J., Brönnimann, S., Bhend, J., and Brugnara, Y.: A monthly global paleo-reanalysis of the atmosphere from 1600 to 2005 for studying past climatic variations, Sci Data, 4, 170076, https://doi.org/10.1038/sdata.2017.76, 2017.</w:t>
      </w:r>
    </w:p>
    <w:p w14:paraId="70CBAEE8" w14:textId="77777777" w:rsidR="009F1935" w:rsidRDefault="009F1935" w:rsidP="009F1935">
      <w:pPr>
        <w:pStyle w:val="Bibliography"/>
      </w:pPr>
      <w:r>
        <w:t>Fricke, H. C., Clyde, W. C., and O’Neil, J. R.: Intra-tooth variations in δ 18 O (PO 4) of mammalian tooth enamel as a record of seasonal variations in continental climate variables, Geochimica et Cosmochimica Acta, 62, 1839–1850, 1998.</w:t>
      </w:r>
    </w:p>
    <w:p w14:paraId="5101ECC5" w14:textId="77777777" w:rsidR="009F1935" w:rsidRDefault="009F1935" w:rsidP="009F1935">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51E53062" w14:textId="77777777" w:rsidR="009F1935" w:rsidRDefault="009F1935" w:rsidP="009F1935">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07E123D" w14:textId="77777777" w:rsidR="009F1935" w:rsidRDefault="009F1935" w:rsidP="009F1935">
      <w:pPr>
        <w:pStyle w:val="Bibliography"/>
      </w:pPr>
      <w:r>
        <w:t>Gély, J. P. and Merle, D.: La stratigraphie et la paléogéographie du Lutétien en France, Stratotype Lutétien. Muséum National d’Histoire Naturelle, Paris, 182–227, 2008.</w:t>
      </w:r>
    </w:p>
    <w:p w14:paraId="5F8EAAEA" w14:textId="77777777" w:rsidR="009F1935" w:rsidRDefault="009F1935" w:rsidP="009F1935">
      <w:pPr>
        <w:pStyle w:val="Bibliography"/>
      </w:pPr>
      <w:r>
        <w:t>GitHub and OpenAI: GitHub Copilot, 2025.</w:t>
      </w:r>
    </w:p>
    <w:p w14:paraId="7F3FBD67" w14:textId="77777777" w:rsidR="009F1935" w:rsidRDefault="009F1935" w:rsidP="009F1935">
      <w:pPr>
        <w:pStyle w:val="Bibliography"/>
      </w:pPr>
      <w:r>
        <w:t>Gonfiantini, R., Stichler, W., and Rozanski, K.: Standards and intercomparison materials distributed by the International Atomic Energy Agency for stable isotope measurements, 1995.</w:t>
      </w:r>
    </w:p>
    <w:p w14:paraId="4B5215EC" w14:textId="77777777" w:rsidR="009F1935" w:rsidRDefault="009F1935" w:rsidP="009F1935">
      <w:pPr>
        <w:pStyle w:val="Bibliography"/>
      </w:pPr>
      <w:r>
        <w:t xml:space="preserve">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w:t>
      </w:r>
      <w:r>
        <w:lastRenderedPageBreak/>
        <w:t>Temperature During the Early Eocene, Paleoceanography and Paleoclimatology, 38, e2022PA004532, https://doi.org/10.1029/2022PA004532, 2023.</w:t>
      </w:r>
    </w:p>
    <w:p w14:paraId="271FE22B" w14:textId="77777777" w:rsidR="009F1935" w:rsidRDefault="009F1935" w:rsidP="009F1935">
      <w:pPr>
        <w:pStyle w:val="Bibliography"/>
      </w:pPr>
      <w:r>
        <w:t>Grossman, E. L. and Ku, T.-L.: Oxygen and carbon isotope fractionation in biogenic aragonite: temperature effects, Chemical Geology: Isotope Geoscience section, 59, 59–74, 1986.</w:t>
      </w:r>
    </w:p>
    <w:p w14:paraId="0D344086" w14:textId="77777777" w:rsidR="009F1935" w:rsidRDefault="009F1935" w:rsidP="009F1935">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289C114C" w14:textId="77777777" w:rsidR="009F1935" w:rsidRDefault="009F1935" w:rsidP="009F1935">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0650686E" w14:textId="77777777" w:rsidR="009F1935" w:rsidRDefault="009F1935" w:rsidP="009F1935">
      <w:pPr>
        <w:pStyle w:val="Bibliography"/>
      </w:pPr>
      <w:r>
        <w:t>Harwood, A. J. P., Dennis, P. F., Marca, A. D., Pilling, G. M., and Millner, R. S.: The oxygen isotope composition of water masses within the North Sea, Estuarine, Coastal and Shelf Science, 78, 353–359, https://doi.org/10.1016/j.ecss.2007.12.010, 2008.</w:t>
      </w:r>
    </w:p>
    <w:p w14:paraId="55C2F2F1" w14:textId="77777777" w:rsidR="009F1935" w:rsidRDefault="009F1935" w:rsidP="009F1935">
      <w:pPr>
        <w:pStyle w:val="Bibliography"/>
      </w:pPr>
      <w:r>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32EEDD1F" w14:textId="77777777" w:rsidR="009F1935" w:rsidRDefault="009F1935" w:rsidP="009F1935">
      <w:pPr>
        <w:pStyle w:val="Bibliography"/>
      </w:pPr>
      <w:r>
        <w:t>He, T., Kemp, D. B., Li, J., and Ruhl, M.: Paleoenvironmental changes across the Mesozoic–Paleogene hyperthermal events, Global and Planetary Change, 222, 104058, https://doi.org/10.1016/j.gloplacha.2023.104058, 2023.</w:t>
      </w:r>
    </w:p>
    <w:p w14:paraId="10A5B260" w14:textId="77777777" w:rsidR="009F1935" w:rsidRDefault="009F1935" w:rsidP="009F1935">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3FB8C49F" w14:textId="77777777" w:rsidR="009F1935" w:rsidRDefault="009F1935" w:rsidP="009F1935">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2E5BE6FF" w14:textId="77777777" w:rsidR="009F1935" w:rsidRDefault="009F1935" w:rsidP="009F1935">
      <w:pPr>
        <w:pStyle w:val="Bibliography"/>
      </w:pPr>
      <w:r>
        <w:t>van Hinsbergen, D. J., de Groot, L. V., van Schaik, S. J., Spakman, W., Bijl, P. K., Sluijs, A., Langereis, C. G., and Brinkhuis, H.: A paleolatitude calculator for paleoclimate studies, PloS one, 10, e0126946, 2015.</w:t>
      </w:r>
    </w:p>
    <w:p w14:paraId="16B9994F" w14:textId="77777777" w:rsidR="009F1935" w:rsidRDefault="009F1935" w:rsidP="009F1935">
      <w:pPr>
        <w:pStyle w:val="Bibliography"/>
      </w:pPr>
      <w:r>
        <w:t xml:space="preserve">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w:t>
      </w:r>
      <w:r>
        <w:lastRenderedPageBreak/>
        <w:t>E., Matthews, J. B. R., Maycock, T. K., Waterfield, T., Yelekçi, Ö., Yu, R., and Zhou, B., Cambridge University Press, 2021.</w:t>
      </w:r>
    </w:p>
    <w:p w14:paraId="693B28EA" w14:textId="77777777" w:rsidR="009F1935" w:rsidRDefault="009F1935" w:rsidP="009F1935">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1D9D8236" w14:textId="77777777" w:rsidR="009F1935" w:rsidRDefault="009F1935" w:rsidP="009F1935">
      <w:pPr>
        <w:pStyle w:val="Bibliography"/>
      </w:pPr>
      <w:r>
        <w:t>Ivany, L. C.: Reconstructing paleoseasonality from accretionary skeletal carbonates—challenges and opportunities, The Paleontological Society Papers, 18, 133–166, 2012.</w:t>
      </w:r>
    </w:p>
    <w:p w14:paraId="3E9905FE" w14:textId="77777777" w:rsidR="009F1935" w:rsidRDefault="009F1935" w:rsidP="009F1935">
      <w:pPr>
        <w:pStyle w:val="Bibliography"/>
      </w:pPr>
      <w:r>
        <w:t>Ivany, L. C. and Judd, E. J.: Deciphering Temperature Seasonality in Earth’s Ancient Oceans, Annual Review of Earth and Planetary Sciences, 50, 123–152, https://doi.org/10.1146/annurev-earth-032320-095156, 2022.</w:t>
      </w:r>
    </w:p>
    <w:p w14:paraId="0F87B9D8" w14:textId="77777777" w:rsidR="009F1935" w:rsidRDefault="009F1935" w:rsidP="009F1935">
      <w:pPr>
        <w:pStyle w:val="Bibliography"/>
      </w:pPr>
      <w:r>
        <w:t>Ivany, L. C. and Runnegar, B.: Early Permian seasonality from bivalve δ18O and implications for the oxygen isotopic composition of seawater, Geology, 38, 1027–1030, 2010.</w:t>
      </w:r>
    </w:p>
    <w:p w14:paraId="64F13B67" w14:textId="77777777" w:rsidR="009F1935" w:rsidRDefault="009F1935" w:rsidP="009F1935">
      <w:pPr>
        <w:pStyle w:val="Bibliography"/>
      </w:pPr>
      <w:r>
        <w:t>Judd, E. J., Bhattacharya, T., and Ivany, L. C.: A Dynamical Framework for Interpreting Ancient Sea Surface Temperatures, Geophysical Research Letters, 47, e2020GL089044, https://doi.org/10.1029/2020GL089044, 2020.</w:t>
      </w:r>
    </w:p>
    <w:p w14:paraId="1580D781" w14:textId="77777777" w:rsidR="009F1935" w:rsidRDefault="009F1935" w:rsidP="009F1935">
      <w:pPr>
        <w:pStyle w:val="Bibliography"/>
      </w:pPr>
      <w:r>
        <w:t>Judd, E. J., Tierney, J. E., Lunt, D. J., Montañez, I. P., Huber, B. T., Wing, S. L., and Valdes, P. J.: A 485-million-year history of Earth’s surface temperature, Science, 385, eadk3705, https://doi.org/10.1126/science.adk3705, 2024.</w:t>
      </w:r>
    </w:p>
    <w:p w14:paraId="0AD837B9" w14:textId="77777777" w:rsidR="009F1935" w:rsidRDefault="009F1935" w:rsidP="009F1935">
      <w:pPr>
        <w:pStyle w:val="Bibliography"/>
      </w:pPr>
      <w:r>
        <w:t>Kalman, R. E.: A New Approach to Linear Filtering and Prediction Problems, J. Basic Eng, 82, 35–45, https://doi.org/10.1115/1.3662552, 1960.</w:t>
      </w:r>
    </w:p>
    <w:p w14:paraId="23DE6F1A" w14:textId="77777777" w:rsidR="009F1935" w:rsidRDefault="009F1935" w:rsidP="009F1935">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27590972" w14:textId="77777777" w:rsidR="009F1935" w:rsidRDefault="009F1935" w:rsidP="009F1935">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DCC1B74" w14:textId="77777777" w:rsidR="009F1935" w:rsidRDefault="009F1935" w:rsidP="009F1935">
      <w:pPr>
        <w:pStyle w:val="Bibliography"/>
      </w:pPr>
      <w:r>
        <w:t>Lazareth, C. E., Willenz, P., Navez, J., Keppens, E., Dehairs, F., and André, L.: Sclerosponges as a new potential recorder of environmental changes: Lead in Ceratoporella nicholsoni, Geology, 28, 515–518, 2000.</w:t>
      </w:r>
    </w:p>
    <w:p w14:paraId="3A45FE18" w14:textId="77777777" w:rsidR="009F1935" w:rsidRDefault="009F1935" w:rsidP="009F1935">
      <w:pPr>
        <w:pStyle w:val="Bibliography"/>
      </w:pPr>
      <w:r>
        <w:lastRenderedPageBreak/>
        <w:t>Liu, Z., Zhu, J., Rosenthal, Y., Zhang, X., Otto-Bliesner, B. L., Timmermann, A., Smith, R. S., Lohmann, G., Zheng, W., and Elison Timm, O.: The Holocene temperature conundrum, Proceedings of the National Academy of Sciences, 111, E3501–E3505, https://doi.org/10.1073/pnas.1407229111, 2014.</w:t>
      </w:r>
    </w:p>
    <w:p w14:paraId="2A31A71A" w14:textId="77777777" w:rsidR="009F1935" w:rsidRDefault="009F1935" w:rsidP="009F1935">
      <w:pPr>
        <w:pStyle w:val="Bibliography"/>
      </w:pPr>
      <w:r>
        <w:t>Locarnini, R. A., Mishonov, A. V., Antonov, J. I., Boyer, T. P., Garcia, H. E., Baranova, O. K., Zweng, M. M., Paver, C. R., Reagan, J. R., Johnson, D. R., Hamilton, M., and Seidov, D.: World ocean atlas 2013. Volume 1, Temperature, U.S. Department of Commerce, National Oceanic and Atmospheric Administration, National Environmental Satellite, Data and Information Service, https://doi.org/10.7289/v55x26vd, 2013.</w:t>
      </w:r>
    </w:p>
    <w:p w14:paraId="4DE455C1" w14:textId="77777777" w:rsidR="009F1935" w:rsidRDefault="009F1935" w:rsidP="009F1935">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BBAA7A0" w14:textId="77777777" w:rsidR="009F1935" w:rsidRDefault="009F1935" w:rsidP="009F1935">
      <w:pPr>
        <w:pStyle w:val="Bibliography"/>
      </w:pPr>
      <w:r>
        <w:t>Mann, M. E., Rutherford, S., Wahl, E., and Ammann, C.: Robustness of proxy-based climate field reconstruction methods, Journal of Geophysical Research: Atmospheres, 112, https://doi.org/10.1029/2006JD008272, 2007.</w:t>
      </w:r>
    </w:p>
    <w:p w14:paraId="52BD8F26" w14:textId="77777777" w:rsidR="009F1935" w:rsidRDefault="009F1935" w:rsidP="009F1935">
      <w:pPr>
        <w:pStyle w:val="Bibliography"/>
      </w:pPr>
      <w:r>
        <w:t>McCulloch, M. T., Winter, A., Sherman, C. E., and Trotter, J. A.: 300 years of sclerosponge thermometry shows global warming has exceeded 1.5 °C, Nat. Clim. Chang., 14, 171–177, https://doi.org/10.1038/s41558-023-01919-7, 2024.</w:t>
      </w:r>
    </w:p>
    <w:p w14:paraId="4D297F78" w14:textId="77777777" w:rsidR="009F1935" w:rsidRDefault="009F1935" w:rsidP="009F1935">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4C0BF031" w14:textId="77777777" w:rsidR="009F1935" w:rsidRDefault="009F1935" w:rsidP="009F1935">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010A5A3A" w14:textId="77777777" w:rsidR="009F1935" w:rsidRDefault="009F1935" w:rsidP="009F1935">
      <w:pPr>
        <w:pStyle w:val="Bibliography"/>
      </w:pPr>
      <w:r>
        <w:t>Mii, H.-S. and Grossman, E. L.: Late Pennsylvanian seasonality reflected in the 18O and elemental composition of a brachiopod shell, Geology, 22, 661–664, https://doi.org/10.1130/0091-7613(1994)022%253C0661:LPSRIT%253E2.3.CO;2, 1994.</w:t>
      </w:r>
    </w:p>
    <w:p w14:paraId="05340F0F" w14:textId="77777777" w:rsidR="009F1935" w:rsidRDefault="009F1935" w:rsidP="009F1935">
      <w:pPr>
        <w:pStyle w:val="Bibliography"/>
      </w:pPr>
      <w:r>
        <w:t>Okazaki, A. and Yoshimura, K.: Development and evaluation of a system of proxy data assimilation for paleoclimate reconstruction, Climate of the Past, 13, 379–393, https://doi.org/10.5194/cp-13-379-2017, 2017.</w:t>
      </w:r>
    </w:p>
    <w:p w14:paraId="39325777" w14:textId="77777777" w:rsidR="009F1935" w:rsidRDefault="009F1935" w:rsidP="009F1935">
      <w:pPr>
        <w:pStyle w:val="Bibliography"/>
      </w:pPr>
      <w:r>
        <w:t>Osman, M. B., Tierney, J. E., Zhu, J., Tardif, R., Hakim, G. J., King, J., and Poulsen, C. J.: Globally resolved surface temperatures since the Last Glacial Maximum, Nature, 599, 239–244, https://doi.org/10.1038/s41586-021-03984-4, 2021.</w:t>
      </w:r>
    </w:p>
    <w:p w14:paraId="5B524B3A" w14:textId="77777777" w:rsidR="009F1935" w:rsidRDefault="009F1935" w:rsidP="009F1935">
      <w:pPr>
        <w:pStyle w:val="Bibliography"/>
      </w:pPr>
      <w:r>
        <w:lastRenderedPageBreak/>
        <w:t>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7F1CC63C" w14:textId="77777777" w:rsidR="009F1935" w:rsidRDefault="009F1935" w:rsidP="009F1935">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0DEDE7A8" w14:textId="77777777" w:rsidR="009F1935" w:rsidRDefault="009F1935" w:rsidP="009F1935">
      <w:pPr>
        <w:pStyle w:val="Bibliography"/>
      </w:pPr>
      <w:r>
        <w:t>Python Software Foundation: Python Language, 2025.</w:t>
      </w:r>
    </w:p>
    <w:p w14:paraId="7ADCD53F" w14:textId="77777777" w:rsidR="009F1935" w:rsidRDefault="009F1935" w:rsidP="009F1935">
      <w:pPr>
        <w:pStyle w:val="Bibliography"/>
      </w:pPr>
      <w:r>
        <w:t>Reagan, J. R., Seidov, D., Wang, Z., Dukhovskoy, D., Boyer, T. P., Locarnini, R. A., Baranova, O. K., Mishonov, A. V., Garcia, H. E., and Bouchard, C.: World ocean atlas 2023, volume 2: salinity, 2024.</w:t>
      </w:r>
    </w:p>
    <w:p w14:paraId="04EDBB17" w14:textId="77777777" w:rsidR="009F1935" w:rsidRDefault="009F1935" w:rsidP="009F1935">
      <w:pPr>
        <w:pStyle w:val="Bibliography"/>
      </w:pPr>
      <w:r>
        <w:t>Sharp, Z. D. and Cerling, T. E.: Fossil isotope records of seasonal climate and ecology: straight from the horse’s mouth, Geology, 26, 219–222, 1998.</w:t>
      </w:r>
    </w:p>
    <w:p w14:paraId="2F2F15BB" w14:textId="77777777" w:rsidR="009F1935" w:rsidRDefault="009F1935" w:rsidP="009F1935">
      <w:pPr>
        <w:pStyle w:val="Bibliography"/>
      </w:pPr>
      <w:r>
        <w:t>Smithsonian Tropical Research Institute: SST Monitoring - Physical Monitoring | Smithsonian Tropical Research Institute, 2025.</w:t>
      </w:r>
    </w:p>
    <w:p w14:paraId="3C617F80" w14:textId="77777777" w:rsidR="009F1935" w:rsidRDefault="009F1935" w:rsidP="009F1935">
      <w:pPr>
        <w:pStyle w:val="Bibliography"/>
      </w:pPr>
      <w:r>
        <w:t>Steiger, N. J., Hakim, G. J., Steig, E. J., Battisti, D. S., and Roe, G. H.: Assimilation of Time-Averaged Pseudoproxies for Climate Reconstruction, Journal of Climate, 27, 426–441, https://doi.org/10.1175/JCLI-D-12-00693.1, 2014.</w:t>
      </w:r>
    </w:p>
    <w:p w14:paraId="03651FCE" w14:textId="77777777" w:rsidR="009F1935" w:rsidRDefault="009F1935" w:rsidP="009F1935">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5981CE31" w14:textId="77777777" w:rsidR="009F1935" w:rsidRDefault="009F1935" w:rsidP="009F1935">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63D01C05" w14:textId="77777777" w:rsidR="009F1935" w:rsidRDefault="009F1935" w:rsidP="009F1935">
      <w:pPr>
        <w:pStyle w:val="Bibliography"/>
      </w:pPr>
      <w:r>
        <w:t>Van Horebeek, N., de Winter, N. J., Baatsen, M., Ziegler, M., Speijer, R. P., and Vellekoop, J.: A European monsoon-like climate in a warmhouse world, Nat Commun, 16, 9207, https://doi.org/10.1038/s41467-025-64241-0, 2025.</w:t>
      </w:r>
    </w:p>
    <w:p w14:paraId="41CFCD13" w14:textId="77777777" w:rsidR="009F1935" w:rsidRDefault="009F1935" w:rsidP="009F1935">
      <w:pPr>
        <w:pStyle w:val="Bibliography"/>
      </w:pPr>
      <w:r>
        <w:t xml:space="preserve">Van Rampelbergh, M., Verheyden, S., Allan, M., Quinif, Y., Cheng, H., Edwards, L., Keppens, E., and Claeys, P.: A 500 year seasonally resolved </w:t>
      </w:r>
      <w:r>
        <w:lastRenderedPageBreak/>
        <w:t>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5BFB22E6" w14:textId="77777777" w:rsidR="009F1935" w:rsidRDefault="009F1935" w:rsidP="009F1935">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4C76B8F5" w14:textId="77777777" w:rsidR="009F1935" w:rsidRDefault="009F1935" w:rsidP="009F1935">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01A25BF6" w14:textId="77777777" w:rsidR="009F1935" w:rsidRDefault="009F1935" w:rsidP="009F1935">
      <w:pPr>
        <w:pStyle w:val="Bibliography"/>
      </w:pPr>
      <w:r>
        <w:t>Watanabe, T., Winter, A., and Oba, T.: Seasonal changes in sea surface temperature and salinity during the Little Ice Age in the Caribbean Sea deduced from Mg/Ca and 18O/16O ratios in corals, Marine Geology, 173, 21–35, 2001.</w:t>
      </w:r>
    </w:p>
    <w:p w14:paraId="4CAE8E62" w14:textId="77777777" w:rsidR="009F1935" w:rsidRDefault="009F1935" w:rsidP="009F1935">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5F993146" w14:textId="77777777" w:rsidR="009F1935" w:rsidRDefault="009F1935" w:rsidP="009F1935">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13043069" w14:textId="77777777" w:rsidR="009F1935" w:rsidRDefault="009F1935" w:rsidP="009F1935">
      <w:pPr>
        <w:pStyle w:val="Bibliography"/>
      </w:pPr>
      <w:r>
        <w:t>de Winter, N. J.: nielsjdewinter/SeasonalDA_script, 2025.</w:t>
      </w:r>
    </w:p>
    <w:p w14:paraId="22C1E7CA" w14:textId="77777777" w:rsidR="009F1935" w:rsidRDefault="009F1935" w:rsidP="009F1935">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03E5FA57" w14:textId="77777777" w:rsidR="009F1935" w:rsidRDefault="009F1935" w:rsidP="009F1935">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2020a.</w:t>
      </w:r>
    </w:p>
    <w:p w14:paraId="28C199CC" w14:textId="77777777" w:rsidR="009F1935" w:rsidRDefault="009F1935" w:rsidP="009F1935">
      <w:pPr>
        <w:pStyle w:val="Bibliography"/>
      </w:pPr>
      <w:r>
        <w:t xml:space="preserve">de Winter, N. J., Vellekoop, J., Clark, A. J., Stassen, P., Speijer, R. P., and Claeys, P.: The giant marine gastropod Campanile giganteum (Lamarck, 1804) as a high-resolution </w:t>
      </w:r>
      <w:r>
        <w:lastRenderedPageBreak/>
        <w:t>archive of seasonality in the Eocene greenhouse world, Geochemistry, Geophysics, Geosystems, 21, e2019GC008794, https://doi.org/10.1029/2019GC008794, 2020b.</w:t>
      </w:r>
    </w:p>
    <w:p w14:paraId="2635F7CF" w14:textId="77777777" w:rsidR="009F1935" w:rsidRDefault="009F1935" w:rsidP="009F1935">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7F708BB9" w14:textId="77777777" w:rsidR="009F1935" w:rsidRDefault="009F1935" w:rsidP="009F1935">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1BAD3C02" w14:textId="77777777" w:rsidR="009F1935" w:rsidRDefault="009F1935" w:rsidP="009F1935">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2BC1D147"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1"/>
  </w:num>
  <w:num w:numId="2" w16cid:durableId="773672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776D2"/>
    <w:rsid w:val="00093AC9"/>
    <w:rsid w:val="000D1EFE"/>
    <w:rsid w:val="0013639F"/>
    <w:rsid w:val="00136807"/>
    <w:rsid w:val="00156B07"/>
    <w:rsid w:val="00185E85"/>
    <w:rsid w:val="001966CD"/>
    <w:rsid w:val="001A570A"/>
    <w:rsid w:val="001E293D"/>
    <w:rsid w:val="001E50D0"/>
    <w:rsid w:val="001F00C1"/>
    <w:rsid w:val="00203C6E"/>
    <w:rsid w:val="00256EAA"/>
    <w:rsid w:val="00261B2C"/>
    <w:rsid w:val="00273730"/>
    <w:rsid w:val="002A7F75"/>
    <w:rsid w:val="002B6CF9"/>
    <w:rsid w:val="002E575F"/>
    <w:rsid w:val="002F3751"/>
    <w:rsid w:val="003266CB"/>
    <w:rsid w:val="003334B1"/>
    <w:rsid w:val="003613F6"/>
    <w:rsid w:val="0036247F"/>
    <w:rsid w:val="003A25DA"/>
    <w:rsid w:val="003D0BEF"/>
    <w:rsid w:val="003D191A"/>
    <w:rsid w:val="003F32EB"/>
    <w:rsid w:val="003F4DA4"/>
    <w:rsid w:val="004019EA"/>
    <w:rsid w:val="0040490B"/>
    <w:rsid w:val="0047651E"/>
    <w:rsid w:val="00495FA3"/>
    <w:rsid w:val="004F30F0"/>
    <w:rsid w:val="00505760"/>
    <w:rsid w:val="005936F0"/>
    <w:rsid w:val="005A4F83"/>
    <w:rsid w:val="006C1CEB"/>
    <w:rsid w:val="006E638A"/>
    <w:rsid w:val="00706A20"/>
    <w:rsid w:val="0074454F"/>
    <w:rsid w:val="0074699D"/>
    <w:rsid w:val="007A06F2"/>
    <w:rsid w:val="007C5671"/>
    <w:rsid w:val="007D34B4"/>
    <w:rsid w:val="007D7503"/>
    <w:rsid w:val="00825877"/>
    <w:rsid w:val="0086443C"/>
    <w:rsid w:val="008E464A"/>
    <w:rsid w:val="008F4501"/>
    <w:rsid w:val="0095306F"/>
    <w:rsid w:val="00953791"/>
    <w:rsid w:val="00984D32"/>
    <w:rsid w:val="009A54D2"/>
    <w:rsid w:val="009F0A30"/>
    <w:rsid w:val="009F1935"/>
    <w:rsid w:val="00A06C38"/>
    <w:rsid w:val="00A0729E"/>
    <w:rsid w:val="00A43638"/>
    <w:rsid w:val="00A8482D"/>
    <w:rsid w:val="00A90835"/>
    <w:rsid w:val="00AE4C39"/>
    <w:rsid w:val="00B053FA"/>
    <w:rsid w:val="00B76605"/>
    <w:rsid w:val="00B9176A"/>
    <w:rsid w:val="00BB6B72"/>
    <w:rsid w:val="00BF3E88"/>
    <w:rsid w:val="00C34200"/>
    <w:rsid w:val="00C56E81"/>
    <w:rsid w:val="00D03063"/>
    <w:rsid w:val="00D07D4B"/>
    <w:rsid w:val="00D17E14"/>
    <w:rsid w:val="00D36236"/>
    <w:rsid w:val="00DE1E1D"/>
    <w:rsid w:val="00E030B2"/>
    <w:rsid w:val="00E15706"/>
    <w:rsid w:val="00E17C34"/>
    <w:rsid w:val="00E62E6C"/>
    <w:rsid w:val="00EE06A0"/>
    <w:rsid w:val="00EF23F4"/>
    <w:rsid w:val="00EF2CE9"/>
    <w:rsid w:val="00F4367D"/>
    <w:rsid w:val="00F534D5"/>
    <w:rsid w:val="00F764FB"/>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18</Pages>
  <Words>46157</Words>
  <Characters>263097</Characters>
  <Application>Microsoft Office Word</Application>
  <DocSecurity>0</DocSecurity>
  <Lines>2192</Lines>
  <Paragraphs>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32</cp:revision>
  <dcterms:created xsi:type="dcterms:W3CDTF">2025-05-14T15:12:00Z</dcterms:created>
  <dcterms:modified xsi:type="dcterms:W3CDTF">2025-10-31T13:58:00Z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id="msF79dLj"/&gt;&lt;style id="http://www.zotero.org/styles/climate-of-the-past" hasBibliography="1" bibliographyStyleHasBeenSet="1"/&gt;&lt;prefs&gt;&lt;pref name="fieldType" value="Field"/&gt;&lt;/prefs&gt;&lt;/data&gt;</vt:lpwstr>
  </property>
</Properties>
</file>