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Default="00505760" w:rsidP="00505760">
      <w:pPr>
        <w:jc w:val="both"/>
        <w:rPr>
          <w:b/>
          <w:bCs/>
          <w:lang w:val="en-US"/>
        </w:rPr>
      </w:pPr>
      <w:r>
        <w:rPr>
          <w:b/>
          <w:bCs/>
          <w:lang w:val="en-US"/>
        </w:rPr>
        <w:t>Assimilating model outcomes with seasonally resolved paleoclimate data: Methods and considerations</w:t>
      </w:r>
    </w:p>
    <w:p w14:paraId="5AC63A16" w14:textId="12670B8C" w:rsidR="002F3751" w:rsidRPr="002F3751" w:rsidRDefault="002F3751" w:rsidP="00505760">
      <w:pPr>
        <w:jc w:val="both"/>
        <w:rPr>
          <w:lang w:val="nl-NL"/>
        </w:rPr>
      </w:pPr>
      <w:r w:rsidRPr="002F3751">
        <w:rPr>
          <w:lang w:val="nl-NL"/>
        </w:rPr>
        <w:t>Niels J. de Winter, M</w:t>
      </w:r>
      <w:r>
        <w:rPr>
          <w:lang w:val="nl-NL"/>
        </w:rPr>
        <w:t>ichiel Baatsen, Pepijn Bakker, Alexander Farnsworth, Barbara Goudsmit-Harzevoort, Brendan Oerlemans, Rob Witbaard, Martin Ziegler</w:t>
      </w:r>
    </w:p>
    <w:p w14:paraId="3A093789" w14:textId="200EB22A" w:rsidR="002F3751" w:rsidRPr="00505760" w:rsidRDefault="002F3751" w:rsidP="00505760">
      <w:pPr>
        <w:jc w:val="both"/>
        <w:rPr>
          <w:b/>
          <w:bCs/>
          <w:lang w:val="en-GB"/>
        </w:rPr>
      </w:pPr>
      <w:r w:rsidRPr="00505760">
        <w:rPr>
          <w:b/>
          <w:bCs/>
          <w:lang w:val="en-GB"/>
        </w:rPr>
        <w:t>Abstract</w:t>
      </w:r>
    </w:p>
    <w:p w14:paraId="5043D2D4" w14:textId="059D6F40" w:rsidR="002F3751" w:rsidRPr="00505760" w:rsidRDefault="00505760" w:rsidP="00505760">
      <w:pPr>
        <w:jc w:val="both"/>
        <w:rPr>
          <w:lang w:val="en-GB"/>
        </w:rPr>
      </w:pPr>
      <w:r w:rsidRPr="00505760">
        <w:rPr>
          <w:lang w:val="en-GB"/>
        </w:rPr>
        <w:t>Data assimilation t</w:t>
      </w:r>
      <w:r>
        <w:rPr>
          <w:lang w:val="en-GB"/>
        </w:rPr>
        <w:t xml:space="preserve">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Pr>
          <w:lang w:val="en-GB"/>
        </w:rPr>
        <w:t xml:space="preserve">and test </w:t>
      </w:r>
      <w:r>
        <w:rPr>
          <w:lang w:val="en-GB"/>
        </w:rPr>
        <w:t xml:space="preserve">a </w:t>
      </w:r>
      <w:r w:rsidR="00F4367D">
        <w:rPr>
          <w:lang w:val="en-GB"/>
        </w:rPr>
        <w:t>routine for assimilating sub-annual paleoclimate data with monthly climate model simulations. The aim of this contribution is to lay the groundwork for data assimilation of paleoclimate data on the seasonal to monthly scale, making data assimilation accessible for sclerochronologists, and explore the sensitivity of data assimilation outcomes to the quality of paleoclimate data and decisions made in the assimilation routine.</w:t>
      </w:r>
    </w:p>
    <w:p w14:paraId="1C23C142" w14:textId="77777777" w:rsidR="003F32EB" w:rsidRDefault="003F32EB" w:rsidP="00505760">
      <w:pPr>
        <w:jc w:val="both"/>
        <w:rPr>
          <w:b/>
          <w:bCs/>
          <w:lang w:val="en-GB"/>
        </w:rPr>
      </w:pPr>
    </w:p>
    <w:p w14:paraId="17C22E6F" w14:textId="720A9C86" w:rsidR="002F3751" w:rsidRPr="00505760" w:rsidRDefault="002F3751" w:rsidP="00505760">
      <w:pPr>
        <w:jc w:val="both"/>
        <w:rPr>
          <w:b/>
          <w:bCs/>
          <w:lang w:val="en-GB"/>
        </w:rPr>
      </w:pPr>
      <w:r w:rsidRPr="00505760">
        <w:rPr>
          <w:b/>
          <w:bCs/>
          <w:lang w:val="en-GB"/>
        </w:rPr>
        <w:t>Introduction</w:t>
      </w:r>
    </w:p>
    <w:p w14:paraId="3C5AFA2F" w14:textId="77777777" w:rsidR="002B6CF9" w:rsidRDefault="001A570A" w:rsidP="00F4367D">
      <w:pPr>
        <w:jc w:val="both"/>
        <w:rPr>
          <w:lang w:val="en-GB"/>
        </w:rPr>
      </w:pPr>
      <w:r>
        <w:rPr>
          <w:lang w:val="en-GB"/>
        </w:rPr>
        <w:t xml:space="preserve">Ancient climates hold crucial information about background climate variability and the sensitivity of Earth’s climate to perturbations </w:t>
      </w:r>
      <w:r>
        <w:rPr>
          <w:lang w:val="en-GB"/>
        </w:rPr>
        <w:fldChar w:fldCharType="begin"/>
      </w:r>
      <w:r>
        <w:rPr>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 polar ice volume plays in the predictability of Cenozoic clima</w:instrText>
      </w:r>
      <w:r w:rsidRPr="001A570A">
        <w:rPr>
          <w:lang w:val="nl-NL"/>
        </w:rPr>
        <w:instrText xml:space="preserve">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Pr>
          <w:lang w:val="en-GB"/>
        </w:rPr>
        <w:fldChar w:fldCharType="separate"/>
      </w:r>
      <w:r w:rsidRPr="001A570A">
        <w:rPr>
          <w:rFonts w:ascii="Aptos" w:hAnsi="Aptos"/>
        </w:rPr>
        <w:t>(He et al., 2023; von der Heydt et al., 2021; Westerhold et al., 2020)</w:t>
      </w:r>
      <w:r>
        <w:rPr>
          <w:lang w:val="en-GB"/>
        </w:rPr>
        <w:fldChar w:fldCharType="end"/>
      </w:r>
      <w:r w:rsidRPr="001A570A">
        <w:rPr>
          <w:lang w:val="nl-NL"/>
        </w:rPr>
        <w:t xml:space="preserve">. </w:t>
      </w:r>
      <w:r w:rsidRPr="001A570A">
        <w:rPr>
          <w:lang w:val="en-GB"/>
        </w:rPr>
        <w:t xml:space="preserve">This archive facilitates the tuning and testing of climate models </w:t>
      </w:r>
      <w:r>
        <w:rPr>
          <w:lang w:val="en-GB"/>
        </w:rPr>
        <w:t xml:space="preserve">developed to project climates </w:t>
      </w:r>
      <w:r w:rsidR="00A90835">
        <w:rPr>
          <w:lang w:val="en-GB"/>
        </w:rPr>
        <w:t xml:space="preserve">dissimilar to those sampled in our instrumental records </w:t>
      </w:r>
      <w:r w:rsidR="00A90835">
        <w:rPr>
          <w:lang w:val="en-GB"/>
        </w:rPr>
        <w:fldChar w:fldCharType="begin"/>
      </w:r>
      <w:r w:rsidR="00A90835">
        <w:rPr>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A90835">
        <w:rPr>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Pr>
          <w:lang w:val="en-GB"/>
        </w:rPr>
        <w:fldChar w:fldCharType="separate"/>
      </w:r>
      <w:r w:rsidR="00A90835" w:rsidRPr="00A90835">
        <w:rPr>
          <w:rFonts w:ascii="Aptos" w:hAnsi="Aptos"/>
        </w:rPr>
        <w:t>(Burke et al., 2018; Goudsmit-Harzevoort et al., 2023; Lunt et al., 2024; Tierney et al., 2020)</w:t>
      </w:r>
      <w:r w:rsidR="00A90835">
        <w:rPr>
          <w:lang w:val="en-GB"/>
        </w:rPr>
        <w:fldChar w:fldCharType="end"/>
      </w:r>
      <w:r w:rsidR="00A90835" w:rsidRPr="00A90835">
        <w:rPr>
          <w:lang w:val="nl-NL"/>
        </w:rPr>
        <w:t>.</w:t>
      </w:r>
      <w:r w:rsidR="00A90835">
        <w:rPr>
          <w:lang w:val="nl-NL"/>
        </w:rPr>
        <w:t xml:space="preserve"> </w:t>
      </w:r>
      <w:r w:rsidR="00A90835" w:rsidRPr="00A90835">
        <w:rPr>
          <w:lang w:val="en-GB"/>
        </w:rPr>
        <w:t xml:space="preserve">Such models </w:t>
      </w:r>
      <w:r w:rsidR="00A90835">
        <w:rPr>
          <w:lang w:val="en-GB"/>
        </w:rPr>
        <w:t>play</w:t>
      </w:r>
      <w:r w:rsidR="00A90835" w:rsidRPr="00A90835">
        <w:rPr>
          <w:lang w:val="en-GB"/>
        </w:rPr>
        <w:t xml:space="preserve"> an important role in informing </w:t>
      </w:r>
      <w:r w:rsidR="00A90835">
        <w:rPr>
          <w:lang w:val="en-GB"/>
        </w:rPr>
        <w:t xml:space="preserve">strategies to </w:t>
      </w:r>
      <w:r w:rsidR="00A90835" w:rsidRPr="00A90835">
        <w:rPr>
          <w:lang w:val="en-GB"/>
        </w:rPr>
        <w:t>m</w:t>
      </w:r>
      <w:r w:rsidR="00A90835">
        <w:rPr>
          <w:lang w:val="en-GB"/>
        </w:rPr>
        <w:t xml:space="preserve">itigate and adapt to the present and future consequences of anthropogenic climate and environmental change </w:t>
      </w:r>
      <w:r w:rsidR="00A90835">
        <w:rPr>
          <w:lang w:val="en-GB"/>
        </w:rPr>
        <w:fldChar w:fldCharType="begin"/>
      </w:r>
      <w:r w:rsidR="00A90835">
        <w:rPr>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Pr>
          <w:rFonts w:ascii="Cambria Math" w:hAnsi="Cambria Math" w:cs="Cambria Math"/>
          <w:lang w:val="en-GB"/>
        </w:rPr>
        <w:instrText>∼</w:instrText>
      </w:r>
      <w:r w:rsidR="00A90835">
        <w:rPr>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Pr>
          <w:rFonts w:ascii="Cambria Math" w:hAnsi="Cambria Math" w:cs="Cambria Math"/>
          <w:lang w:val="en-GB"/>
        </w:rPr>
        <w:instrText>∘</w:instrText>
      </w:r>
      <w:r w:rsidR="00A90835">
        <w:rPr>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Pr>
          <w:lang w:val="en-GB"/>
        </w:rPr>
        <w:fldChar w:fldCharType="separate"/>
      </w:r>
      <w:r w:rsidR="00A90835" w:rsidRPr="00A90835">
        <w:rPr>
          <w:rFonts w:ascii="Aptos" w:hAnsi="Aptos"/>
        </w:rPr>
        <w:t>(IPCC, 2021; Meinshausen et al., 2020)</w:t>
      </w:r>
      <w:r w:rsidR="00A90835">
        <w:rPr>
          <w:lang w:val="en-GB"/>
        </w:rPr>
        <w:fldChar w:fldCharType="end"/>
      </w:r>
      <w:r w:rsidR="00A90835">
        <w:rPr>
          <w:lang w:val="en-GB"/>
        </w:rPr>
        <w:t>. However, the various spatio-temporal distribution of climate model outcomes and proxy-based climate reconstructions complicates comparison between these two sources of data.</w:t>
      </w:r>
    </w:p>
    <w:p w14:paraId="3E8939B7" w14:textId="78234864" w:rsidR="00BB6B72" w:rsidRDefault="00A90835" w:rsidP="00F4367D">
      <w:pPr>
        <w:jc w:val="both"/>
        <w:rPr>
          <w:lang w:val="en-GB"/>
        </w:rPr>
      </w:pPr>
      <w:r>
        <w:rPr>
          <w:lang w:val="en-GB"/>
        </w:rPr>
        <w:t>Data assimilation</w:t>
      </w:r>
      <w:r w:rsidR="0074454F">
        <w:rPr>
          <w:lang w:val="en-GB"/>
        </w:rPr>
        <w:t xml:space="preserve"> (DA)</w:t>
      </w:r>
      <w:r>
        <w:rPr>
          <w:lang w:val="en-GB"/>
        </w:rPr>
        <w:t xml:space="preserve"> </w:t>
      </w:r>
      <w:r w:rsidR="0074454F">
        <w:rPr>
          <w:lang w:val="en-GB"/>
        </w:rPr>
        <w:t xml:space="preserve">holds promise to overcome this distribution problem by combining paleoclimate proxy data and models into a coherent data product while propagating their uncertainties and distributions in a Bayesian framework </w:t>
      </w:r>
      <w:r w:rsidR="0074454F">
        <w:rPr>
          <w:lang w:val="en-GB"/>
        </w:rPr>
        <w:fldChar w:fldCharType="begin"/>
      </w:r>
      <w:r w:rsidR="00A0729E">
        <w:rPr>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Pr>
          <w:lang w:val="en-GB"/>
        </w:rPr>
        <w:fldChar w:fldCharType="separate"/>
      </w:r>
      <w:r w:rsidR="00A0729E" w:rsidRPr="00A0729E">
        <w:rPr>
          <w:rFonts w:ascii="Aptos" w:hAnsi="Aptos"/>
        </w:rPr>
        <w:t>(Hakim et al., 2016; Okazaki and Yoshimura, 2017; Tierney et al., 2025)</w:t>
      </w:r>
      <w:r w:rsidR="0074454F">
        <w:rPr>
          <w:lang w:val="en-GB"/>
        </w:rPr>
        <w:fldChar w:fldCharType="end"/>
      </w:r>
      <w:r w:rsidR="0074454F">
        <w:rPr>
          <w:lang w:val="en-GB"/>
        </w:rPr>
        <w:t>.</w:t>
      </w:r>
      <w:r w:rsidR="00BB6B72">
        <w:rPr>
          <w:lang w:val="en-GB"/>
        </w:rPr>
        <w:t xml:space="preserve"> The principles of paleoclimate data assimilation (paleoDA) are explained in more detail in </w:t>
      </w:r>
      <w:r w:rsidR="00BB6B72">
        <w:rPr>
          <w:lang w:val="en-GB"/>
        </w:rPr>
        <w:fldChar w:fldCharType="begin"/>
      </w:r>
      <w:r w:rsidR="00BB6B72">
        <w:rPr>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Pr>
          <w:lang w:val="en-GB"/>
        </w:rPr>
        <w:fldChar w:fldCharType="separate"/>
      </w:r>
      <w:r w:rsidR="00BB6B72" w:rsidRPr="00BB6B72">
        <w:rPr>
          <w:rFonts w:ascii="Aptos" w:hAnsi="Aptos"/>
        </w:rPr>
        <w:t>(Tierney et al., 2025)</w:t>
      </w:r>
      <w:r w:rsidR="00BB6B72">
        <w:rPr>
          <w:lang w:val="en-GB"/>
        </w:rPr>
        <w:fldChar w:fldCharType="end"/>
      </w:r>
      <w:r w:rsidR="00BB6B72">
        <w:rPr>
          <w:lang w:val="en-GB"/>
        </w:rPr>
        <w:t xml:space="preserve"> and references therein. Briefly, paleoDA extracts climate model outcomes for a target period to inform a “prior” for the state of climate. Proxy</w:t>
      </w:r>
      <w:r w:rsidR="00185E85">
        <w:rPr>
          <w:lang w:val="en-GB"/>
        </w:rPr>
        <w:t xml:space="preserve"> values for this prior state are then</w:t>
      </w:r>
      <w:r w:rsidR="00BB6B72">
        <w:rPr>
          <w:lang w:val="en-GB"/>
        </w:rPr>
        <w:t xml:space="preserve"> </w:t>
      </w:r>
      <w:r w:rsidR="00BB6B72">
        <w:rPr>
          <w:lang w:val="en-GB"/>
        </w:rPr>
        <w:lastRenderedPageBreak/>
        <w:t>forward-model</w:t>
      </w:r>
      <w:r w:rsidR="00185E85">
        <w:rPr>
          <w:lang w:val="en-GB"/>
        </w:rPr>
        <w:t xml:space="preserve">led using Proxy System Models </w:t>
      </w:r>
      <w:r w:rsidR="00185E85">
        <w:rPr>
          <w:lang w:val="en-GB"/>
        </w:rPr>
        <w:fldChar w:fldCharType="begin"/>
      </w:r>
      <w:r w:rsidR="00185E85">
        <w:rPr>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Pr>
          <w:lang w:val="en-GB"/>
        </w:rPr>
        <w:fldChar w:fldCharType="separate"/>
      </w:r>
      <w:r w:rsidR="00185E85" w:rsidRPr="00185E85">
        <w:rPr>
          <w:rFonts w:ascii="Aptos" w:hAnsi="Aptos"/>
        </w:rPr>
        <w:t>(Evans et al., 2013)</w:t>
      </w:r>
      <w:r w:rsidR="00185E85">
        <w:rPr>
          <w:lang w:val="en-GB"/>
        </w:rPr>
        <w:fldChar w:fldCharType="end"/>
      </w:r>
      <w:r w:rsidR="00185E85">
        <w:rPr>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Pr>
          <w:lang w:val="en-GB"/>
        </w:rPr>
        <w:fldChar w:fldCharType="begin"/>
      </w:r>
      <w:r w:rsidR="00984D32">
        <w:rPr>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Pr>
          <w:lang w:val="en-GB"/>
        </w:rPr>
        <w:fldChar w:fldCharType="separate"/>
      </w:r>
      <w:r w:rsidR="00984D32" w:rsidRPr="00984D32">
        <w:rPr>
          <w:rFonts w:ascii="Aptos" w:hAnsi="Aptos"/>
        </w:rPr>
        <w:t>(Kalman, 1960; Steiger et al., 2014)</w:t>
      </w:r>
      <w:r w:rsidR="00185E85">
        <w:rPr>
          <w:lang w:val="en-GB"/>
        </w:rPr>
        <w:fldChar w:fldCharType="end"/>
      </w:r>
      <w:r w:rsidR="00984D32">
        <w:rPr>
          <w:lang w:val="en-GB"/>
        </w:rPr>
        <w:t>. The Kalman filter allows propagation of the covariance between models, climate variables, locations, time slices and between the model and proxy data</w:t>
      </w:r>
      <w:r w:rsidR="00E030B2">
        <w:rPr>
          <w:lang w:val="en-GB"/>
        </w:rPr>
        <w:t xml:space="preserve"> while considering uncertainties on the inputs. This</w:t>
      </w:r>
      <w:r w:rsidR="00984D32">
        <w:rPr>
          <w:lang w:val="en-GB"/>
        </w:rPr>
        <w:t xml:space="preserve"> </w:t>
      </w:r>
      <w:r w:rsidR="00E030B2">
        <w:rPr>
          <w:lang w:val="en-GB"/>
        </w:rPr>
        <w:t xml:space="preserve">allows </w:t>
      </w:r>
      <w:r w:rsidR="00984D32">
        <w:rPr>
          <w:lang w:val="en-GB"/>
        </w:rPr>
        <w:t xml:space="preserve">updating </w:t>
      </w:r>
      <w:r w:rsidR="00E030B2">
        <w:rPr>
          <w:lang w:val="en-GB"/>
        </w:rPr>
        <w:t xml:space="preserve">of </w:t>
      </w:r>
      <w:r w:rsidR="00984D32">
        <w:rPr>
          <w:lang w:val="en-GB"/>
        </w:rPr>
        <w:t xml:space="preserve">aspects of the climate state </w:t>
      </w:r>
      <w:r w:rsidR="00E030B2">
        <w:rPr>
          <w:lang w:val="en-GB"/>
        </w:rPr>
        <w:t xml:space="preserve">that were not directly sampled by proxy information through the covariance within the prior. The result is a “posterior” data product, which should ideally represent our best estimate of the state of past climate. </w:t>
      </w:r>
      <w:r w:rsidR="005936F0">
        <w:rPr>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Pr>
          <w:lang w:val="en-GB"/>
        </w:rPr>
        <w:fldChar w:fldCharType="begin"/>
      </w:r>
      <w:r w:rsidR="005936F0">
        <w:rPr>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Pr>
          <w:lang w:val="en-GB"/>
        </w:rPr>
        <w:fldChar w:fldCharType="separate"/>
      </w:r>
      <w:r w:rsidR="005936F0" w:rsidRPr="005936F0">
        <w:rPr>
          <w:rFonts w:ascii="Aptos" w:hAnsi="Aptos"/>
        </w:rPr>
        <w:t>(Lunt et al., 2024)</w:t>
      </w:r>
      <w:r w:rsidR="005936F0">
        <w:rPr>
          <w:lang w:val="en-GB"/>
        </w:rPr>
        <w:fldChar w:fldCharType="end"/>
      </w:r>
      <w:r w:rsidR="00B053FA">
        <w:rPr>
          <w:lang w:val="en-GB"/>
        </w:rPr>
        <w:t xml:space="preserve">, </w:t>
      </w:r>
      <w:r w:rsidR="005936F0">
        <w:rPr>
          <w:lang w:val="en-GB"/>
        </w:rPr>
        <w:t xml:space="preserve">inform better </w:t>
      </w:r>
      <w:r w:rsidR="00B053FA">
        <w:rPr>
          <w:lang w:val="en-GB"/>
        </w:rPr>
        <w:t xml:space="preserve">proxy data </w:t>
      </w:r>
      <w:r w:rsidR="005936F0">
        <w:rPr>
          <w:lang w:val="en-GB"/>
        </w:rPr>
        <w:t xml:space="preserve">coverage </w:t>
      </w:r>
      <w:r w:rsidR="00B053FA">
        <w:rPr>
          <w:lang w:val="en-GB"/>
        </w:rPr>
        <w:t>and enhance our</w:t>
      </w:r>
      <w:r w:rsidR="005936F0">
        <w:rPr>
          <w:lang w:val="en-GB"/>
        </w:rPr>
        <w:t xml:space="preserve"> understanding of proxy systems</w:t>
      </w:r>
      <w:r w:rsidR="00B053FA">
        <w:rPr>
          <w:lang w:val="en-GB"/>
        </w:rPr>
        <w:t xml:space="preserve"> </w:t>
      </w:r>
      <w:r w:rsidR="00B053FA">
        <w:rPr>
          <w:lang w:val="en-GB"/>
        </w:rPr>
        <w:fldChar w:fldCharType="begin"/>
      </w:r>
      <w:r w:rsidR="00B053FA">
        <w:rPr>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Pr>
          <w:lang w:val="en-GB"/>
        </w:rPr>
        <w:fldChar w:fldCharType="separate"/>
      </w:r>
      <w:r w:rsidR="00B053FA" w:rsidRPr="00B053FA">
        <w:rPr>
          <w:rFonts w:ascii="Aptos" w:hAnsi="Aptos"/>
        </w:rPr>
        <w:t>(Hao et al., 2025)</w:t>
      </w:r>
      <w:r w:rsidR="00B053FA">
        <w:rPr>
          <w:lang w:val="en-GB"/>
        </w:rPr>
        <w:fldChar w:fldCharType="end"/>
      </w:r>
      <w:r w:rsidR="00B053FA">
        <w:rPr>
          <w:lang w:val="en-GB"/>
        </w:rPr>
        <w:t>.</w:t>
      </w:r>
    </w:p>
    <w:p w14:paraId="38565D04" w14:textId="6F34C434" w:rsidR="00F4367D" w:rsidRDefault="00BB6B72" w:rsidP="00F4367D">
      <w:pPr>
        <w:jc w:val="both"/>
        <w:rPr>
          <w:lang w:val="en-GB"/>
        </w:rPr>
      </w:pPr>
      <w:r>
        <w:rPr>
          <w:lang w:val="en-GB"/>
        </w:rPr>
        <w:t>Paleo</w:t>
      </w:r>
      <w:r w:rsidR="0074454F" w:rsidRPr="0074454F">
        <w:rPr>
          <w:lang w:val="en-GB"/>
        </w:rPr>
        <w:t xml:space="preserve">DA has been applied increasingly frequently on paleoclimate datasets in recent years </w:t>
      </w:r>
      <w:r w:rsidR="0074454F">
        <w:rPr>
          <w:lang w:val="en-GB"/>
        </w:rPr>
        <w:fldChar w:fldCharType="begin"/>
      </w:r>
      <w:r w:rsidR="0074454F" w:rsidRPr="0074454F">
        <w:rPr>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w:instrText>
      </w:r>
      <w:r w:rsidR="0074454F">
        <w:rPr>
          <w:lang w:val="en-GB"/>
        </w:rPr>
        <w:instrText>,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Pr>
          <w:rFonts w:ascii="Arial" w:hAnsi="Arial" w:cs="Arial"/>
          <w:lang w:val="en-GB"/>
        </w:rPr>
        <w:instrText> </w:instrText>
      </w:r>
      <w:r w:rsidR="0074454F">
        <w:rPr>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Pr>
          <w:rFonts w:ascii="Arial" w:hAnsi="Arial" w:cs="Arial"/>
          <w:lang w:val="en-GB"/>
        </w:rPr>
        <w:instrText> </w:instrText>
      </w:r>
      <w:r w:rsidR="0074454F">
        <w:rPr>
          <w:rFonts w:ascii="Aptos" w:hAnsi="Aptos" w:cs="Aptos"/>
          <w:lang w:val="en-GB"/>
        </w:rPr>
        <w:instrText>°</w:instrText>
      </w:r>
      <w:r w:rsidR="0074454F">
        <w:rPr>
          <w:lang w:val="en-GB"/>
        </w:rPr>
        <w:instrText>C, since the early Holocene (around 9</w:instrText>
      </w:r>
      <w:r w:rsidR="0074454F">
        <w:rPr>
          <w:rFonts w:ascii="Aptos" w:hAnsi="Aptos" w:cs="Aptos"/>
          <w:lang w:val="en-GB"/>
        </w:rPr>
        <w:instrText> </w:instrText>
      </w:r>
      <w:r w:rsidR="0074454F">
        <w:rPr>
          <w:lang w:val="en-GB"/>
        </w:rPr>
        <w:instrText>thousand years ago). When compared with recent temperature changes11, our reanalysis indicates that both the rate and magnitude of modern warming are unusual relative to the changes of the past 24</w:instrText>
      </w:r>
      <w:r w:rsidR="0074454F">
        <w:rPr>
          <w:rFonts w:ascii="Aptos" w:hAnsi="Aptos" w:cs="Aptos"/>
          <w:lang w:val="en-GB"/>
        </w:rPr>
        <w:instrText> </w:instrText>
      </w:r>
      <w:r w:rsidR="0074454F">
        <w:rPr>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74454F">
        <w:rPr>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Pr>
          <w:lang w:val="en-GB"/>
        </w:rPr>
        <w:fldChar w:fldCharType="separate"/>
      </w:r>
      <w:r w:rsidR="0074454F" w:rsidRPr="0074454F">
        <w:rPr>
          <w:rFonts w:ascii="Aptos" w:hAnsi="Aptos"/>
        </w:rPr>
        <w:t>(Hakim et al., 2016; Judd et al., 2024; Osman et al., 2021; Tierney et al., 2020)</w:t>
      </w:r>
      <w:r w:rsidR="0074454F">
        <w:rPr>
          <w:lang w:val="en-GB"/>
        </w:rPr>
        <w:fldChar w:fldCharType="end"/>
      </w:r>
      <w:r w:rsidR="0074454F" w:rsidRPr="0074454F">
        <w:rPr>
          <w:lang w:val="nl-NL"/>
        </w:rPr>
        <w:t>.</w:t>
      </w:r>
      <w:r w:rsidR="0074454F">
        <w:rPr>
          <w:lang w:val="nl-NL"/>
        </w:rPr>
        <w:t xml:space="preserve"> </w:t>
      </w:r>
      <w:r w:rsidR="0074454F" w:rsidRPr="00A0729E">
        <w:rPr>
          <w:lang w:val="en-GB"/>
        </w:rPr>
        <w:t xml:space="preserve">These studies show that </w:t>
      </w:r>
      <w:r w:rsidR="002B6CF9">
        <w:rPr>
          <w:lang w:val="en-GB"/>
        </w:rPr>
        <w:t xml:space="preserve">the technique (sometimes referred to as “reanalysis”; </w:t>
      </w:r>
      <w:r w:rsidR="002B6CF9">
        <w:rPr>
          <w:lang w:val="en-GB"/>
        </w:rPr>
        <w:fldChar w:fldCharType="begin"/>
      </w:r>
      <w:r w:rsidR="002B6CF9">
        <w:rPr>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Pr>
          <w:lang w:val="en-GB"/>
        </w:rPr>
        <w:fldChar w:fldCharType="separate"/>
      </w:r>
      <w:r w:rsidR="002B6CF9" w:rsidRPr="002B6CF9">
        <w:rPr>
          <w:rFonts w:ascii="Aptos" w:hAnsi="Aptos"/>
        </w:rPr>
        <w:t>(Bengtsson et al., 2007)</w:t>
      </w:r>
      <w:r w:rsidR="002B6CF9">
        <w:rPr>
          <w:lang w:val="en-GB"/>
        </w:rPr>
        <w:fldChar w:fldCharType="end"/>
      </w:r>
      <w:r w:rsidR="002B6CF9">
        <w:rPr>
          <w:lang w:val="en-GB"/>
        </w:rPr>
        <w:t>)</w:t>
      </w:r>
      <w:r w:rsidR="0074454F" w:rsidRPr="00A0729E">
        <w:rPr>
          <w:lang w:val="en-GB"/>
        </w:rPr>
        <w:t xml:space="preserve"> effective</w:t>
      </w:r>
      <w:r w:rsidR="00A0729E">
        <w:rPr>
          <w:lang w:val="en-GB"/>
        </w:rPr>
        <w:t>ly</w:t>
      </w:r>
      <w:r w:rsidR="0074454F" w:rsidRPr="00A0729E">
        <w:rPr>
          <w:lang w:val="en-GB"/>
        </w:rPr>
        <w:t xml:space="preserve"> </w:t>
      </w:r>
      <w:r w:rsidR="00A0729E">
        <w:rPr>
          <w:lang w:val="en-GB"/>
        </w:rPr>
        <w:t xml:space="preserve">resolves differences in spatial distribution of proxy and model data, which are known to bias our understanding of past climate </w:t>
      </w:r>
      <w:r w:rsidR="00A0729E">
        <w:rPr>
          <w:lang w:val="en-GB"/>
        </w:rPr>
        <w:fldChar w:fldCharType="begin"/>
      </w:r>
      <w:r w:rsidR="002B6CF9">
        <w:rPr>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w:instrText>
      </w:r>
      <w:r w:rsidR="002B6CF9" w:rsidRPr="00BB6B72">
        <w:rPr>
          <w:lang w:val="en-GB"/>
        </w:rPr>
        <w:instrText xml:space="preserve">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Pr>
          <w:lang w:val="en-GB"/>
        </w:rPr>
        <w:fldChar w:fldCharType="separate"/>
      </w:r>
      <w:r w:rsidR="002B6CF9" w:rsidRPr="002B6CF9">
        <w:rPr>
          <w:rFonts w:ascii="Aptos" w:hAnsi="Aptos"/>
        </w:rPr>
        <w:t>(Hao et al., 2025; Judd et al., 2020; Mann et al., 2007)</w:t>
      </w:r>
      <w:r w:rsidR="00A0729E">
        <w:rPr>
          <w:lang w:val="en-GB"/>
        </w:rPr>
        <w:fldChar w:fldCharType="end"/>
      </w:r>
      <w:r w:rsidR="002B6CF9" w:rsidRPr="00BB6B72">
        <w:rPr>
          <w:lang w:val="en-GB"/>
        </w:rPr>
        <w:t xml:space="preserve">. </w:t>
      </w:r>
      <w:r w:rsidR="002B6CF9" w:rsidRPr="002B6CF9">
        <w:rPr>
          <w:lang w:val="en-GB"/>
        </w:rPr>
        <w:t xml:space="preserve">The degree by which DA is able to reconcile </w:t>
      </w:r>
      <w:r w:rsidR="002B6CF9">
        <w:rPr>
          <w:lang w:val="en-GB"/>
        </w:rPr>
        <w:t>differences in time resolution between climate model simulations and proxy data is, however, limited by our understanding of the timing of climate variables recorded in our climate proxies</w:t>
      </w:r>
      <w:r>
        <w:rPr>
          <w:lang w:val="en-GB"/>
        </w:rPr>
        <w:t>.</w:t>
      </w:r>
      <w:r w:rsidR="002B6CF9">
        <w:rPr>
          <w:lang w:val="en-GB"/>
        </w:rPr>
        <w:t xml:space="preserve"> </w:t>
      </w:r>
      <w:r>
        <w:rPr>
          <w:lang w:val="en-GB"/>
        </w:rPr>
        <w:t>S</w:t>
      </w:r>
      <w:r w:rsidR="002B6CF9">
        <w:rPr>
          <w:lang w:val="en-GB"/>
        </w:rPr>
        <w:t>easonal</w:t>
      </w:r>
      <w:r>
        <w:rPr>
          <w:lang w:val="en-GB"/>
        </w:rPr>
        <w:t xml:space="preserve"> biases in proxy data are most notable in this respect </w:t>
      </w:r>
      <w:r>
        <w:rPr>
          <w:lang w:val="en-GB"/>
        </w:rPr>
        <w:fldChar w:fldCharType="begin"/>
      </w:r>
      <w:r>
        <w:rPr>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Pr>
          <w:lang w:val="en-GB"/>
        </w:rPr>
        <w:fldChar w:fldCharType="separate"/>
      </w:r>
      <w:r w:rsidRPr="00BB6B72">
        <w:rPr>
          <w:rFonts w:ascii="Aptos" w:hAnsi="Aptos"/>
        </w:rPr>
        <w:t>(Bova et al., 2021; Liu et al., 2014)</w:t>
      </w:r>
      <w:r>
        <w:rPr>
          <w:lang w:val="en-GB"/>
        </w:rPr>
        <w:fldChar w:fldCharType="end"/>
      </w:r>
      <w:r>
        <w:rPr>
          <w:lang w:val="en-GB"/>
        </w:rPr>
        <w:t xml:space="preserve">, and become increasingly problematic in more ancient reconstructions </w:t>
      </w:r>
      <w:r>
        <w:rPr>
          <w:lang w:val="en-GB"/>
        </w:rPr>
        <w:fldChar w:fldCharType="begin"/>
      </w:r>
      <w:r w:rsidR="00B053FA">
        <w:rPr>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Pr>
          <w:lang w:val="en-GB"/>
        </w:rPr>
        <w:fldChar w:fldCharType="separate"/>
      </w:r>
      <w:r w:rsidR="00B053FA" w:rsidRPr="00B053FA">
        <w:rPr>
          <w:rFonts w:ascii="Aptos" w:hAnsi="Aptos" w:cs="Times New Roman"/>
          <w:kern w:val="0"/>
        </w:rPr>
        <w:t>(Carré and Cheddadi, 2017; Ivany and Judd, 2022)</w:t>
      </w:r>
      <w:r>
        <w:rPr>
          <w:lang w:val="en-GB"/>
        </w:rPr>
        <w:fldChar w:fldCharType="end"/>
      </w:r>
      <w:r>
        <w:rPr>
          <w:lang w:val="en-GB"/>
        </w:rPr>
        <w:t>.</w:t>
      </w:r>
    </w:p>
    <w:p w14:paraId="30175F38" w14:textId="0C54EEF2" w:rsidR="00C56E81" w:rsidRPr="00C56E81" w:rsidRDefault="00B053FA" w:rsidP="00F4367D">
      <w:pPr>
        <w:jc w:val="both"/>
        <w:rPr>
          <w:lang w:val="nl-NL"/>
        </w:rPr>
      </w:pPr>
      <w:r>
        <w:rPr>
          <w:lang w:val="en-GB"/>
        </w:rPr>
        <w:t xml:space="preserve">Seasonally resolved proxy records can help identify and overcome these seasonal biases in proxy data </w:t>
      </w:r>
      <w:r>
        <w:rPr>
          <w:lang w:val="en-GB"/>
        </w:rPr>
        <w:fldChar w:fldCharType="begin"/>
      </w:r>
      <w:r>
        <w:rPr>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Pr>
          <w:lang w:val="en-GB"/>
        </w:rPr>
        <w:fldChar w:fldCharType="separate"/>
      </w:r>
      <w:r w:rsidRPr="00B053FA">
        <w:rPr>
          <w:rFonts w:ascii="Aptos" w:hAnsi="Aptos" w:cs="Times New Roman"/>
          <w:kern w:val="0"/>
        </w:rPr>
        <w:t>(Carré and Cheddadi, 2017)</w:t>
      </w:r>
      <w:r>
        <w:rPr>
          <w:lang w:val="en-GB"/>
        </w:rPr>
        <w:fldChar w:fldCharType="end"/>
      </w:r>
      <w:r>
        <w:rPr>
          <w:lang w:val="en-GB"/>
        </w:rPr>
        <w:t xml:space="preserve">. A wide range of archives exist that record information on seasonal scale change in climate variables, including corals </w:t>
      </w:r>
      <w:r>
        <w:rPr>
          <w:lang w:val="en-GB"/>
        </w:rPr>
        <w:fldChar w:fldCharType="begin"/>
      </w:r>
      <w:r>
        <w:rPr>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Christina"},{"family":"Gierz","given":"Paul"},{"family":"Lohmann","given":"Gerrit"},{"family":"Scholz","given":"Denis"},{"family":"Kölling","given":"Martin"},{"family":"Scheffers","given":"Sander R."}],"issued":{"date-parts":[["2016"]]}}},{"id":185</w:instrText>
      </w:r>
      <w:r w:rsidRPr="001F00C1">
        <w:rPr>
          <w:lang w:val="nl-NL"/>
        </w:rPr>
        <w:instrText xml:space="preserve">4,"uris":["http://zotero.org/users/2470179/items/LIYNXNP3"],"itemData":{"id":1854,"type":"article-journal","abstract":"We present a 6-year-long (1978–1984) </w:instrText>
      </w:r>
      <w:r>
        <w:rPr>
          <w:lang w:val="en-GB"/>
        </w:rPr>
        <w:instrText>δ</w:instrText>
      </w:r>
      <w:r w:rsidRPr="001F00C1">
        <w:rPr>
          <w:lang w:val="nl-NL"/>
        </w:rPr>
        <w:instrText xml:space="preserve">18O and </w:instrText>
      </w:r>
      <w:r>
        <w:rPr>
          <w:lang w:val="en-GB"/>
        </w:rPr>
        <w:instrText>δ</w:instrText>
      </w:r>
      <w:r w:rsidRPr="001F00C1">
        <w:rPr>
          <w:lang w:val="nl-NL"/>
        </w:rPr>
        <w:instrText xml:space="preserve">13C record from a Great Barrier Reef (Pandora Reef) Porites lutea coral based on near-weekly sample int…","container-title":"Earth and Planetary Science Letters","DOI":"10.1016/0012-821X(94)90090-6","ISSN":"0012-821X","issue":"3-4","language":"en","note":"publisher: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Pr>
          <w:lang w:val="en-GB"/>
        </w:rPr>
        <w:fldChar w:fldCharType="separate"/>
      </w:r>
      <w:r w:rsidRPr="00B053FA">
        <w:rPr>
          <w:rFonts w:ascii="Aptos" w:hAnsi="Aptos"/>
        </w:rPr>
        <w:t>(Brocas et al., 2016; Gagan et al., 1994; Watanabe et al., 2001)</w:t>
      </w:r>
      <w:r>
        <w:rPr>
          <w:lang w:val="en-GB"/>
        </w:rPr>
        <w:fldChar w:fldCharType="end"/>
      </w:r>
      <w:r w:rsidRPr="001F00C1">
        <w:rPr>
          <w:lang w:val="nl-NL"/>
        </w:rPr>
        <w:t xml:space="preserve">, </w:t>
      </w:r>
      <w:r w:rsidR="001F00C1" w:rsidRPr="001F00C1">
        <w:rPr>
          <w:lang w:val="nl-NL"/>
        </w:rPr>
        <w:t>sclerospong</w:t>
      </w:r>
      <w:r w:rsidR="001F00C1">
        <w:rPr>
          <w:lang w:val="nl-NL"/>
        </w:rPr>
        <w:t xml:space="preserve">es </w:t>
      </w:r>
      <w:r w:rsidR="001F00C1">
        <w:rPr>
          <w:lang w:val="nl-NL"/>
        </w:rPr>
        <w:fldChar w:fldCharType="begin"/>
      </w:r>
      <w:r w:rsidR="001F00C1">
        <w:rPr>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Pr>
          <w:rFonts w:ascii="Arial" w:hAnsi="Arial" w:cs="Arial"/>
          <w:lang w:val="nl-NL"/>
        </w:rPr>
        <w:instrText> </w:instrText>
      </w:r>
      <w:r w:rsidR="001F00C1">
        <w:rPr>
          <w:lang w:val="nl-NL"/>
        </w:rPr>
        <w:instrText>years of ocean mixed-layer temperature records preserved in sclerosponge carbonate skeletons, we demonstrate that industrial-era warming began in the mid-1860s, more than 80</w:instrText>
      </w:r>
      <w:r w:rsidR="001F00C1">
        <w:rPr>
          <w:rFonts w:ascii="Arial" w:hAnsi="Arial" w:cs="Arial"/>
          <w:lang w:val="nl-NL"/>
        </w:rPr>
        <w:instrText> </w:instrText>
      </w:r>
      <w:r w:rsidR="001F00C1">
        <w:rPr>
          <w:lang w:val="nl-NL"/>
        </w:rPr>
        <w:instrText>years earlier than i</w:instrText>
      </w:r>
      <w:r w:rsidR="001F00C1" w:rsidRPr="001F00C1">
        <w:rPr>
          <w:lang w:val="en-GB"/>
        </w:rPr>
        <w:instrText xml:space="preserve">nstrumental sea surface temperature records. The Sr/Ca palaeothermometer was calibrated against </w:instrText>
      </w:r>
      <w:r w:rsidR="001F00C1" w:rsidRPr="001F00C1">
        <w:rPr>
          <w:rFonts w:ascii="Aptos" w:hAnsi="Aptos" w:cs="Aptos"/>
          <w:lang w:val="en-GB"/>
        </w:rPr>
        <w:instrText>‘</w:instrText>
      </w:r>
      <w:r w:rsidR="001F00C1" w:rsidRPr="001F00C1">
        <w:rPr>
          <w:lang w:val="en-GB"/>
        </w:rPr>
        <w:instrText>modern</w:instrText>
      </w:r>
      <w:r w:rsidR="001F00C1" w:rsidRPr="001F00C1">
        <w:rPr>
          <w:rFonts w:ascii="Aptos" w:hAnsi="Aptos" w:cs="Aptos"/>
          <w:lang w:val="en-GB"/>
        </w:rPr>
        <w:instrText>’</w:instrText>
      </w:r>
      <w:r w:rsidR="001F00C1" w:rsidRPr="001F00C1">
        <w:rPr>
          <w:lang w:val="en-GB"/>
        </w:rPr>
        <w:instrText xml:space="preserve"> (post-1963) highly correlated (R2</w:instrText>
      </w:r>
      <w:r w:rsidR="001F00C1" w:rsidRPr="001F00C1">
        <w:rPr>
          <w:rFonts w:ascii="Arial" w:hAnsi="Arial" w:cs="Arial"/>
          <w:lang w:val="en-GB"/>
        </w:rPr>
        <w:instrText> </w:instrText>
      </w:r>
      <w:r w:rsidR="001F00C1" w:rsidRPr="001F00C1">
        <w:rPr>
          <w:lang w:val="en-GB"/>
        </w:rPr>
        <w:instrText>=</w:instrText>
      </w:r>
      <w:r w:rsidR="001F00C1" w:rsidRPr="001F00C1">
        <w:rPr>
          <w:rFonts w:ascii="Arial" w:hAnsi="Arial" w:cs="Arial"/>
          <w:lang w:val="en-GB"/>
        </w:rPr>
        <w:instrText> </w:instrText>
      </w:r>
      <w:r w:rsidR="001F00C1" w:rsidRPr="001F00C1">
        <w:rPr>
          <w:lang w:val="en-GB"/>
        </w:rPr>
        <w:instrText>0.91) instrumental records of global sea surface temperatures, with the pre-industrial defined by nearly constant (&lt;±0.1</w:instrText>
      </w:r>
      <w:r w:rsidR="001F00C1" w:rsidRPr="001F00C1">
        <w:rPr>
          <w:rFonts w:ascii="Arial" w:hAnsi="Arial" w:cs="Arial"/>
          <w:lang w:val="en-GB"/>
        </w:rPr>
        <w:instrText> </w:instrText>
      </w:r>
      <w:r w:rsidR="001F00C1" w:rsidRPr="001F00C1">
        <w:rPr>
          <w:rFonts w:ascii="Aptos" w:hAnsi="Aptos" w:cs="Aptos"/>
          <w:lang w:val="en-GB"/>
        </w:rPr>
        <w:instrText>°</w:instrText>
      </w:r>
      <w:r w:rsidR="001F00C1" w:rsidRPr="001F00C1">
        <w:rPr>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1F00C1">
        <w:rPr>
          <w:rFonts w:ascii="Arial" w:hAnsi="Arial" w:cs="Arial"/>
          <w:lang w:val="en-GB"/>
        </w:rPr>
        <w:instrText> </w:instrText>
      </w:r>
      <w:r w:rsidR="001F00C1" w:rsidRPr="001F00C1">
        <w:rPr>
          <w:rFonts w:ascii="Aptos" w:hAnsi="Aptos" w:cs="Aptos"/>
          <w:lang w:val="en-GB"/>
        </w:rPr>
        <w:instrText>±</w:instrText>
      </w:r>
      <w:r w:rsidR="001F00C1" w:rsidRPr="001F00C1">
        <w:rPr>
          <w:rFonts w:ascii="Arial" w:hAnsi="Arial" w:cs="Arial"/>
          <w:lang w:val="en-GB"/>
        </w:rPr>
        <w:instrText> </w:instrText>
      </w:r>
      <w:r w:rsidR="001F00C1" w:rsidRPr="001F00C1">
        <w:rPr>
          <w:lang w:val="en-GB"/>
        </w:rPr>
        <w:instrText>0.1</w:instrText>
      </w:r>
      <w:r w:rsidR="001F00C1" w:rsidRPr="001F00C1">
        <w:rPr>
          <w:rFonts w:ascii="Arial" w:hAnsi="Arial" w:cs="Arial"/>
          <w:lang w:val="en-GB"/>
        </w:rPr>
        <w:instrText> </w:instrText>
      </w:r>
      <w:r w:rsidR="001F00C1" w:rsidRPr="001F00C1">
        <w:rPr>
          <w:rFonts w:ascii="Aptos" w:hAnsi="Aptos" w:cs="Aptos"/>
          <w:lang w:val="en-GB"/>
        </w:rPr>
        <w:instrText>°</w:instrText>
      </w:r>
      <w:r w:rsidR="001F00C1" w:rsidRPr="001F00C1">
        <w:rPr>
          <w:lang w:val="en-GB"/>
        </w:rPr>
        <w:instrText>C above pre-industrial levels by 2020. Our result is 0.5</w:instrText>
      </w:r>
      <w:r w:rsidR="001F00C1" w:rsidRPr="001F00C1">
        <w:rPr>
          <w:rFonts w:ascii="Arial" w:hAnsi="Arial" w:cs="Arial"/>
          <w:lang w:val="en-GB"/>
        </w:rPr>
        <w:instrText> </w:instrText>
      </w:r>
      <w:r w:rsidR="001F00C1" w:rsidRPr="001F00C1">
        <w:rPr>
          <w:rFonts w:ascii="Aptos" w:hAnsi="Aptos" w:cs="Aptos"/>
          <w:lang w:val="en-GB"/>
        </w:rPr>
        <w:instrText>°</w:instrText>
      </w:r>
      <w:r w:rsidR="001F00C1" w:rsidRPr="001F00C1">
        <w:rPr>
          <w:lang w:val="en-GB"/>
        </w:rPr>
        <w:instrText>C higher than IPCC estimates, with 2</w:instrText>
      </w:r>
      <w:r w:rsidR="001F00C1" w:rsidRPr="001F00C1">
        <w:rPr>
          <w:rFonts w:ascii="Arial" w:hAnsi="Arial" w:cs="Arial"/>
          <w:lang w:val="en-GB"/>
        </w:rPr>
        <w:instrText> </w:instrText>
      </w:r>
      <w:r w:rsidR="001F00C1" w:rsidRPr="001F00C1">
        <w:rPr>
          <w:rFonts w:ascii="Aptos" w:hAnsi="Aptos" w:cs="Aptos"/>
          <w:lang w:val="en-GB"/>
        </w:rPr>
        <w:instrText>°</w:instrText>
      </w:r>
      <w:r w:rsidR="001F00C1" w:rsidRPr="001F00C1">
        <w:rPr>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Pr>
          <w:lang w:val="nl-NL"/>
        </w:rPr>
        <w:fldChar w:fldCharType="separate"/>
      </w:r>
      <w:r w:rsidR="001F00C1" w:rsidRPr="001F00C1">
        <w:rPr>
          <w:rFonts w:ascii="Aptos" w:hAnsi="Aptos"/>
        </w:rPr>
        <w:t>(Lazareth et al., 2000; McCulloch et al., 2024)</w:t>
      </w:r>
      <w:r w:rsidR="001F00C1">
        <w:rPr>
          <w:lang w:val="nl-NL"/>
        </w:rPr>
        <w:fldChar w:fldCharType="end"/>
      </w:r>
      <w:r w:rsidR="001F00C1" w:rsidRPr="001F00C1">
        <w:rPr>
          <w:lang w:val="en-GB"/>
        </w:rPr>
        <w:t xml:space="preserve">, </w:t>
      </w:r>
      <w:r w:rsidR="001F00C1">
        <w:rPr>
          <w:lang w:val="en-GB"/>
        </w:rPr>
        <w:t xml:space="preserve">speleothems </w:t>
      </w:r>
      <w:r w:rsidR="001F00C1">
        <w:rPr>
          <w:lang w:val="en-GB"/>
        </w:rPr>
        <w:fldChar w:fldCharType="begin"/>
      </w:r>
      <w:r w:rsidR="001F00C1">
        <w:rPr>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observations reflect an increase in water excess above the cav</w:instrText>
      </w:r>
      <w:r w:rsidR="001F00C1" w:rsidRPr="001F00C1">
        <w:rPr>
          <w:lang w:val="nl-NL"/>
        </w:rPr>
        <w:instrText xml:space="preserve">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Pr>
          <w:lang w:val="en-GB"/>
        </w:rPr>
        <w:fldChar w:fldCharType="separate"/>
      </w:r>
      <w:r w:rsidR="001F00C1" w:rsidRPr="001F00C1">
        <w:rPr>
          <w:rFonts w:ascii="Aptos" w:hAnsi="Aptos"/>
        </w:rPr>
        <w:t>(Van Rampelbergh et al., 2014b, a; Vansteenberge et al., 2019)</w:t>
      </w:r>
      <w:r w:rsidR="001F00C1">
        <w:rPr>
          <w:lang w:val="en-GB"/>
        </w:rPr>
        <w:fldChar w:fldCharType="end"/>
      </w:r>
      <w:r w:rsidR="001F00C1" w:rsidRPr="001F00C1">
        <w:rPr>
          <w:lang w:val="nl-NL"/>
        </w:rPr>
        <w:t>, tooth bioapat</w:t>
      </w:r>
      <w:r w:rsidR="001F00C1">
        <w:rPr>
          <w:lang w:val="nl-NL"/>
        </w:rPr>
        <w:t xml:space="preserve">ite </w:t>
      </w:r>
      <w:r w:rsidR="001F00C1">
        <w:rPr>
          <w:lang w:val="nl-NL"/>
        </w:rPr>
        <w:fldChar w:fldCharType="begin"/>
      </w:r>
      <w:r w:rsidR="001F00C1">
        <w:rPr>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1F00C1">
        <w:rPr>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Pr>
          <w:lang w:val="nl-NL"/>
        </w:rPr>
        <w:instrText>δ</w:instrText>
      </w:r>
      <w:r w:rsidR="001F00C1" w:rsidRPr="001F00C1">
        <w:rPr>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Pr>
          <w:lang w:val="nl-NL"/>
        </w:rPr>
        <w:fldChar w:fldCharType="separate"/>
      </w:r>
      <w:r w:rsidR="001F00C1" w:rsidRPr="001F00C1">
        <w:rPr>
          <w:rFonts w:ascii="Aptos" w:hAnsi="Aptos"/>
        </w:rPr>
        <w:t>(De Winter et al., 2016; Fricke et al., 1998; Sharp and Cerling, 1998)</w:t>
      </w:r>
      <w:r w:rsidR="001F00C1">
        <w:rPr>
          <w:lang w:val="nl-NL"/>
        </w:rPr>
        <w:fldChar w:fldCharType="end"/>
      </w:r>
      <w:r w:rsidR="001F00C1">
        <w:rPr>
          <w:lang w:val="en-GB"/>
        </w:rPr>
        <w:t xml:space="preserve">, brachiopod </w:t>
      </w:r>
      <w:r w:rsidR="001F00C1">
        <w:rPr>
          <w:lang w:val="en-GB"/>
        </w:rPr>
        <w:fldChar w:fldCharType="begin"/>
      </w:r>
      <w:r w:rsidR="001F00C1">
        <w:rPr>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Pr>
          <w:rFonts w:ascii="Cambria Math" w:hAnsi="Cambria Math" w:cs="Cambria Math"/>
          <w:lang w:val="en-GB"/>
        </w:rPr>
        <w:instrText>∼</w:instrText>
      </w:r>
      <w:r w:rsidR="001F00C1">
        <w:rPr>
          <w:lang w:val="en-GB"/>
        </w:rPr>
        <w:instrText>1.2</w:instrText>
      </w:r>
      <w:r w:rsidR="001F00C1">
        <w:rPr>
          <w:rFonts w:ascii="Aptos" w:hAnsi="Aptos" w:cs="Aptos"/>
          <w:lang w:val="en-GB"/>
        </w:rPr>
        <w:instrText>‰</w:instrText>
      </w:r>
      <w:r w:rsidR="001F00C1">
        <w:rPr>
          <w:lang w:val="en-GB"/>
        </w:rPr>
        <w:instrText xml:space="preserve"> range in </w:instrText>
      </w:r>
      <w:r w:rsidR="001F00C1">
        <w:rPr>
          <w:rFonts w:ascii="Aptos" w:hAnsi="Aptos" w:cs="Aptos"/>
          <w:lang w:val="en-GB"/>
        </w:rPr>
        <w:instrText>δ</w:instrText>
      </w:r>
      <w:r w:rsidR="001F00C1">
        <w:rPr>
          <w:lang w:val="en-GB"/>
        </w:rPr>
        <w:instrText xml:space="preserve">18O values suggests a seasonal temperature variation of 5 to 6 </w:instrText>
      </w:r>
      <w:r w:rsidR="001F00C1">
        <w:rPr>
          <w:rFonts w:ascii="Aptos" w:hAnsi="Aptos" w:cs="Aptos"/>
          <w:lang w:val="en-GB"/>
        </w:rPr>
        <w:instrText>°</w:instrText>
      </w:r>
      <w:r w:rsidR="001F00C1">
        <w:rPr>
          <w:lang w:val="en-GB"/>
        </w:rPr>
        <w:instrText xml:space="preserve">C (assuming no change in the </w:instrText>
      </w:r>
      <w:r w:rsidR="001F00C1">
        <w:rPr>
          <w:rFonts w:ascii="Aptos" w:hAnsi="Aptos" w:cs="Aptos"/>
          <w:lang w:val="en-GB"/>
        </w:rPr>
        <w:instrText>δ</w:instrText>
      </w:r>
      <w:r w:rsidR="001F00C1">
        <w:rPr>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Pr>
          <w:lang w:val="en-GB"/>
        </w:rPr>
        <w:fldChar w:fldCharType="separate"/>
      </w:r>
      <w:r w:rsidR="001F00C1" w:rsidRPr="001F00C1">
        <w:rPr>
          <w:rFonts w:ascii="Aptos" w:hAnsi="Aptos"/>
        </w:rPr>
        <w:t>(Garbelli et al., 2022; Mii and Grossman, 1994)</w:t>
      </w:r>
      <w:r w:rsidR="001F00C1">
        <w:rPr>
          <w:lang w:val="en-GB"/>
        </w:rPr>
        <w:fldChar w:fldCharType="end"/>
      </w:r>
      <w:r w:rsidR="001F00C1">
        <w:rPr>
          <w:lang w:val="en-GB"/>
        </w:rPr>
        <w:t xml:space="preserve"> and mollusc shells </w:t>
      </w:r>
      <w:r w:rsidR="001F00C1">
        <w:rPr>
          <w:lang w:val="en-GB"/>
        </w:rPr>
        <w:fldChar w:fldCharType="begin"/>
      </w:r>
      <w:r w:rsidR="001F00C1">
        <w:rPr>
          <w:lang w:val="en-GB"/>
        </w:rPr>
        <w:instrText xml:space="preserve"> ADDIN ZOTERO_ITEM CSL_CITATION {"citationID":"YFS3g2ud","properties":{"formattedCitation":"(Caldarescu et al., 2021; Ivany, 2012; de Winter et al., 2020, 2021)","plainCitation":"(Caldarescu et al., 2021; Ivany, 2012; de Winter et al., 2020,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1F00C1">
        <w:rPr>
          <w:rFonts w:ascii="Cambria Math" w:hAnsi="Cambria Math" w:cs="Cambria Math"/>
          <w:lang w:val="en-GB"/>
        </w:rPr>
        <w:instrText>∼</w:instrText>
      </w:r>
      <w:r w:rsidR="001F00C1">
        <w:rPr>
          <w:lang w:val="en-GB"/>
        </w:rPr>
        <w:instrText>6</w:instrText>
      </w:r>
      <w:r w:rsidR="001F00C1">
        <w:rPr>
          <w:rFonts w:ascii="Arial" w:hAnsi="Arial" w:cs="Arial"/>
          <w:lang w:val="en-GB"/>
        </w:rPr>
        <w:instrText> </w:instrText>
      </w:r>
      <w:r w:rsidR="001F00C1">
        <w:rPr>
          <w:rFonts w:ascii="Aptos" w:hAnsi="Aptos" w:cs="Aptos"/>
          <w:lang w:val="en-GB"/>
        </w:rPr>
        <w:instrText>°</w:instrText>
      </w:r>
      <w:r w:rsidR="001F00C1">
        <w:rPr>
          <w:lang w:val="en-GB"/>
        </w:rPr>
        <w:instrText xml:space="preserve">C. By combining bivalve </w:instrText>
      </w:r>
      <w:r w:rsidR="001F00C1">
        <w:rPr>
          <w:rFonts w:ascii="Aptos" w:hAnsi="Aptos" w:cs="Aptos"/>
          <w:lang w:val="en-GB"/>
        </w:rPr>
        <w:instrText>δ</w:instrText>
      </w:r>
      <w:r w:rsidR="001F00C1">
        <w:rPr>
          <w:lang w:val="en-GB"/>
        </w:rPr>
        <w:instrText xml:space="preserve">18Oshell and </w:instrText>
      </w:r>
      <w:r w:rsidR="001F00C1">
        <w:rPr>
          <w:rFonts w:ascii="Aptos" w:hAnsi="Aptos" w:cs="Aptos"/>
          <w:lang w:val="en-GB"/>
        </w:rPr>
        <w:instrText>Δ</w:instrText>
      </w:r>
      <w:r w:rsidR="001F00C1">
        <w:rPr>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1F00C1">
        <w:rPr>
          <w:rFonts w:ascii="Arial" w:hAnsi="Arial" w:cs="Arial"/>
          <w:lang w:val="en-GB"/>
        </w:rPr>
        <w:instrText> </w:instrText>
      </w:r>
      <w:r w:rsidR="001F00C1">
        <w:rPr>
          <w:rFonts w:ascii="Aptos" w:hAnsi="Aptos" w:cs="Aptos"/>
          <w:lang w:val="en-GB"/>
        </w:rPr>
        <w:instrText>°</w:instrText>
      </w:r>
      <w:r w:rsidR="001F00C1">
        <w:rPr>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Pr>
          <w:lang w:val="en-GB"/>
        </w:rPr>
        <w:fldChar w:fldCharType="separate"/>
      </w:r>
      <w:r w:rsidR="001F00C1" w:rsidRPr="001F00C1">
        <w:rPr>
          <w:rFonts w:ascii="Aptos" w:hAnsi="Aptos"/>
        </w:rPr>
        <w:t>(Caldarescu et al., 2021; Ivany, 2012; de Winter et al., 2020, 2021)</w:t>
      </w:r>
      <w:r w:rsidR="001F00C1">
        <w:rPr>
          <w:lang w:val="en-GB"/>
        </w:rPr>
        <w:fldChar w:fldCharType="end"/>
      </w:r>
      <w:r w:rsidR="001F00C1">
        <w:rPr>
          <w:lang w:val="en-GB"/>
        </w:rPr>
        <w:t>. B</w:t>
      </w:r>
      <w:r w:rsidR="001F00C1">
        <w:rPr>
          <w:lang w:val="en-GB"/>
        </w:rPr>
        <w:t>rachiopod and mollusc shells</w:t>
      </w:r>
      <w:r w:rsidR="001F00C1">
        <w:rPr>
          <w:lang w:val="en-GB"/>
        </w:rPr>
        <w:t xml:space="preserve"> are arguably most relevant for overcoming seasonal bias in ancient climates because of their potential to preserve </w:t>
      </w:r>
      <w:r w:rsidR="00093AC9">
        <w:rPr>
          <w:lang w:val="en-GB"/>
        </w:rPr>
        <w:t>their original chemical composition</w:t>
      </w:r>
      <w:r w:rsidR="003F32EB">
        <w:rPr>
          <w:lang w:val="en-GB"/>
        </w:rPr>
        <w:t>, and the sub-annual climate information encoded within it,</w:t>
      </w:r>
      <w:r w:rsidR="00093AC9">
        <w:rPr>
          <w:lang w:val="en-GB"/>
        </w:rPr>
        <w:t xml:space="preserve"> </w:t>
      </w:r>
      <w:r w:rsidR="003F32EB">
        <w:rPr>
          <w:lang w:val="en-GB"/>
        </w:rPr>
        <w:t xml:space="preserve">on long geological timescales (tens to hundreds of millions of years; e.g. </w:t>
      </w:r>
      <w:r w:rsidR="003F32EB">
        <w:rPr>
          <w:lang w:val="en-GB"/>
        </w:rPr>
        <w:fldChar w:fldCharType="begin"/>
      </w:r>
      <w:r w:rsidR="00C56E81">
        <w:rPr>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Pr>
          <w:rFonts w:ascii="Cambria Math" w:hAnsi="Cambria Math" w:cs="Cambria Math"/>
          <w:lang w:val="en-GB"/>
        </w:rPr>
        <w:instrText>∼</w:instrText>
      </w:r>
      <w:r w:rsidR="00C56E81">
        <w:rPr>
          <w:lang w:val="en-GB"/>
        </w:rPr>
        <w:instrText>25</w:instrText>
      </w:r>
      <w:r w:rsidR="00C56E81">
        <w:rPr>
          <w:rFonts w:ascii="Aptos" w:hAnsi="Aptos" w:cs="Aptos"/>
          <w:lang w:val="en-GB"/>
        </w:rPr>
        <w:instrText>–</w:instrText>
      </w:r>
      <w:r w:rsidR="00C56E81">
        <w:rPr>
          <w:lang w:val="en-GB"/>
        </w:rPr>
        <w:instrText>30</w:instrText>
      </w:r>
      <w:r w:rsidR="00C56E81">
        <w:rPr>
          <w:rFonts w:ascii="Arial" w:hAnsi="Arial" w:cs="Arial"/>
          <w:lang w:val="en-GB"/>
        </w:rPr>
        <w:instrText> </w:instrText>
      </w:r>
      <w:r w:rsidR="00C56E81">
        <w:rPr>
          <w:rFonts w:ascii="Aptos" w:hAnsi="Aptos" w:cs="Aptos"/>
          <w:lang w:val="en-GB"/>
        </w:rPr>
        <w:instrText>°</w:instrText>
      </w:r>
      <w:r w:rsidR="00C56E81">
        <w:rPr>
          <w:lang w:val="en-GB"/>
        </w:rPr>
        <w:instrText>C), and suggests that benthic metazoans were able to thrive at temperatures of 35</w:instrText>
      </w:r>
      <w:r w:rsidR="00C56E81">
        <w:rPr>
          <w:rFonts w:ascii="Aptos" w:hAnsi="Aptos" w:cs="Aptos"/>
          <w:lang w:val="en-GB"/>
        </w:rPr>
        <w:instrText>–</w:instrText>
      </w:r>
      <w:r w:rsidR="00C56E81">
        <w:rPr>
          <w:lang w:val="en-GB"/>
        </w:rPr>
        <w:instrText>40</w:instrText>
      </w:r>
      <w:r w:rsidR="00C56E81">
        <w:rPr>
          <w:rFonts w:ascii="Arial" w:hAnsi="Arial" w:cs="Arial"/>
          <w:lang w:val="en-GB"/>
        </w:rPr>
        <w:instrText> </w:instrText>
      </w:r>
      <w:r w:rsidR="00C56E81">
        <w:rPr>
          <w:rFonts w:ascii="Aptos" w:hAnsi="Aptos" w:cs="Aptos"/>
          <w:lang w:val="en-GB"/>
        </w:rPr>
        <w:instrText>°</w:instrText>
      </w:r>
      <w:r w:rsidR="00C56E81">
        <w:rPr>
          <w:lang w:val="en-GB"/>
        </w:rPr>
        <w:instrText>C during intervals of the early and possibly the latest Paleozoic when CO2 levels were likely 5</w:instrText>
      </w:r>
      <w:r w:rsidR="00C56E81">
        <w:rPr>
          <w:rFonts w:ascii="Aptos" w:hAnsi="Aptos" w:cs="Aptos"/>
          <w:lang w:val="en-GB"/>
        </w:rPr>
        <w:instrText>–</w:instrText>
      </w:r>
      <w:r w:rsidR="00C56E81">
        <w:rPr>
          <w:lang w:val="en-GB"/>
        </w:rPr>
        <w:instrText>10</w:instrText>
      </w:r>
      <w:r w:rsidR="00C56E81">
        <w:rPr>
          <w:rFonts w:ascii="Aptos" w:hAnsi="Aptos" w:cs="Aptos"/>
          <w:lang w:val="en-GB"/>
        </w:rPr>
        <w:instrText>×</w:instrText>
      </w:r>
      <w:r w:rsidR="00C56E81">
        <w:rPr>
          <w:lang w:val="en-GB"/>
        </w:rPr>
        <w:instrText xml:space="preserve"> higher than present-day values. Equally important, there is no resolvable trend in seawater oxygen isotope ratios (</w:instrText>
      </w:r>
      <w:r w:rsidR="00C56E81">
        <w:rPr>
          <w:rFonts w:ascii="Aptos" w:hAnsi="Aptos" w:cs="Aptos"/>
          <w:lang w:val="en-GB"/>
        </w:rPr>
        <w:instrText>δ</w:instrText>
      </w:r>
      <w:r w:rsidR="00C56E81">
        <w:rPr>
          <w:lang w:val="en-GB"/>
        </w:rPr>
        <w:instrText xml:space="preserve">18O) over the past </w:instrText>
      </w:r>
      <w:r w:rsidR="00C56E81">
        <w:rPr>
          <w:rFonts w:ascii="Cambria Math" w:hAnsi="Cambria Math" w:cs="Cambria Math"/>
          <w:lang w:val="en-GB"/>
        </w:rPr>
        <w:instrText>∼</w:instrText>
      </w:r>
      <w:r w:rsidR="00C56E81">
        <w:rPr>
          <w:lang w:val="en-GB"/>
        </w:rPr>
        <w:instrText>500 million years, indicating that the average temperature of oxygen exchange between seawater and the oceanic crust has been high (</w:instrText>
      </w:r>
      <w:r w:rsidR="00C56E81">
        <w:rPr>
          <w:rFonts w:ascii="Cambria Math" w:hAnsi="Cambria Math" w:cs="Cambria Math"/>
          <w:lang w:val="en-GB"/>
        </w:rPr>
        <w:instrText>∼</w:instrText>
      </w:r>
      <w:r w:rsidR="00C56E81">
        <w:rPr>
          <w:lang w:val="en-GB"/>
        </w:rPr>
        <w:instrText>270</w:instrText>
      </w:r>
      <w:r w:rsidR="00C56E81">
        <w:rPr>
          <w:rFonts w:ascii="Arial" w:hAnsi="Arial" w:cs="Arial"/>
          <w:lang w:val="en-GB"/>
        </w:rPr>
        <w:instrText> </w:instrText>
      </w:r>
      <w:r w:rsidR="00C56E81">
        <w:rPr>
          <w:rFonts w:ascii="Aptos" w:hAnsi="Aptos" w:cs="Aptos"/>
          <w:lang w:val="en-GB"/>
        </w:rPr>
        <w:instrText>°</w:instrText>
      </w:r>
      <w:r w:rsidR="00C56E81">
        <w:rPr>
          <w:lang w:val="en-GB"/>
        </w:rPr>
        <w:instrText>C) since at least the early Paleozoic, which points to mid-ocean ridges as the dominant locus of water</w:instrText>
      </w:r>
      <w:r w:rsidR="00C56E81">
        <w:rPr>
          <w:rFonts w:ascii="Aptos" w:hAnsi="Aptos" w:cs="Aptos"/>
          <w:lang w:val="en-GB"/>
        </w:rPr>
        <w:instrText>–</w:instrText>
      </w:r>
      <w:r w:rsidR="00C56E81">
        <w:rPr>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Pr>
          <w:lang w:val="en-GB"/>
        </w:rPr>
        <w:fldChar w:fldCharType="separate"/>
      </w:r>
      <w:r w:rsidR="00C56E81" w:rsidRPr="00C56E81">
        <w:rPr>
          <w:rFonts w:ascii="Aptos" w:hAnsi="Aptos"/>
        </w:rPr>
        <w:t>(Alberti et al., 2017; Henkes et al., 2018; Ivany and Runnegar, 2010; Posenato et al., 2022; de Winter et al., 2017)</w:t>
      </w:r>
      <w:r w:rsidR="003F32EB">
        <w:rPr>
          <w:lang w:val="en-GB"/>
        </w:rPr>
        <w:fldChar w:fldCharType="end"/>
      </w:r>
      <w:r w:rsidR="003F32EB">
        <w:rPr>
          <w:lang w:val="en-GB"/>
        </w:rPr>
        <w:t>.</w:t>
      </w:r>
      <w:r w:rsidR="007A06F2">
        <w:rPr>
          <w:lang w:val="en-GB"/>
        </w:rPr>
        <w:t xml:space="preserve"> As such, the application of sclerochronology, the study of incrementally growing carbonate archives, on deep time fossils has gained increased attention in recent years.</w:t>
      </w:r>
      <w:r w:rsidR="00C56E81">
        <w:rPr>
          <w:lang w:val="en-GB"/>
        </w:rPr>
        <w:t xml:space="preserve"> </w:t>
      </w:r>
      <w:r w:rsidR="00C56E81">
        <w:rPr>
          <w:lang w:val="en-GB"/>
        </w:rPr>
        <w:lastRenderedPageBreak/>
        <w:t xml:space="preserve">Additionally, </w:t>
      </w:r>
      <w:r w:rsidR="00C56E81">
        <w:rPr>
          <w:lang w:val="en-GB"/>
        </w:rPr>
        <w:t xml:space="preserve">development of the “clumped isotope” proxy on fossil mollusc shells overcomes inherent bias in carbonate-based temperature reconstructions, which predominantly rely on oxygen isotope paleothermometry, by resolving seasonal temperature variability independent from assumptions of the isotopic composition of water in ancient oceans </w:t>
      </w:r>
      <w:r w:rsidR="00C56E81">
        <w:rPr>
          <w:lang w:val="en-GB"/>
        </w:rPr>
        <w:fldChar w:fldCharType="begin"/>
      </w:r>
      <w:r w:rsidR="00C56E81">
        <w:rPr>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Pr>
          <w:rFonts w:ascii="Cambria Math" w:hAnsi="Cambria Math" w:cs="Cambria Math"/>
          <w:lang w:val="en-GB"/>
        </w:rPr>
        <w:instrText>∼</w:instrText>
      </w:r>
      <w:r w:rsidR="00C56E81">
        <w:rPr>
          <w:lang w:val="en-GB"/>
        </w:rPr>
        <w:instrText>6</w:instrText>
      </w:r>
      <w:r w:rsidR="00C56E81">
        <w:rPr>
          <w:rFonts w:ascii="Arial" w:hAnsi="Arial" w:cs="Arial"/>
          <w:lang w:val="en-GB"/>
        </w:rPr>
        <w:instrText> </w:instrText>
      </w:r>
      <w:r w:rsidR="00C56E81">
        <w:rPr>
          <w:rFonts w:ascii="Aptos" w:hAnsi="Aptos" w:cs="Aptos"/>
          <w:lang w:val="en-GB"/>
        </w:rPr>
        <w:instrText>°</w:instrText>
      </w:r>
      <w:r w:rsidR="00C56E81">
        <w:rPr>
          <w:lang w:val="en-GB"/>
        </w:rPr>
        <w:instrText xml:space="preserve">C. By combining bivalve </w:instrText>
      </w:r>
      <w:r w:rsidR="00C56E81">
        <w:rPr>
          <w:rFonts w:ascii="Aptos" w:hAnsi="Aptos" w:cs="Aptos"/>
          <w:lang w:val="en-GB"/>
        </w:rPr>
        <w:instrText>δ</w:instrText>
      </w:r>
      <w:r w:rsidR="00C56E81">
        <w:rPr>
          <w:lang w:val="en-GB"/>
        </w:rPr>
        <w:instrText xml:space="preserve">18Oshell and </w:instrText>
      </w:r>
      <w:r w:rsidR="00C56E81">
        <w:rPr>
          <w:rFonts w:ascii="Aptos" w:hAnsi="Aptos" w:cs="Aptos"/>
          <w:lang w:val="en-GB"/>
        </w:rPr>
        <w:instrText>Δ</w:instrText>
      </w:r>
      <w:r w:rsidR="00C56E81">
        <w:rPr>
          <w:lang w:val="en-GB"/>
        </w:rPr>
        <w:instrText xml:space="preserve">47-based temperatures, we obtain realistic estimates of seasonal </w:instrText>
      </w:r>
      <w:r w:rsidR="00C56E81">
        <w:rPr>
          <w:rFonts w:ascii="Aptos" w:hAnsi="Aptos" w:cs="Aptos"/>
          <w:lang w:val="en-GB"/>
        </w:rPr>
        <w:instrText>δ</w:instrText>
      </w:r>
      <w:r w:rsidR="00C56E81">
        <w:rPr>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Pr>
          <w:rFonts w:ascii="Cambria Math" w:hAnsi="Cambria Math" w:cs="Cambria Math"/>
          <w:lang w:val="en-GB"/>
        </w:rPr>
        <w:instrText>∼</w:instrText>
      </w:r>
      <w:r w:rsidR="00C56E81">
        <w:rPr>
          <w:lang w:val="en-GB"/>
        </w:rPr>
        <w:instrText>25</w:instrText>
      </w:r>
      <w:r w:rsidR="00C56E81">
        <w:rPr>
          <w:rFonts w:ascii="Aptos" w:hAnsi="Aptos" w:cs="Aptos"/>
          <w:lang w:val="en-GB"/>
        </w:rPr>
        <w:instrText>–</w:instrText>
      </w:r>
      <w:r w:rsidR="00C56E81">
        <w:rPr>
          <w:lang w:val="en-GB"/>
        </w:rPr>
        <w:instrText>30</w:instrText>
      </w:r>
      <w:r w:rsidR="00C56E81">
        <w:rPr>
          <w:rFonts w:ascii="Arial" w:hAnsi="Arial" w:cs="Arial"/>
          <w:lang w:val="en-GB"/>
        </w:rPr>
        <w:instrText> </w:instrText>
      </w:r>
      <w:r w:rsidR="00C56E81">
        <w:rPr>
          <w:rFonts w:ascii="Aptos" w:hAnsi="Aptos" w:cs="Aptos"/>
          <w:lang w:val="en-GB"/>
        </w:rPr>
        <w:instrText>°</w:instrText>
      </w:r>
      <w:r w:rsidR="00C56E81">
        <w:rPr>
          <w:lang w:val="en-GB"/>
        </w:rPr>
        <w:instrText>C), and suggests that benthic metazoans were able to thrive at temperatures of 35–40</w:instrText>
      </w:r>
      <w:r w:rsidR="00C56E81">
        <w:rPr>
          <w:rFonts w:ascii="Arial" w:hAnsi="Arial" w:cs="Arial"/>
          <w:lang w:val="en-GB"/>
        </w:rPr>
        <w:instrText> </w:instrText>
      </w:r>
      <w:r w:rsidR="00C56E81">
        <w:rPr>
          <w:rFonts w:ascii="Aptos" w:hAnsi="Aptos" w:cs="Aptos"/>
          <w:lang w:val="en-GB"/>
        </w:rPr>
        <w:instrText>°</w:instrText>
      </w:r>
      <w:r w:rsidR="00C56E81">
        <w:rPr>
          <w:lang w:val="en-GB"/>
        </w:rPr>
        <w:instrText>C during intervals of the early and possibly the latest Paleozoic when CO2 levels were likely 5</w:instrText>
      </w:r>
      <w:r w:rsidR="00C56E81">
        <w:rPr>
          <w:rFonts w:ascii="Aptos" w:hAnsi="Aptos" w:cs="Aptos"/>
          <w:lang w:val="en-GB"/>
        </w:rPr>
        <w:instrText>–</w:instrText>
      </w:r>
      <w:r w:rsidR="00C56E81">
        <w:rPr>
          <w:lang w:val="en-GB"/>
        </w:rPr>
        <w:instrText>10</w:instrText>
      </w:r>
      <w:r w:rsidR="00C56E81">
        <w:rPr>
          <w:rFonts w:ascii="Aptos" w:hAnsi="Aptos" w:cs="Aptos"/>
          <w:lang w:val="en-GB"/>
        </w:rPr>
        <w:instrText>×</w:instrText>
      </w:r>
      <w:r w:rsidR="00C56E81">
        <w:rPr>
          <w:lang w:val="en-GB"/>
        </w:rPr>
        <w:instrText xml:space="preserve"> higher than present-day values. Equally important, there is no resolvable trend in seawater oxygen isotope ratios (</w:instrText>
      </w:r>
      <w:r w:rsidR="00C56E81">
        <w:rPr>
          <w:rFonts w:ascii="Aptos" w:hAnsi="Aptos" w:cs="Aptos"/>
          <w:lang w:val="en-GB"/>
        </w:rPr>
        <w:instrText>δ</w:instrText>
      </w:r>
      <w:r w:rsidR="00C56E81">
        <w:rPr>
          <w:lang w:val="en-GB"/>
        </w:rPr>
        <w:instrText xml:space="preserve">18O) over the past </w:instrText>
      </w:r>
      <w:r w:rsidR="00C56E81">
        <w:rPr>
          <w:rFonts w:ascii="Cambria Math" w:hAnsi="Cambria Math" w:cs="Cambria Math"/>
          <w:lang w:val="en-GB"/>
        </w:rPr>
        <w:instrText>∼</w:instrText>
      </w:r>
      <w:r w:rsidR="00C56E81">
        <w:rPr>
          <w:lang w:val="en-GB"/>
        </w:rPr>
        <w:instrText>500 million years, indicating that the average temperature of oxygen exchange between seawater and the oceanic crust has been high (</w:instrText>
      </w:r>
      <w:r w:rsidR="00C56E81">
        <w:rPr>
          <w:rFonts w:ascii="Cambria Math" w:hAnsi="Cambria Math" w:cs="Cambria Math"/>
          <w:lang w:val="en-GB"/>
        </w:rPr>
        <w:instrText>∼</w:instrText>
      </w:r>
      <w:r w:rsidR="00C56E81">
        <w:rPr>
          <w:lang w:val="en-GB"/>
        </w:rPr>
        <w:instrText>270</w:instrText>
      </w:r>
      <w:r w:rsidR="00C56E81">
        <w:rPr>
          <w:rFonts w:ascii="Arial" w:hAnsi="Arial" w:cs="Arial"/>
          <w:lang w:val="en-GB"/>
        </w:rPr>
        <w:instrText> </w:instrText>
      </w:r>
      <w:r w:rsidR="00C56E81">
        <w:rPr>
          <w:rFonts w:ascii="Aptos" w:hAnsi="Aptos" w:cs="Aptos"/>
          <w:lang w:val="en-GB"/>
        </w:rPr>
        <w:instrText>°</w:instrText>
      </w:r>
      <w:r w:rsidR="00C56E81">
        <w:rPr>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Pr>
          <w:rFonts w:ascii="Arial" w:hAnsi="Arial" w:cs="Arial"/>
          <w:lang w:val="en-GB"/>
        </w:rPr>
        <w:instrText> </w:instrText>
      </w:r>
      <w:r w:rsidR="00C56E81">
        <w:rPr>
          <w:rFonts w:ascii="Aptos" w:hAnsi="Aptos" w:cs="Aptos"/>
          <w:lang w:val="en-GB"/>
        </w:rPr>
        <w:instrText>°</w:instrText>
      </w:r>
      <w:r w:rsidR="00C56E81">
        <w:rPr>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7A06F2">
        <w:rPr>
          <w:lang w:val="nl-NL"/>
        </w:rPr>
        <w:instrText xml:space="preserve"> of temperatures (1–850°C). We observe no discernible offset in clumped isotope value</w:instrText>
      </w:r>
      <w:r w:rsidR="00C56E81" w:rsidRPr="00C56E81">
        <w:rPr>
          <w:lang w:val="nl-NL"/>
        </w:rPr>
        <w:instrText xml:space="preserv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Pr>
          <w:lang w:val="en-GB"/>
        </w:rPr>
        <w:fldChar w:fldCharType="separate"/>
      </w:r>
      <w:r w:rsidR="00C56E81" w:rsidRPr="00C56E81">
        <w:rPr>
          <w:rFonts w:ascii="Aptos" w:hAnsi="Aptos"/>
        </w:rPr>
        <w:t>(Caldarescu et al., 2021; Henkes et al., 2018; Meckler et al., 2022; de Winter et al., 2021, 2022)</w:t>
      </w:r>
      <w:r w:rsidR="00C56E81">
        <w:rPr>
          <w:lang w:val="en-GB"/>
        </w:rPr>
        <w:fldChar w:fldCharType="end"/>
      </w:r>
      <w:r w:rsidR="00C56E81" w:rsidRPr="00C56E81">
        <w:rPr>
          <w:lang w:val="nl-NL"/>
        </w:rPr>
        <w:t>.</w:t>
      </w:r>
    </w:p>
    <w:p w14:paraId="35A5C3DB" w14:textId="77777777" w:rsidR="00C56E81" w:rsidRDefault="003F32EB" w:rsidP="00F4367D">
      <w:pPr>
        <w:jc w:val="both"/>
        <w:rPr>
          <w:lang w:val="en-GB"/>
        </w:rPr>
      </w:pPr>
      <w:r>
        <w:rPr>
          <w:lang w:val="en-GB"/>
        </w:rPr>
        <w:t xml:space="preserve">While </w:t>
      </w:r>
      <w:r w:rsidR="002E575F">
        <w:rPr>
          <w:lang w:val="en-GB"/>
        </w:rPr>
        <w:t>recent</w:t>
      </w:r>
      <w:r>
        <w:rPr>
          <w:lang w:val="en-GB"/>
        </w:rPr>
        <w:t xml:space="preserve"> paleoDA studies assemble proxy and model information on seasonal to monthly scales </w:t>
      </w:r>
      <w:r>
        <w:rPr>
          <w:lang w:val="en-GB"/>
        </w:rPr>
        <w:fldChar w:fldCharType="begin"/>
      </w:r>
      <w:r w:rsidR="002E575F">
        <w:rPr>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w:instrText>
      </w:r>
      <w:r w:rsidR="002E575F" w:rsidRPr="002E575F">
        <w:rPr>
          <w:lang w:val="en-GB"/>
        </w:rPr>
        <w:instrText xml:space="preserve">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Pr>
          <w:lang w:val="en-GB"/>
        </w:rPr>
        <w:fldChar w:fldCharType="separate"/>
      </w:r>
      <w:r w:rsidR="002E575F" w:rsidRPr="002E575F">
        <w:rPr>
          <w:rFonts w:ascii="Aptos" w:hAnsi="Aptos"/>
        </w:rPr>
        <w:t>(Franke et al., 2017; King et al., 2021)</w:t>
      </w:r>
      <w:r>
        <w:rPr>
          <w:lang w:val="en-GB"/>
        </w:rPr>
        <w:fldChar w:fldCharType="end"/>
      </w:r>
      <w:r w:rsidR="002E575F" w:rsidRPr="002E575F">
        <w:rPr>
          <w:lang w:val="en-GB"/>
        </w:rPr>
        <w:t xml:space="preserve">, </w:t>
      </w:r>
      <w:r w:rsidR="002E575F">
        <w:rPr>
          <w:lang w:val="en-GB"/>
        </w:rPr>
        <w:t xml:space="preserve">seasonally-resolved proxy records have, to our knowledge, not yet been included in paleoDA studies. As a consequence, sub-annual scale variability in climate parameters is either not included in paleoDA products (e.g. </w:t>
      </w:r>
      <w:r w:rsidR="002E575F">
        <w:rPr>
          <w:lang w:val="en-GB"/>
        </w:rPr>
        <w:fldChar w:fldCharType="begin"/>
      </w:r>
      <w:r w:rsidR="002E575F">
        <w:rPr>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Pr>
          <w:rFonts w:ascii="Arial" w:hAnsi="Arial" w:cs="Arial"/>
          <w:lang w:val="en-GB"/>
        </w:rPr>
        <w:instrText> </w:instrText>
      </w:r>
      <w:r w:rsidR="002E575F">
        <w:rPr>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Pr>
          <w:rFonts w:ascii="Arial" w:hAnsi="Arial" w:cs="Arial"/>
          <w:lang w:val="en-GB"/>
        </w:rPr>
        <w:instrText> </w:instrText>
      </w:r>
      <w:r w:rsidR="002E575F">
        <w:rPr>
          <w:rFonts w:ascii="Aptos" w:hAnsi="Aptos" w:cs="Aptos"/>
          <w:lang w:val="en-GB"/>
        </w:rPr>
        <w:instrText>°</w:instrText>
      </w:r>
      <w:r w:rsidR="002E575F">
        <w:rPr>
          <w:lang w:val="en-GB"/>
        </w:rPr>
        <w:instrText>C, since the early Holocene (around 9</w:instrText>
      </w:r>
      <w:r w:rsidR="002E575F">
        <w:rPr>
          <w:rFonts w:ascii="Aptos" w:hAnsi="Aptos" w:cs="Aptos"/>
          <w:lang w:val="en-GB"/>
        </w:rPr>
        <w:instrText> </w:instrText>
      </w:r>
      <w:r w:rsidR="002E575F">
        <w:rPr>
          <w:lang w:val="en-GB"/>
        </w:rPr>
        <w:instrText>thousand years ago). When compared with recent temperature changes11, our reanalysis indicates that both the rate and magnitude of modern warming are unusual relative to the changes of the past 24</w:instrText>
      </w:r>
      <w:r w:rsidR="002E575F">
        <w:rPr>
          <w:rFonts w:ascii="Aptos" w:hAnsi="Aptos" w:cs="Aptos"/>
          <w:lang w:val="en-GB"/>
        </w:rPr>
        <w:instrText> </w:instrText>
      </w:r>
      <w:r w:rsidR="002E575F">
        <w:rPr>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Pr>
          <w:lang w:val="en-GB"/>
        </w:rPr>
        <w:fldChar w:fldCharType="separate"/>
      </w:r>
      <w:r w:rsidR="002E575F" w:rsidRPr="002E575F">
        <w:rPr>
          <w:rFonts w:ascii="Aptos" w:hAnsi="Aptos"/>
        </w:rPr>
        <w:t>(Judd et al., 2024; Osman et al., 2021)</w:t>
      </w:r>
      <w:r w:rsidR="002E575F">
        <w:rPr>
          <w:lang w:val="en-GB"/>
        </w:rPr>
        <w:fldChar w:fldCharType="end"/>
      </w:r>
      <w:r w:rsidR="002E575F">
        <w:rPr>
          <w:lang w:val="en-GB"/>
        </w:rPr>
        <w:t xml:space="preserve">) or indirectly included in proxy-system models through estimates of the growing seasons of organisms producing assembled proxy records </w:t>
      </w:r>
      <w:r w:rsidR="002E575F">
        <w:rPr>
          <w:lang w:val="en-GB"/>
        </w:rPr>
        <w:fldChar w:fldCharType="begin"/>
      </w:r>
      <w:r w:rsidR="002E575F">
        <w:rPr>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Pr>
          <w:lang w:val="en-GB"/>
        </w:rPr>
        <w:fldChar w:fldCharType="separate"/>
      </w:r>
      <w:r w:rsidR="002E575F" w:rsidRPr="002E575F">
        <w:rPr>
          <w:rFonts w:ascii="Aptos" w:hAnsi="Aptos"/>
        </w:rPr>
        <w:t>(Evans et al., 2013; King et al., 2021)</w:t>
      </w:r>
      <w:r w:rsidR="002E575F">
        <w:rPr>
          <w:lang w:val="en-GB"/>
        </w:rPr>
        <w:fldChar w:fldCharType="end"/>
      </w:r>
      <w:r w:rsidR="002E575F">
        <w:rPr>
          <w:lang w:val="en-GB"/>
        </w:rPr>
        <w:t>.</w:t>
      </w:r>
    </w:p>
    <w:p w14:paraId="28A79D65" w14:textId="245032C8" w:rsidR="008F4501" w:rsidRPr="002E575F" w:rsidRDefault="00C56E81" w:rsidP="007A06F2">
      <w:pPr>
        <w:jc w:val="both"/>
        <w:rPr>
          <w:lang w:val="en-GB"/>
        </w:rPr>
      </w:pPr>
      <w:r>
        <w:rPr>
          <w:lang w:val="en-GB"/>
        </w:rPr>
        <w:t xml:space="preserve">Here, we present a data assimilation framework for combining sub-annually resolved proxy data with model outcomes on the monthly and seasonal scale. The aim of this contribution is </w:t>
      </w:r>
      <w:r w:rsidR="00203C6E">
        <w:rPr>
          <w:lang w:val="en-GB"/>
        </w:rPr>
        <w:t xml:space="preserve">twofold: Firstly, we provide a detailed methodology for data assimilation </w:t>
      </w:r>
      <w:r w:rsidR="007A06F2">
        <w:rPr>
          <w:lang w:val="en-GB"/>
        </w:rPr>
        <w:t>at the sub-annual scale to make the paleoDA workflow accessible for researchers in the field of sclerochronology. Secondly, we apply our paleoDA framework to modern and ancient seasonal proxy datasets to test the sensitivity of the paleoDA “posterior” to proxy data characteristics and choices made in the assimilation routine.</w:t>
      </w:r>
    </w:p>
    <w:p w14:paraId="2CED7C3C" w14:textId="7D26E288" w:rsidR="002F3751" w:rsidRPr="002E575F" w:rsidRDefault="002F3751" w:rsidP="00505760">
      <w:pPr>
        <w:jc w:val="both"/>
        <w:rPr>
          <w:b/>
          <w:bCs/>
          <w:lang w:val="en-GB"/>
        </w:rPr>
      </w:pPr>
      <w:r w:rsidRPr="002E575F">
        <w:rPr>
          <w:b/>
          <w:bCs/>
          <w:lang w:val="en-GB"/>
        </w:rPr>
        <w:t>Methods</w:t>
      </w:r>
    </w:p>
    <w:p w14:paraId="4C683180" w14:textId="53BC3188" w:rsidR="008F4501" w:rsidRPr="002E575F" w:rsidRDefault="008F4501" w:rsidP="00505760">
      <w:pPr>
        <w:pStyle w:val="ListParagraph"/>
        <w:numPr>
          <w:ilvl w:val="0"/>
          <w:numId w:val="1"/>
        </w:numPr>
        <w:jc w:val="both"/>
        <w:rPr>
          <w:lang w:val="en-GB"/>
        </w:rPr>
      </w:pPr>
      <w:r w:rsidRPr="002E575F">
        <w:rPr>
          <w:lang w:val="en-GB"/>
        </w:rPr>
        <w:t>Sources of proxy data and models</w:t>
      </w:r>
      <w:r w:rsidR="00156B07" w:rsidRPr="002E575F">
        <w:rPr>
          <w:lang w:val="en-GB"/>
        </w:rPr>
        <w:t xml:space="preserve"> + plot of priors</w:t>
      </w:r>
    </w:p>
    <w:p w14:paraId="0A7F8674" w14:textId="0A98923A" w:rsidR="008F4501" w:rsidRPr="002E575F" w:rsidRDefault="008F4501" w:rsidP="00505760">
      <w:pPr>
        <w:pStyle w:val="ListParagraph"/>
        <w:numPr>
          <w:ilvl w:val="0"/>
          <w:numId w:val="1"/>
        </w:numPr>
        <w:jc w:val="both"/>
        <w:rPr>
          <w:lang w:val="en-GB"/>
        </w:rPr>
      </w:pPr>
      <w:r w:rsidRPr="002E575F">
        <w:rPr>
          <w:lang w:val="en-GB"/>
        </w:rPr>
        <w:t>Step by step breakthrough (with flowchart + in between results</w:t>
      </w:r>
      <w:r w:rsidR="00156B07" w:rsidRPr="002E575F">
        <w:rPr>
          <w:lang w:val="en-GB"/>
        </w:rPr>
        <w:t>/likelihood</w:t>
      </w:r>
      <w:r w:rsidRPr="002E575F">
        <w:rPr>
          <w:lang w:val="en-GB"/>
        </w:rPr>
        <w:t>) of DA routine</w:t>
      </w:r>
      <w:r w:rsidR="003613F6" w:rsidRPr="002E575F">
        <w:rPr>
          <w:lang w:val="en-GB"/>
        </w:rPr>
        <w:t xml:space="preserve"> + explanation of choices of assembled parameters</w:t>
      </w:r>
    </w:p>
    <w:p w14:paraId="3D8B9AC6" w14:textId="3A018741" w:rsidR="00156B07" w:rsidRPr="002E575F" w:rsidRDefault="00156B07" w:rsidP="00505760">
      <w:pPr>
        <w:pStyle w:val="ListParagraph"/>
        <w:numPr>
          <w:ilvl w:val="0"/>
          <w:numId w:val="1"/>
        </w:numPr>
        <w:jc w:val="both"/>
        <w:rPr>
          <w:lang w:val="en-GB"/>
        </w:rPr>
      </w:pPr>
      <w:r w:rsidRPr="002E575F">
        <w:rPr>
          <w:lang w:val="en-GB"/>
        </w:rPr>
        <w:t>Note on code and data availability (+ acknowledgement of VS Code + Co-Pilot Gemini)</w:t>
      </w:r>
    </w:p>
    <w:p w14:paraId="2DF1F7F9" w14:textId="7B9A4751" w:rsidR="00156B07" w:rsidRPr="002E575F" w:rsidRDefault="00156B07" w:rsidP="00505760">
      <w:pPr>
        <w:pStyle w:val="ListParagraph"/>
        <w:numPr>
          <w:ilvl w:val="0"/>
          <w:numId w:val="1"/>
        </w:numPr>
        <w:jc w:val="both"/>
        <w:rPr>
          <w:lang w:val="en-GB"/>
        </w:rPr>
      </w:pPr>
      <w:r w:rsidRPr="002E575F">
        <w:rPr>
          <w:lang w:val="en-GB"/>
        </w:rPr>
        <w:t>Sensitivity experiments</w:t>
      </w:r>
    </w:p>
    <w:p w14:paraId="1763AE3D" w14:textId="371A5D04" w:rsidR="00156B07" w:rsidRPr="002E575F" w:rsidRDefault="00156B07" w:rsidP="00505760">
      <w:pPr>
        <w:pStyle w:val="ListParagraph"/>
        <w:numPr>
          <w:ilvl w:val="1"/>
          <w:numId w:val="1"/>
        </w:numPr>
        <w:jc w:val="both"/>
        <w:rPr>
          <w:lang w:val="en-GB"/>
        </w:rPr>
      </w:pPr>
      <w:r w:rsidRPr="002E575F">
        <w:rPr>
          <w:lang w:val="en-GB"/>
        </w:rPr>
        <w:t>Treatment of uncertainty in time domain</w:t>
      </w:r>
      <w:r w:rsidR="00D03063" w:rsidRPr="002E575F">
        <w:rPr>
          <w:lang w:val="en-GB"/>
        </w:rPr>
        <w:t xml:space="preserve"> of proxy data</w:t>
      </w:r>
    </w:p>
    <w:p w14:paraId="3D231A58" w14:textId="66458CD9" w:rsidR="00156B07" w:rsidRPr="002E575F" w:rsidRDefault="00156B07" w:rsidP="00505760">
      <w:pPr>
        <w:pStyle w:val="ListParagraph"/>
        <w:numPr>
          <w:ilvl w:val="1"/>
          <w:numId w:val="1"/>
        </w:numPr>
        <w:jc w:val="both"/>
        <w:rPr>
          <w:lang w:val="en-GB"/>
        </w:rPr>
      </w:pPr>
      <w:r w:rsidRPr="002E575F">
        <w:rPr>
          <w:lang w:val="en-GB"/>
        </w:rPr>
        <w:t>Treatment of uncertainty in proxy-forward models</w:t>
      </w:r>
    </w:p>
    <w:p w14:paraId="19C62B15" w14:textId="0864AE40" w:rsidR="00156B07" w:rsidRPr="002E575F" w:rsidRDefault="00156B07" w:rsidP="00505760">
      <w:pPr>
        <w:pStyle w:val="ListParagraph"/>
        <w:numPr>
          <w:ilvl w:val="1"/>
          <w:numId w:val="1"/>
        </w:numPr>
        <w:jc w:val="both"/>
        <w:rPr>
          <w:lang w:val="en-GB"/>
        </w:rPr>
      </w:pPr>
      <w:r w:rsidRPr="002E575F">
        <w:rPr>
          <w:lang w:val="en-GB"/>
        </w:rPr>
        <w:t>pCO2 in model prior</w:t>
      </w:r>
    </w:p>
    <w:p w14:paraId="394D6A87" w14:textId="73DE4E01" w:rsidR="00156B07" w:rsidRPr="002E575F" w:rsidRDefault="00156B07" w:rsidP="00505760">
      <w:pPr>
        <w:pStyle w:val="ListParagraph"/>
        <w:numPr>
          <w:ilvl w:val="1"/>
          <w:numId w:val="1"/>
        </w:numPr>
        <w:jc w:val="both"/>
        <w:rPr>
          <w:lang w:val="en-GB"/>
        </w:rPr>
      </w:pPr>
      <w:r w:rsidRPr="002E575F">
        <w:rPr>
          <w:lang w:val="en-GB"/>
        </w:rPr>
        <w:t>Assimilation of D47 alone or including d18Oc</w:t>
      </w:r>
    </w:p>
    <w:p w14:paraId="299287C2" w14:textId="40AE816F" w:rsidR="00156B07" w:rsidRPr="00156B07" w:rsidRDefault="00156B07" w:rsidP="00505760">
      <w:pPr>
        <w:pStyle w:val="ListParagraph"/>
        <w:numPr>
          <w:ilvl w:val="1"/>
          <w:numId w:val="1"/>
        </w:numPr>
        <w:jc w:val="both"/>
        <w:rPr>
          <w:lang w:val="en-GB"/>
        </w:rPr>
      </w:pPr>
      <w:r w:rsidRPr="002E575F">
        <w:rPr>
          <w:lang w:val="en-GB"/>
        </w:rPr>
        <w:t>D18Oc-hydrology transfer funct</w:t>
      </w:r>
      <w:r>
        <w:rPr>
          <w:lang w:val="en-GB"/>
        </w:rPr>
        <w:t>ion and uncertainty</w:t>
      </w:r>
    </w:p>
    <w:p w14:paraId="0053E9B3" w14:textId="1044E252" w:rsidR="002F3751" w:rsidRPr="001A570A" w:rsidRDefault="002F3751" w:rsidP="00505760">
      <w:pPr>
        <w:jc w:val="both"/>
        <w:rPr>
          <w:b/>
          <w:bCs/>
          <w:lang w:val="en-GB"/>
        </w:rPr>
      </w:pPr>
      <w:r w:rsidRPr="001A570A">
        <w:rPr>
          <w:b/>
          <w:bCs/>
          <w:lang w:val="en-GB"/>
        </w:rPr>
        <w:t>Results</w:t>
      </w:r>
    </w:p>
    <w:p w14:paraId="4A9DFA1A" w14:textId="675E65C9" w:rsidR="00156B07" w:rsidRDefault="00D03063" w:rsidP="00505760">
      <w:pPr>
        <w:pStyle w:val="ListParagraph"/>
        <w:numPr>
          <w:ilvl w:val="0"/>
          <w:numId w:val="1"/>
        </w:numPr>
        <w:jc w:val="both"/>
        <w:rPr>
          <w:lang w:val="en-GB"/>
        </w:rPr>
      </w:pPr>
      <w:r w:rsidRPr="00D03063">
        <w:rPr>
          <w:lang w:val="en-GB"/>
        </w:rPr>
        <w:t>Fully assembled default posteriors f</w:t>
      </w:r>
      <w:r>
        <w:rPr>
          <w:lang w:val="en-GB"/>
        </w:rPr>
        <w:t>or all case studies</w:t>
      </w:r>
      <w:r w:rsidR="003613F6">
        <w:rPr>
          <w:lang w:val="en-GB"/>
        </w:rPr>
        <w:t xml:space="preserve"> + compare data and model information on different parameters</w:t>
      </w:r>
    </w:p>
    <w:p w14:paraId="16A5EAFB" w14:textId="61449AD7" w:rsidR="00D03063" w:rsidRDefault="00D03063" w:rsidP="00505760">
      <w:pPr>
        <w:pStyle w:val="ListParagraph"/>
        <w:numPr>
          <w:ilvl w:val="0"/>
          <w:numId w:val="1"/>
        </w:numPr>
        <w:jc w:val="both"/>
        <w:rPr>
          <w:lang w:val="en-GB"/>
        </w:rPr>
      </w:pPr>
      <w:r>
        <w:rPr>
          <w:lang w:val="en-GB"/>
        </w:rPr>
        <w:t xml:space="preserve">Compare different </w:t>
      </w:r>
      <w:r w:rsidR="003613F6">
        <w:rPr>
          <w:lang w:val="en-GB"/>
        </w:rPr>
        <w:t xml:space="preserve">ways of treating </w:t>
      </w:r>
      <w:r>
        <w:rPr>
          <w:lang w:val="en-GB"/>
        </w:rPr>
        <w:t xml:space="preserve">proxy </w:t>
      </w:r>
      <w:r w:rsidR="003613F6">
        <w:rPr>
          <w:lang w:val="en-GB"/>
        </w:rPr>
        <w:t>data and time uncertainty</w:t>
      </w:r>
    </w:p>
    <w:p w14:paraId="02D1C136" w14:textId="28EFE80C" w:rsidR="00D03063" w:rsidRDefault="00D03063" w:rsidP="00505760">
      <w:pPr>
        <w:pStyle w:val="ListParagraph"/>
        <w:numPr>
          <w:ilvl w:val="0"/>
          <w:numId w:val="1"/>
        </w:numPr>
        <w:jc w:val="both"/>
        <w:rPr>
          <w:lang w:val="en-GB"/>
        </w:rPr>
      </w:pPr>
      <w:r>
        <w:rPr>
          <w:lang w:val="en-GB"/>
        </w:rPr>
        <w:t>Sensitivity of PWP result to different pCO2 models</w:t>
      </w:r>
    </w:p>
    <w:p w14:paraId="09F57757" w14:textId="659F236C" w:rsidR="00D03063" w:rsidRPr="00D03063" w:rsidRDefault="003613F6" w:rsidP="00505760">
      <w:pPr>
        <w:pStyle w:val="ListParagraph"/>
        <w:numPr>
          <w:ilvl w:val="0"/>
          <w:numId w:val="1"/>
        </w:numPr>
        <w:jc w:val="both"/>
        <w:rPr>
          <w:lang w:val="en-GB"/>
        </w:rPr>
      </w:pPr>
      <w:r>
        <w:rPr>
          <w:lang w:val="en-GB"/>
        </w:rPr>
        <w:lastRenderedPageBreak/>
        <w:t>Comparison different d18Oc-hydrology treatments (Harwood vs assuming -7 permille?)</w:t>
      </w:r>
    </w:p>
    <w:p w14:paraId="69BF0551" w14:textId="65C83CAF" w:rsidR="002F3751" w:rsidRPr="001A570A" w:rsidRDefault="002F3751" w:rsidP="00505760">
      <w:pPr>
        <w:jc w:val="both"/>
        <w:rPr>
          <w:b/>
          <w:bCs/>
          <w:lang w:val="en-GB"/>
        </w:rPr>
      </w:pPr>
      <w:r w:rsidRPr="001A570A">
        <w:rPr>
          <w:b/>
          <w:bCs/>
          <w:lang w:val="en-GB"/>
        </w:rPr>
        <w:t>Discussion</w:t>
      </w:r>
    </w:p>
    <w:p w14:paraId="532E5E3A" w14:textId="3510A6B2" w:rsidR="00D07D4B" w:rsidRDefault="00D07D4B" w:rsidP="00505760">
      <w:pPr>
        <w:pStyle w:val="ListParagraph"/>
        <w:numPr>
          <w:ilvl w:val="0"/>
          <w:numId w:val="1"/>
        </w:numPr>
        <w:jc w:val="both"/>
        <w:rPr>
          <w:lang w:val="en-GB"/>
        </w:rPr>
      </w:pPr>
      <w:r>
        <w:rPr>
          <w:lang w:val="en-GB"/>
        </w:rPr>
        <w:t>Where do proxy and model outcomes agree or disagree?</w:t>
      </w:r>
    </w:p>
    <w:p w14:paraId="22094CAE" w14:textId="261A85EE" w:rsidR="00D07D4B" w:rsidRDefault="00D07D4B" w:rsidP="00505760">
      <w:pPr>
        <w:pStyle w:val="ListParagraph"/>
        <w:numPr>
          <w:ilvl w:val="0"/>
          <w:numId w:val="1"/>
        </w:numPr>
        <w:jc w:val="both"/>
        <w:rPr>
          <w:lang w:val="en-GB"/>
        </w:rPr>
      </w:pPr>
      <w:r>
        <w:rPr>
          <w:lang w:val="en-GB"/>
        </w:rPr>
        <w:t>Quality of proxy data and transfer functions vs bias in models?</w:t>
      </w:r>
    </w:p>
    <w:p w14:paraId="2B05A4AF" w14:textId="15C57536" w:rsidR="003613F6" w:rsidRDefault="00D07D4B" w:rsidP="00505760">
      <w:pPr>
        <w:pStyle w:val="ListParagraph"/>
        <w:numPr>
          <w:ilvl w:val="0"/>
          <w:numId w:val="1"/>
        </w:numPr>
        <w:jc w:val="both"/>
        <w:rPr>
          <w:lang w:val="en-GB"/>
        </w:rPr>
      </w:pPr>
      <w:r w:rsidRPr="00D07D4B">
        <w:rPr>
          <w:lang w:val="en-GB"/>
        </w:rPr>
        <w:t>How to weigh proxy v</w:t>
      </w:r>
      <w:r>
        <w:rPr>
          <w:lang w:val="en-GB"/>
        </w:rPr>
        <w:t>s model information?</w:t>
      </w:r>
    </w:p>
    <w:p w14:paraId="6756F388" w14:textId="006E4701" w:rsidR="00D07D4B" w:rsidRDefault="00D07D4B" w:rsidP="00505760">
      <w:pPr>
        <w:pStyle w:val="ListParagraph"/>
        <w:numPr>
          <w:ilvl w:val="0"/>
          <w:numId w:val="1"/>
        </w:numPr>
        <w:jc w:val="both"/>
        <w:rPr>
          <w:lang w:val="en-GB"/>
        </w:rPr>
      </w:pPr>
      <w:r>
        <w:rPr>
          <w:lang w:val="en-GB"/>
        </w:rPr>
        <w:t>Can seasonal proxy data be used to inform or tune modelling efforts?</w:t>
      </w:r>
    </w:p>
    <w:p w14:paraId="5DC8D39F" w14:textId="2F04B3AA" w:rsidR="00D07D4B" w:rsidRPr="00D07D4B" w:rsidRDefault="00D07D4B" w:rsidP="00505760">
      <w:pPr>
        <w:pStyle w:val="ListParagraph"/>
        <w:numPr>
          <w:ilvl w:val="0"/>
          <w:numId w:val="1"/>
        </w:numPr>
        <w:jc w:val="both"/>
        <w:rPr>
          <w:lang w:val="en-GB"/>
        </w:rPr>
      </w:pPr>
      <w:r>
        <w:rPr>
          <w:lang w:val="en-GB"/>
        </w:rPr>
        <w:t>How powerful is DA for inferring structure of un-sampled climate parameters?</w:t>
      </w:r>
    </w:p>
    <w:p w14:paraId="4CD3BB6E" w14:textId="53C46822" w:rsidR="002F3751" w:rsidRDefault="002F3751" w:rsidP="00505760">
      <w:pPr>
        <w:jc w:val="both"/>
        <w:rPr>
          <w:b/>
          <w:bCs/>
          <w:lang w:val="nl-NL"/>
        </w:rPr>
      </w:pPr>
      <w:r w:rsidRPr="00BB6B72">
        <w:rPr>
          <w:b/>
          <w:bCs/>
          <w:lang w:val="en-GB"/>
        </w:rPr>
        <w:t>Outl</w:t>
      </w:r>
      <w:r w:rsidRPr="001F00C1">
        <w:rPr>
          <w:b/>
          <w:bCs/>
          <w:lang w:val="en-GB"/>
        </w:rPr>
        <w:t>ook</w:t>
      </w:r>
      <w:r w:rsidR="00D07D4B" w:rsidRPr="001F00C1">
        <w:rPr>
          <w:b/>
          <w:bCs/>
          <w:lang w:val="en-GB"/>
        </w:rPr>
        <w:t xml:space="preserve"> a</w:t>
      </w:r>
      <w:r w:rsidR="00D07D4B" w:rsidRPr="002E575F">
        <w:rPr>
          <w:b/>
          <w:bCs/>
          <w:lang w:val="en-GB"/>
        </w:rPr>
        <w:t xml:space="preserve">nd </w:t>
      </w:r>
      <w:r w:rsidR="00D07D4B">
        <w:rPr>
          <w:b/>
          <w:bCs/>
          <w:lang w:val="nl-NL"/>
        </w:rPr>
        <w:t>recommendations</w:t>
      </w:r>
    </w:p>
    <w:p w14:paraId="0E683C4E" w14:textId="2C16AA30" w:rsidR="00D07D4B" w:rsidRDefault="00D07D4B" w:rsidP="00505760">
      <w:pPr>
        <w:pStyle w:val="ListParagraph"/>
        <w:numPr>
          <w:ilvl w:val="0"/>
          <w:numId w:val="1"/>
        </w:numPr>
        <w:jc w:val="both"/>
        <w:rPr>
          <w:lang w:val="en-GB"/>
        </w:rPr>
      </w:pPr>
      <w:r w:rsidRPr="00D07D4B">
        <w:rPr>
          <w:lang w:val="en-GB"/>
        </w:rPr>
        <w:t>Which proxy</w:t>
      </w:r>
      <w:r>
        <w:rPr>
          <w:lang w:val="en-GB"/>
        </w:rPr>
        <w:t>(-forward model)</w:t>
      </w:r>
      <w:r w:rsidRPr="00D07D4B">
        <w:rPr>
          <w:lang w:val="en-GB"/>
        </w:rPr>
        <w:t xml:space="preserve"> improvements </w:t>
      </w:r>
      <w:r>
        <w:rPr>
          <w:lang w:val="en-GB"/>
        </w:rPr>
        <w:t>are the best to focus on to improve our ground-truth information for model assessment?</w:t>
      </w:r>
    </w:p>
    <w:p w14:paraId="197FF7C7" w14:textId="17FC541A" w:rsidR="00D07D4B" w:rsidRDefault="00D07D4B" w:rsidP="00505760">
      <w:pPr>
        <w:pStyle w:val="ListParagraph"/>
        <w:numPr>
          <w:ilvl w:val="0"/>
          <w:numId w:val="1"/>
        </w:numPr>
        <w:jc w:val="both"/>
        <w:rPr>
          <w:lang w:val="en-GB"/>
        </w:rPr>
      </w:pPr>
      <w:r>
        <w:rPr>
          <w:lang w:val="en-GB"/>
        </w:rPr>
        <w:t>What model biases can be highlighted and how might they be addressed?</w:t>
      </w:r>
    </w:p>
    <w:p w14:paraId="33116E16" w14:textId="3B0B4B58" w:rsidR="00D07D4B" w:rsidRDefault="00D07D4B" w:rsidP="00505760">
      <w:pPr>
        <w:pStyle w:val="ListParagraph"/>
        <w:numPr>
          <w:ilvl w:val="0"/>
          <w:numId w:val="1"/>
        </w:numPr>
        <w:jc w:val="both"/>
        <w:rPr>
          <w:lang w:val="en-GB"/>
        </w:rPr>
      </w:pPr>
      <w:r>
        <w:rPr>
          <w:lang w:val="en-GB"/>
        </w:rPr>
        <w:t>Any technical improvements in the DA script needed to better assemble these data types?</w:t>
      </w:r>
    </w:p>
    <w:p w14:paraId="303F4D3B" w14:textId="65CBFFE3" w:rsidR="00B053FA" w:rsidRDefault="00B053FA" w:rsidP="00B053FA">
      <w:pPr>
        <w:jc w:val="both"/>
        <w:rPr>
          <w:b/>
          <w:bCs/>
          <w:lang w:val="en-GB"/>
        </w:rPr>
      </w:pPr>
      <w:r>
        <w:rPr>
          <w:b/>
          <w:bCs/>
          <w:lang w:val="en-GB"/>
        </w:rPr>
        <w:t>References</w:t>
      </w:r>
    </w:p>
    <w:p w14:paraId="623FBD9E" w14:textId="77777777" w:rsidR="00C56E81" w:rsidRDefault="00B053FA" w:rsidP="00C56E81">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C56E81">
        <w:t>Alberti, M., Fürsich, F. T., Abdelhady, A. A., and Andersen, N.: Middle to Late Jurassic equatorial seawater temperatures and latitudinal temperature gradients based on stable isotopes of brachiopods and oysters from Gebel Maghara, Egypt, Palaeogeography, Palaeoclimatology, Palaeoecology, 468, 301–313, https://doi.org/10.1016/j.palaeo.2016.11.052, 2017.</w:t>
      </w:r>
    </w:p>
    <w:p w14:paraId="425A4478" w14:textId="77777777" w:rsidR="00C56E81" w:rsidRDefault="00C56E81" w:rsidP="00C56E81">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1C0182EB" w14:textId="77777777" w:rsidR="00C56E81" w:rsidRDefault="00C56E81" w:rsidP="00C56E81">
      <w:pPr>
        <w:pStyle w:val="Bibliography"/>
      </w:pPr>
      <w:r>
        <w:t>Bova, S., Rosenthal, Y., Liu, Z., Godad, S. P., and Yan, M.: Seasonal origin of the thermal maxima at the Holocene and the last interglacial, Nature, 589, 548–553, https://doi.org/10.1038/s41586-020-03155-x, 2021.</w:t>
      </w:r>
    </w:p>
    <w:p w14:paraId="01082440" w14:textId="77777777" w:rsidR="00C56E81" w:rsidRDefault="00C56E81" w:rsidP="00C56E81">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30636B8A" w14:textId="77777777" w:rsidR="00C56E81" w:rsidRDefault="00C56E81" w:rsidP="00C56E81">
      <w:pPr>
        <w:pStyle w:val="Bibliography"/>
      </w:pPr>
      <w:r>
        <w:t>Burke, K. D., Williams, J. W., Chandler, M. A., Haywood, A. M., Lunt, D. J., and Otto-Bliesner, B. L.: Pliocene and Eocene provide best analogs for near-future climates, PNAS, 115, 13288–13293, https://doi.org/10.1073/pnas.1809600115, 2018.</w:t>
      </w:r>
    </w:p>
    <w:p w14:paraId="71216120" w14:textId="77777777" w:rsidR="00C56E81" w:rsidRDefault="00C56E81" w:rsidP="00C56E81">
      <w:pPr>
        <w:pStyle w:val="Bibliography"/>
      </w:pPr>
      <w:r>
        <w:t>Caldarescu, D. E., Sadatzki, H., Andersson, C., Schäfer, P., Fortunato, H., and Meckler, A. N.: Clumped isotope thermometry in bivalve shells: A tool for reconstructing seasonal upwelling, Geochimica et Cosmochimica Acta, 294, 174–191, https://doi.org/10.1016/j.gca.2020.11.019, 2021.</w:t>
      </w:r>
    </w:p>
    <w:p w14:paraId="289805B8" w14:textId="77777777" w:rsidR="00C56E81" w:rsidRDefault="00C56E81" w:rsidP="00C56E81">
      <w:pPr>
        <w:pStyle w:val="Bibliography"/>
      </w:pPr>
      <w:r>
        <w:lastRenderedPageBreak/>
        <w:t>Carré, M. and Cheddadi, R.: Seasonality in long-term climate change, Quaternaire. Revue de l’Association française pour l’étude du Quaternaire, 28, 173–177, https://doi.org/10.4000/quaternaire.8018, 2017.</w:t>
      </w:r>
    </w:p>
    <w:p w14:paraId="6B203417" w14:textId="77777777" w:rsidR="00C56E81" w:rsidRDefault="00C56E81" w:rsidP="00C56E81">
      <w:pPr>
        <w:pStyle w:val="Bibliography"/>
      </w:pPr>
      <w:r>
        <w:t>De Winter, N., Snoeck, C., and Claeys, P.: Seasonal cyclicity in trace elements and stable isotopes of modern horse enamel, PLoS ONE, 11, 1, https://doi.org/10.1371/journal.pone.0166678, 2016.</w:t>
      </w:r>
    </w:p>
    <w:p w14:paraId="4D7B44CD" w14:textId="77777777" w:rsidR="00C56E81" w:rsidRDefault="00C56E81" w:rsidP="00C56E81">
      <w:pPr>
        <w:pStyle w:val="Bibliography"/>
      </w:pPr>
      <w:r>
        <w:t>Evans, M. N., Tolwinski-Ward, S. E., Thompson, D. M., and Anchukaitis, K. J.: Applications of proxy system modeling in high resolution paleoclimatology, Quaternary Science Reviews, 76, 16–28, https://doi.org/10.1016/j.quascirev.2013.05.024, 2013.</w:t>
      </w:r>
    </w:p>
    <w:p w14:paraId="0D0B3C6D" w14:textId="77777777" w:rsidR="00C56E81" w:rsidRDefault="00C56E81" w:rsidP="00C56E81">
      <w:pPr>
        <w:pStyle w:val="Bibliography"/>
      </w:pPr>
      <w:r>
        <w:t>Franke, J., Brönnimann, S., Bhend, J., and Brugnara, Y.: A monthly global paleo-reanalysis of the atmosphere from 1600 to 2005 for studying past climatic variations, Sci Data, 4, 170076, https://doi.org/10.1038/sdata.2017.76, 2017.</w:t>
      </w:r>
    </w:p>
    <w:p w14:paraId="0319CDCF" w14:textId="77777777" w:rsidR="00C56E81" w:rsidRDefault="00C56E81" w:rsidP="00C56E81">
      <w:pPr>
        <w:pStyle w:val="Bibliography"/>
      </w:pPr>
      <w:r>
        <w:t>Fricke, H. C., Clyde, W. C., and O’Neil, J. R.: Intra-tooth variations in δ 18 O (PO 4) of mammalian tooth enamel as a record of seasonal variations in continental climate variables, Geochimica et Cosmochimica Acta, 62, 1839–1850, 1998.</w:t>
      </w:r>
    </w:p>
    <w:p w14:paraId="0FF9381F" w14:textId="77777777" w:rsidR="00C56E81" w:rsidRDefault="00C56E81" w:rsidP="00C56E81">
      <w:pPr>
        <w:pStyle w:val="Bibliography"/>
      </w:pPr>
      <w:r>
        <w:t>Gagan, M. K., Chivas, A. R., and Isdale, P. J.: High-resolution isotopic records from corals using ocean temperature and mass-spawning chronometers, Earth and Planetary Science Letters, 121, 549–558, https://doi.org/10.1016/0012-821X(94)90090-6, 1994.</w:t>
      </w:r>
    </w:p>
    <w:p w14:paraId="66EAC066" w14:textId="77777777" w:rsidR="00C56E81" w:rsidRDefault="00C56E81" w:rsidP="00C56E81">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56E3F04E" w14:textId="77777777" w:rsidR="00C56E81" w:rsidRDefault="00C56E81" w:rsidP="00C56E81">
      <w:pPr>
        <w:pStyle w:val="Bibliography"/>
      </w:pPr>
      <w:r>
        <w:t>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Temperature During the Early Eocene, Paleoceanography and Paleoclimatology, 38, e2022PA004532, https://doi.org/10.1029/2022PA004532, 2023.</w:t>
      </w:r>
    </w:p>
    <w:p w14:paraId="0186C5B8" w14:textId="77777777" w:rsidR="00C56E81" w:rsidRDefault="00C56E81" w:rsidP="00C56E81">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2A5BCE1B" w14:textId="77777777" w:rsidR="00C56E81" w:rsidRDefault="00C56E81" w:rsidP="00C56E81">
      <w:pPr>
        <w:pStyle w:val="Bibliography"/>
      </w:pPr>
      <w:r>
        <w:t>Hao, S., Zhang, X., Duan, Y., Gowan, E. J., Zhu, J., Cauquoin, A., Chen, J., Werner, M., and Chen, F.: Model seasonal and proxy spatial biases revealed by assimilated mid-Holocene seasonal temperatures, Science Bulletin, 70, 2014–2022, https://doi.org/10.1016/j.scib.2025.03.039, 2025.</w:t>
      </w:r>
    </w:p>
    <w:p w14:paraId="1EFEA65F" w14:textId="77777777" w:rsidR="00C56E81" w:rsidRDefault="00C56E81" w:rsidP="00C56E81">
      <w:pPr>
        <w:pStyle w:val="Bibliography"/>
      </w:pPr>
      <w:r>
        <w:lastRenderedPageBreak/>
        <w:t>He, T., Kemp, D. B., Li, J., and Ruhl, M.: Paleoenvironmental changes across the Mesozoic–Paleogene hyperthermal events, Global and Planetary Change, 222, 104058, https://doi.org/10.1016/j.gloplacha.2023.104058, 2023.</w:t>
      </w:r>
    </w:p>
    <w:p w14:paraId="2A415135" w14:textId="77777777" w:rsidR="00C56E81" w:rsidRDefault="00C56E81" w:rsidP="00C56E81">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26D53369" w14:textId="77777777" w:rsidR="00C56E81" w:rsidRDefault="00C56E81" w:rsidP="00C56E81">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5C221A79" w14:textId="77777777" w:rsidR="00C56E81" w:rsidRDefault="00C56E81" w:rsidP="00C56E81">
      <w:pPr>
        <w:pStyle w:val="Bibliography"/>
      </w:pPr>
      <w:r>
        <w:t>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E., Matthews, J. B. R., Maycock, T. K., Waterfield, T., Yelekçi, Ö., Yu, R., and Zhou, B., Cambridge University Press, 2021.</w:t>
      </w:r>
    </w:p>
    <w:p w14:paraId="235E758E" w14:textId="77777777" w:rsidR="00C56E81" w:rsidRDefault="00C56E81" w:rsidP="00C56E81">
      <w:pPr>
        <w:pStyle w:val="Bibliography"/>
      </w:pPr>
      <w:r>
        <w:t>Ivany, L. C.: Reconstructing paleoseasonality from accretionary skeletal carbonates—challenges and opportunities, The Paleontological Society Papers, 18, 133–166, 2012.</w:t>
      </w:r>
    </w:p>
    <w:p w14:paraId="79D07F6E" w14:textId="77777777" w:rsidR="00C56E81" w:rsidRDefault="00C56E81" w:rsidP="00C56E81">
      <w:pPr>
        <w:pStyle w:val="Bibliography"/>
      </w:pPr>
      <w:r>
        <w:t>Ivany, L. C. and Judd, E. J.: Deciphering Temperature Seasonality in Earth’s Ancient Oceans, Annual Review of Earth and Planetary Sciences, 50, 123–152, https://doi.org/10.1146/annurev-earth-032320-095156, 2022.</w:t>
      </w:r>
    </w:p>
    <w:p w14:paraId="4EB59DAA" w14:textId="77777777" w:rsidR="00C56E81" w:rsidRDefault="00C56E81" w:rsidP="00C56E81">
      <w:pPr>
        <w:pStyle w:val="Bibliography"/>
      </w:pPr>
      <w:r>
        <w:t>Ivany, L. C. and Runnegar, B.: Early Permian seasonality from bivalve δ18O and implications for the oxygen isotopic composition of seawater, Geology, 38, 1027–1030, 2010.</w:t>
      </w:r>
    </w:p>
    <w:p w14:paraId="286E6298" w14:textId="77777777" w:rsidR="00C56E81" w:rsidRDefault="00C56E81" w:rsidP="00C56E81">
      <w:pPr>
        <w:pStyle w:val="Bibliography"/>
      </w:pPr>
      <w:r>
        <w:t>Judd, E. J., Bhattacharya, T., and Ivany, L. C.: A Dynamical Framework for Interpreting Ancient Sea Surface Temperatures, Geophysical Research Letters, 47, e2020GL089044, https://doi.org/10.1029/2020GL089044, 2020.</w:t>
      </w:r>
    </w:p>
    <w:p w14:paraId="2DC920E9" w14:textId="77777777" w:rsidR="00C56E81" w:rsidRDefault="00C56E81" w:rsidP="00C56E81">
      <w:pPr>
        <w:pStyle w:val="Bibliography"/>
      </w:pPr>
      <w:r>
        <w:t>Judd, E. J., Tierney, J. E., Lunt, D. J., Montañez, I. P., Huber, B. T., Wing, S. L., and Valdes, P. J.: A 485-million-year history of Earth’s surface temperature, Science, 385, eadk3705, https://doi.org/10.1126/science.adk3705, 2024.</w:t>
      </w:r>
    </w:p>
    <w:p w14:paraId="18004D42" w14:textId="77777777" w:rsidR="00C56E81" w:rsidRDefault="00C56E81" w:rsidP="00C56E81">
      <w:pPr>
        <w:pStyle w:val="Bibliography"/>
      </w:pPr>
      <w:r>
        <w:t>Kalman, R. E.: A New Approach to Linear Filtering and Prediction Problems, J. Basic Eng, 82, 35–45, https://doi.org/10.1115/1.3662552, 1960.</w:t>
      </w:r>
    </w:p>
    <w:p w14:paraId="5EA0A2CF" w14:textId="77777777" w:rsidR="00C56E81" w:rsidRDefault="00C56E81" w:rsidP="00C56E81">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5392C420" w14:textId="77777777" w:rsidR="00C56E81" w:rsidRDefault="00C56E81" w:rsidP="00C56E81">
      <w:pPr>
        <w:pStyle w:val="Bibliography"/>
      </w:pPr>
      <w:r>
        <w:lastRenderedPageBreak/>
        <w:t>Lazareth, C. E., Willenz, P., Navez, J., Keppens, E., Dehairs, F., and André, L.: Sclerosponges as a new potential recorder of environmental changes: Lead in Ceratoporella nicholsoni, Geology, 28, 515–518, 2000.</w:t>
      </w:r>
    </w:p>
    <w:p w14:paraId="407AF32A" w14:textId="77777777" w:rsidR="00C56E81" w:rsidRDefault="00C56E81" w:rsidP="00C56E81">
      <w:pPr>
        <w:pStyle w:val="Bibliography"/>
      </w:pPr>
      <w:r>
        <w:t>Liu, Z., Zhu, J., Rosenthal, Y., Zhang, X., Otto-Bliesner, B. L., Timmermann, A., Smith, R. S., Lohmann, G., Zheng, W., and Elison Timm, O.: The Holocene temperature conundrum, Proceedings of the National Academy of Sciences, 111, E3501–E3505, https://doi.org/10.1073/pnas.1407229111, 2014.</w:t>
      </w:r>
    </w:p>
    <w:p w14:paraId="47CF6F8B" w14:textId="77777777" w:rsidR="00C56E81" w:rsidRDefault="00C56E81" w:rsidP="00C56E81">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7BF706CD" w14:textId="77777777" w:rsidR="00C56E81" w:rsidRDefault="00C56E81" w:rsidP="00C56E81">
      <w:pPr>
        <w:pStyle w:val="Bibliography"/>
      </w:pPr>
      <w:r>
        <w:t>Mann, M. E., Rutherford, S., Wahl, E., and Ammann, C.: Robustness of proxy-based climate field reconstruction methods, Journal of Geophysical Research: Atmospheres, 112, https://doi.org/10.1029/2006JD008272, 2007.</w:t>
      </w:r>
    </w:p>
    <w:p w14:paraId="4ECCE879" w14:textId="77777777" w:rsidR="00C56E81" w:rsidRDefault="00C56E81" w:rsidP="00C56E81">
      <w:pPr>
        <w:pStyle w:val="Bibliography"/>
      </w:pPr>
      <w:r>
        <w:t>McCulloch, M. T., Winter, A., Sherman, C. E., and Trotter, J. A.: 300 years of sclerosponge thermometry shows global warming has exceeded 1.5 °C, Nat. Clim. Chang., 14, 171–177, https://doi.org/10.1038/s41558-023-01919-7, 2024.</w:t>
      </w:r>
    </w:p>
    <w:p w14:paraId="25FF497E" w14:textId="77777777" w:rsidR="00C56E81" w:rsidRDefault="00C56E81" w:rsidP="00C56E81">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4DB330F4" w14:textId="77777777" w:rsidR="00C56E81" w:rsidRDefault="00C56E81" w:rsidP="00C56E81">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6E69D3BC" w14:textId="77777777" w:rsidR="00C56E81" w:rsidRDefault="00C56E81" w:rsidP="00C56E81">
      <w:pPr>
        <w:pStyle w:val="Bibliography"/>
      </w:pPr>
      <w:r>
        <w:t>Mii, H.-S. and Grossman, E. L.: Late Pennsylvanian seasonality reflected in the 18O and elemental composition of a brachiopod shell, Geology, 22, 661–664, https://doi.org/10.1130/0091-7613(1994)022%253C0661:LPSRIT%253E2.3.CO;2, 1994.</w:t>
      </w:r>
    </w:p>
    <w:p w14:paraId="6CECBDFE" w14:textId="77777777" w:rsidR="00C56E81" w:rsidRDefault="00C56E81" w:rsidP="00C56E81">
      <w:pPr>
        <w:pStyle w:val="Bibliography"/>
      </w:pPr>
      <w:r>
        <w:t>Okazaki, A. and Yoshimura, K.: Development and evaluation of a system of proxy data assimilation for paleoclimate reconstruction, Climate of the Past, 13, 379–393, https://doi.org/10.5194/cp-13-379-2017, 2017.</w:t>
      </w:r>
    </w:p>
    <w:p w14:paraId="5141AC4A" w14:textId="77777777" w:rsidR="00C56E81" w:rsidRDefault="00C56E81" w:rsidP="00C56E81">
      <w:pPr>
        <w:pStyle w:val="Bibliography"/>
      </w:pPr>
      <w:r>
        <w:t>Osman, M. B., Tierney, J. E., Zhu, J., Tardif, R., Hakim, G. J., King, J., and Poulsen, C. J.: Globally resolved surface temperatures since the Last Glacial Maximum, Nature, 599, 239–244, https://doi.org/10.1038/s41586-021-03984-4, 2021.</w:t>
      </w:r>
    </w:p>
    <w:p w14:paraId="5F7B65D4" w14:textId="77777777" w:rsidR="00C56E81" w:rsidRDefault="00C56E81" w:rsidP="00C56E81">
      <w:pPr>
        <w:pStyle w:val="Bibliography"/>
      </w:pPr>
      <w:r>
        <w:lastRenderedPageBreak/>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1BFE52C8" w14:textId="77777777" w:rsidR="00C56E81" w:rsidRDefault="00C56E81" w:rsidP="00C56E81">
      <w:pPr>
        <w:pStyle w:val="Bibliography"/>
      </w:pPr>
      <w:r>
        <w:t>Sharp, Z. D. and Cerling, T. E.: Fossil isotope records of seasonal climate and ecology: straight from the horse’s mouth, Geology, 26, 219–222, 1998.</w:t>
      </w:r>
    </w:p>
    <w:p w14:paraId="06BA7131" w14:textId="77777777" w:rsidR="00C56E81" w:rsidRDefault="00C56E81" w:rsidP="00C56E81">
      <w:pPr>
        <w:pStyle w:val="Bibliography"/>
      </w:pPr>
      <w:r>
        <w:t>Steiger, N. J., Hakim, G. J., Steig, E. J., Battisti, D. S., and Roe, G. H.: Assimilation of Time-Averaged Pseudoproxies for Climate Reconstruction, Journal of Climate, 27, 426–441, https://doi.org/10.1175/JCLI-D-12-00693.1, 2014.</w:t>
      </w:r>
    </w:p>
    <w:p w14:paraId="3995108F" w14:textId="77777777" w:rsidR="00C56E81" w:rsidRDefault="00C56E81" w:rsidP="00C56E81">
      <w:pPr>
        <w:pStyle w:val="Bibliography"/>
      </w:pPr>
      <w:r>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26A91ACA" w14:textId="77777777" w:rsidR="00C56E81" w:rsidRDefault="00C56E81" w:rsidP="00C56E81">
      <w:pPr>
        <w:pStyle w:val="Bibliography"/>
      </w:pPr>
      <w:r>
        <w:t>Tierney, J. E., Judd, E. J., Osman, M. B., King, J. M., Truax, O. J., Steiger, N. J., Amrhein, D. E., and Anchukaitis, K. J.: Advances in Paleoclimate Data Assimilation, Annual Review of Earth and Planetary Sciences, 53, 625–650, https://doi.org/10.1146/annurev-earth-032320-064209, 2025.</w:t>
      </w:r>
    </w:p>
    <w:p w14:paraId="40756CE2" w14:textId="77777777" w:rsidR="00C56E81" w:rsidRDefault="00C56E81" w:rsidP="00C56E81">
      <w:pPr>
        <w:pStyle w:val="Bibliography"/>
      </w:pPr>
      <w:r>
        <w:t>Van Rampelbergh, M., Verheyden, S., Allan, M., Quinif, Y., Cheng, H., Edwards, L., Keppens, E., and Claeys, P.: A 500 year seasonally resolved 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73DEE819" w14:textId="77777777" w:rsidR="00C56E81" w:rsidRDefault="00C56E81" w:rsidP="00C56E81">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497B0AA8" w14:textId="77777777" w:rsidR="00C56E81" w:rsidRDefault="00C56E81" w:rsidP="00C56E81">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1054A760" w14:textId="77777777" w:rsidR="00C56E81" w:rsidRDefault="00C56E81" w:rsidP="00C56E81">
      <w:pPr>
        <w:pStyle w:val="Bibliography"/>
      </w:pPr>
      <w:r>
        <w:t>Watanabe, T., Winter, A., and Oba, T.: Seasonal changes in sea surface temperature and salinity during the Little Ice Age in the Caribbean Sea deduced from Mg/Ca and 18O/16O ratios in corals, Marine Geology, 173, 21–35, 2001.</w:t>
      </w:r>
    </w:p>
    <w:p w14:paraId="1AA5C746" w14:textId="77777777" w:rsidR="00C56E81" w:rsidRDefault="00C56E81" w:rsidP="00C56E81">
      <w:pPr>
        <w:pStyle w:val="Bibliography"/>
      </w:pPr>
      <w:r>
        <w:lastRenderedPageBreak/>
        <w:t>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dated record of Earth’s climate and its predictability over the last 66 million years, Science, 369, 1383–1387, https://doi.org/10.1126/science.aba6853, 2020.</w:t>
      </w:r>
    </w:p>
    <w:p w14:paraId="64DA8126" w14:textId="77777777" w:rsidR="00C56E81" w:rsidRDefault="00C56E81" w:rsidP="00C56E81">
      <w:pPr>
        <w:pStyle w:val="Bibliography"/>
      </w:pPr>
      <w:r>
        <w:t>de Winter, N. J., Goderis, S., Dehairs, F., Jagt, J. W. M., Fraaije, R. H. B., Van Malderen,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2D997BE7" w14:textId="77777777" w:rsidR="00C56E81" w:rsidRDefault="00C56E81" w:rsidP="00C56E81">
      <w:pPr>
        <w:pStyle w:val="Bibliography"/>
      </w:pPr>
      <w:r>
        <w:t>de Winter, N. J., Goderis, S., Malderen, S. J. M. V., Sinnesael, M., Vansteenberge, S., Snoeck, C., Belza, J., Vanhaecke, F., and Claeys, P.: Subdaily-Scale Chemical Variability in a Torreites Sanchezi Rudist Shell: Implications for Rudist Paleobiology and the Cretaceous Day-Night Cycle, Paleoceanography and Paleoclimatology, 35, e2019PA003723, https://doi.org/10.1029/2019PA003723, 2020.</w:t>
      </w:r>
    </w:p>
    <w:p w14:paraId="74331260" w14:textId="77777777" w:rsidR="00C56E81" w:rsidRDefault="00C56E81" w:rsidP="00C56E81">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6654D553" w14:textId="77777777" w:rsidR="00C56E81" w:rsidRDefault="00C56E81" w:rsidP="00C56E81">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398CDE7E" w14:textId="1A4B15FB" w:rsidR="00B053FA" w:rsidRPr="00B053FA" w:rsidRDefault="00B053FA" w:rsidP="00B053FA">
      <w:pPr>
        <w:jc w:val="both"/>
        <w:rPr>
          <w:lang w:val="en-GB"/>
        </w:rPr>
      </w:pPr>
      <w:r>
        <w:rPr>
          <w:lang w:val="en-GB"/>
        </w:rPr>
        <w:fldChar w:fldCharType="end"/>
      </w:r>
    </w:p>
    <w:sectPr w:rsidR="00B053FA" w:rsidRPr="00B053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776D2"/>
    <w:rsid w:val="00093AC9"/>
    <w:rsid w:val="0013639F"/>
    <w:rsid w:val="00156B07"/>
    <w:rsid w:val="00185E85"/>
    <w:rsid w:val="001A570A"/>
    <w:rsid w:val="001F00C1"/>
    <w:rsid w:val="00203C6E"/>
    <w:rsid w:val="002B6CF9"/>
    <w:rsid w:val="002E575F"/>
    <w:rsid w:val="002F3751"/>
    <w:rsid w:val="003613F6"/>
    <w:rsid w:val="003F32EB"/>
    <w:rsid w:val="0040490B"/>
    <w:rsid w:val="00505760"/>
    <w:rsid w:val="005936F0"/>
    <w:rsid w:val="0074454F"/>
    <w:rsid w:val="007A06F2"/>
    <w:rsid w:val="008F4501"/>
    <w:rsid w:val="00984D32"/>
    <w:rsid w:val="009A54D2"/>
    <w:rsid w:val="00A0729E"/>
    <w:rsid w:val="00A90835"/>
    <w:rsid w:val="00B053FA"/>
    <w:rsid w:val="00B76605"/>
    <w:rsid w:val="00BB6B72"/>
    <w:rsid w:val="00C56E81"/>
    <w:rsid w:val="00D03063"/>
    <w:rsid w:val="00D07D4B"/>
    <w:rsid w:val="00D36236"/>
    <w:rsid w:val="00E030B2"/>
    <w:rsid w:val="00EE06A0"/>
    <w:rsid w:val="00F4367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9</Pages>
  <Words>25948</Words>
  <Characters>147905</Characters>
  <Application>Microsoft Office Word</Application>
  <DocSecurity>0</DocSecurity>
  <Lines>1232</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10</cp:revision>
  <dcterms:created xsi:type="dcterms:W3CDTF">2025-05-14T15:12:00Z</dcterms:created>
  <dcterms:modified xsi:type="dcterms:W3CDTF">2025-10-10T08:46:00Z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id="XmCXOjMC"/&gt;&lt;style id="http://www.zotero.org/styles/climate-of-the-past" hasBibliography="1" bibliographyStyleHasBeenSet="1"/&gt;&lt;prefs&gt;&lt;pref name="fieldType" value="Field"/&gt;&lt;/prefs&gt;&lt;/data&gt;</vt:lpwstr>
  </property>
</Properties>
</file>