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013FF" w14:textId="27F6A30D" w:rsidR="0040490B" w:rsidRPr="00256EAA" w:rsidRDefault="00505760" w:rsidP="00505760">
      <w:pPr>
        <w:jc w:val="both"/>
        <w:rPr>
          <w:b/>
          <w:bCs/>
          <w:sz w:val="22"/>
          <w:szCs w:val="22"/>
          <w:lang w:val="en-US"/>
        </w:rPr>
      </w:pPr>
      <w:r w:rsidRPr="00256EAA">
        <w:rPr>
          <w:b/>
          <w:bCs/>
          <w:sz w:val="22"/>
          <w:szCs w:val="22"/>
          <w:lang w:val="en-US"/>
        </w:rPr>
        <w:t>Assimilating model outcomes with seasonally resolved paleoclimate data: Methods and considerations</w:t>
      </w:r>
    </w:p>
    <w:p w14:paraId="5AC63A16" w14:textId="12670B8C" w:rsidR="002F3751" w:rsidRPr="00256EAA" w:rsidRDefault="002F3751" w:rsidP="00505760">
      <w:pPr>
        <w:jc w:val="both"/>
        <w:rPr>
          <w:sz w:val="22"/>
          <w:szCs w:val="22"/>
          <w:lang w:val="nl-NL"/>
        </w:rPr>
      </w:pPr>
      <w:r w:rsidRPr="00256EAA">
        <w:rPr>
          <w:sz w:val="22"/>
          <w:szCs w:val="22"/>
          <w:lang w:val="nl-NL"/>
        </w:rPr>
        <w:t xml:space="preserve">Niels J. de Winter, Michiel Baatsen, Pepijn Bakker, Alexander </w:t>
      </w:r>
      <w:proofErr w:type="spellStart"/>
      <w:r w:rsidRPr="00256EAA">
        <w:rPr>
          <w:sz w:val="22"/>
          <w:szCs w:val="22"/>
          <w:lang w:val="nl-NL"/>
        </w:rPr>
        <w:t>Farnsworth</w:t>
      </w:r>
      <w:proofErr w:type="spellEnd"/>
      <w:r w:rsidRPr="00256EAA">
        <w:rPr>
          <w:sz w:val="22"/>
          <w:szCs w:val="22"/>
          <w:lang w:val="nl-NL"/>
        </w:rPr>
        <w:t>, Barbara Goudsmit-Harzevoort, Brendan Oerlemans, Rob Witbaard, Martin Ziegler</w:t>
      </w:r>
    </w:p>
    <w:p w14:paraId="3A093789" w14:textId="200EB22A" w:rsidR="002F3751" w:rsidRPr="00256EAA" w:rsidRDefault="002F3751" w:rsidP="00505760">
      <w:pPr>
        <w:jc w:val="both"/>
        <w:rPr>
          <w:b/>
          <w:bCs/>
          <w:sz w:val="22"/>
          <w:szCs w:val="22"/>
          <w:lang w:val="en-GB"/>
        </w:rPr>
      </w:pPr>
      <w:r w:rsidRPr="00256EAA">
        <w:rPr>
          <w:b/>
          <w:bCs/>
          <w:sz w:val="22"/>
          <w:szCs w:val="22"/>
          <w:lang w:val="en-GB"/>
        </w:rPr>
        <w:t>Abstract</w:t>
      </w:r>
    </w:p>
    <w:p w14:paraId="1C23C142" w14:textId="5DD4A150" w:rsidR="003F32EB" w:rsidRPr="003F4DA4" w:rsidRDefault="00505760" w:rsidP="00505760">
      <w:pPr>
        <w:jc w:val="both"/>
        <w:rPr>
          <w:sz w:val="22"/>
          <w:szCs w:val="22"/>
          <w:lang w:val="en-GB"/>
        </w:rPr>
      </w:pPr>
      <w:r w:rsidRPr="00256EAA">
        <w:rPr>
          <w:sz w:val="22"/>
          <w:szCs w:val="22"/>
          <w:lang w:val="en-GB"/>
        </w:rPr>
        <w:t xml:space="preserve">Data assimilation techniques are becoming increasingly prevalent in the paleoclimate literature, providing a basis for contrasting and combining paleoclimate reconstructions and climate model simulations on various temporal and spatial scales. At the same time, analyses of highly-resolved climate archives delivers information about ancient climates on increasingly fine temporal scales, resolving seasonal to monthly climate variability or beyond. These high-resolution reconstructions have not yet been implemented in data assimilation frameworks, likely because these datasets remain comparatively scarce. Here, we present </w:t>
      </w:r>
      <w:r w:rsidR="00F4367D" w:rsidRPr="00256EAA">
        <w:rPr>
          <w:sz w:val="22"/>
          <w:szCs w:val="22"/>
          <w:lang w:val="en-GB"/>
        </w:rPr>
        <w:t xml:space="preserve">and test </w:t>
      </w:r>
      <w:r w:rsidRPr="00256EAA">
        <w:rPr>
          <w:sz w:val="22"/>
          <w:szCs w:val="22"/>
          <w:lang w:val="en-GB"/>
        </w:rPr>
        <w:t xml:space="preserve">a </w:t>
      </w:r>
      <w:r w:rsidR="00F4367D" w:rsidRPr="00256EAA">
        <w:rPr>
          <w:sz w:val="22"/>
          <w:szCs w:val="22"/>
          <w:lang w:val="en-GB"/>
        </w:rPr>
        <w:t xml:space="preserve">routine for assimilating sub-annual paleoclimate data with monthly climate model simulations. The aim of this contribution is to lay the groundwork for data assimilation of paleoclimate data on the seasonal to monthly scale, making data assimilation accessible for </w:t>
      </w:r>
      <w:proofErr w:type="spellStart"/>
      <w:r w:rsidR="00F4367D" w:rsidRPr="00256EAA">
        <w:rPr>
          <w:sz w:val="22"/>
          <w:szCs w:val="22"/>
          <w:lang w:val="en-GB"/>
        </w:rPr>
        <w:t>sclerochronologists</w:t>
      </w:r>
      <w:proofErr w:type="spellEnd"/>
      <w:r w:rsidR="00F4367D" w:rsidRPr="00256EAA">
        <w:rPr>
          <w:sz w:val="22"/>
          <w:szCs w:val="22"/>
          <w:lang w:val="en-GB"/>
        </w:rPr>
        <w:t>, and explore the sensitivity of data assimilation outcomes to the quality of paleoclimate data and decisions made in the assimilation routine.</w:t>
      </w:r>
    </w:p>
    <w:p w14:paraId="17C22E6F" w14:textId="55578698" w:rsidR="002F3751" w:rsidRPr="00256EAA" w:rsidRDefault="002F3751" w:rsidP="001E293D">
      <w:pPr>
        <w:pStyle w:val="ListParagraph"/>
        <w:numPr>
          <w:ilvl w:val="0"/>
          <w:numId w:val="2"/>
        </w:numPr>
        <w:jc w:val="both"/>
        <w:rPr>
          <w:b/>
          <w:bCs/>
          <w:sz w:val="22"/>
          <w:szCs w:val="22"/>
          <w:lang w:val="en-GB"/>
        </w:rPr>
      </w:pPr>
      <w:r w:rsidRPr="00256EAA">
        <w:rPr>
          <w:b/>
          <w:bCs/>
          <w:sz w:val="22"/>
          <w:szCs w:val="22"/>
          <w:lang w:val="en-GB"/>
        </w:rPr>
        <w:t>Introduction</w:t>
      </w:r>
    </w:p>
    <w:p w14:paraId="3C5AFA2F" w14:textId="77777777" w:rsidR="002B6CF9" w:rsidRPr="00256EAA" w:rsidRDefault="001A570A" w:rsidP="00F4367D">
      <w:pPr>
        <w:jc w:val="both"/>
        <w:rPr>
          <w:sz w:val="22"/>
          <w:szCs w:val="22"/>
          <w:lang w:val="en-GB"/>
        </w:rPr>
      </w:pPr>
      <w:r w:rsidRPr="00256EAA">
        <w:rPr>
          <w:sz w:val="22"/>
          <w:szCs w:val="22"/>
          <w:lang w:val="en-GB"/>
        </w:rPr>
        <w:t xml:space="preserve">Ancient climates hold crucial information about background climate variability and the sensitivity of Earth’s climate to perturbations </w:t>
      </w:r>
      <w:r w:rsidRPr="00256EAA">
        <w:rPr>
          <w:sz w:val="22"/>
          <w:szCs w:val="22"/>
          <w:lang w:val="en-GB"/>
        </w:rPr>
        <w:fldChar w:fldCharType="begin"/>
      </w:r>
      <w:r w:rsidRPr="00256EAA">
        <w:rPr>
          <w:sz w:val="22"/>
          <w:szCs w:val="22"/>
          <w:lang w:val="en-GB"/>
        </w:rPr>
        <w:instrText xml:space="preserve"> ADDIN ZOTERO_ITEM CSL_CITATION {"citationID":"1Ph1N57n","properties":{"formattedCitation":"(He et al., 2023; von der Heydt et al., 2021; Westerhold et al., 2020)","plainCitation":"(He et al., 2023; von der Heydt et al., 2021; Westerhold et al., 2020)","noteIndex":0},"citationItems":[{"id":11737,"uris":["http://zotero.org/users/2470179/items/8DQH395F"],"itemData":{"id":11737,"type":"article-journal","abstract":"Extreme climate warmth (hyperthermal) events through deep-time offer prescient insights into how the Earth may respond to present-day warming related to greenhouse gas emissions. This special issue deals with Paleoenvironmental changes across the Mesozoic–Paleogene hyperthermal events and comprises 25 interdisciplinary research articles. In this review paper, we summarise the contents of the special issue, placing it into a wider context, and demonstrate that Mesozoic–Paleogene hyperthermal events were among the most devastating and extreme climate modes in the geological record. Key findings are as follows: (1) Multi-proxy geochemical and sedimentological analyses reveal that widespread deoxygenation of oceans and megalakes was a common accompanying feature of most hyperthermals. (2) Evidence exists for complex linkages between volcanism, warm climate conditions, contemporary carbon cycles, aquatic biogeochemical cycles, wildfire activities, and climate-modulated hydrological and terrestrial weathering changes operating at seasonal, orbital and/or tectonic timescales. (3) Pronounced and rapid biological turnovers in the ocean during hyperthermals may have been linked to seawater acidification and shifts in nutrient availability, while promoting significant alterations in primary productivity, biological pump and ecosystem structures. Despite these advances, future interdisciplinary studies are needed to deliver a more comprehensive understanding of the nature and mechanism of complex environmental interactions within the Earth system, as well as the internal and external drivers that may have triggered hyperthermal events.","container-title":"Global and Planetary Change","DOI":"10.1016/j.gloplacha.2023.104058","ISSN":"0921-8181","journalAbbreviation":"Global and Planetary Change","page":"104058","source":"ScienceDirect","title":"Paleoenvironmental changes across the Mesozoic–Paleogene hyperthermal events","volume":"222","author":[{"family":"He","given":"Tianchen"},{"family":"Kemp","given":"David B."},{"family":"Li","given":"Juan"},{"family":"Ruhl","given":"Micha"}],"issued":{"date-parts":[["2023",3,1]]}}},{"id":2553,"uris":["http://zotero.org/users/2470179/items/EP22BJ3K"],"itemData":{"id":2553,"type":"article-journal","abstract":"The spectral view of variability is a compelling and adaptable tool for understanding variability of the climate. In Mitchell (1976) seminal paper, it was used to express, on one graph with log scales, a very wide range of climate variations from millions of years to days. The spectral approach is particularly useful for suggesting causal links between forcing variability and climate response variability. However, a substantial degree of variability is intrinsic and the Earth system may respond to external forcing in a complex manner. There has been an enormous amount of work on understanding climate variability over the last decades. Hence in this paper, we address the question: Can we (after 40 years) update the Mitchell (1976) diagram and provide it with a better interpretation? By reviewing both the extended observations available for such a diagram and new methodological developments in the study of the interaction between internal and forced variability over a wide range of timescales, we give a positive answer to this question. In addition, we review alternative approaches to the spectral decomposition and pose some challenges for a more detailed quantification of climate variability.","container-title":"Global and Planetary Change","DOI":"10.1016/j.gloplacha.2020.103399","ISSN":"0921-8181","journalAbbreviation":"Global and Planetary Change","language":"en","page":"103399","source":"ScienceDirect","title":"Quantification and interpretation of the climate variability record","volume":"197","author":[{"family":"Heydt","given":"Anna S.","non-dropping-particle":"von der"},{"family":"Ashwin","given":"Peter"},{"family":"Camp","given":"Charles D."},{"family":"Crucifix","given":"Michel"},{"family":"Dijkstra","given":"Henk A."},{"family":"Ditlevsen","given":"Peter"},{"family":"Lenton","given":"Timothy M."}],"issued":{"date-parts":[["2021",2,1]]}}},{"id":11725,"uris":["http://zotero.org/users/2470179/items/LMUN56MZ"],"itemData":{"id":11725,"type":"article-journal","abstract":"Much of our understanding of Earth’s past climate comes from the measurement of oxygen and carbon isotope variations in deep-sea benthic foraminifera. Yet, long intervals in existing records lack the temporal resolution and age control needed to thoroughly categorize climate states of the Cenozoic era and to study their dynamics. Here, we present a new, highly resolved, astronomically dated, continuous composite of benthic foraminifer isotope records developed in our laboratories. Four climate states—Hothouse, Warmhouse, Coolhouse, Icehouse—are identified on the basis of their distinctive response to astronomical forcing depending on greenhouse gas concentrations and polar ice sheet volume. Statistical analysis of the nonlinear behavior encoded in our record reveals the key role that</w:instrText>
      </w:r>
      <w:r w:rsidRPr="00256EAA">
        <w:rPr>
          <w:sz w:val="22"/>
          <w:szCs w:val="22"/>
          <w:lang w:val="nl-NL"/>
        </w:rPr>
        <w:instrText xml:space="preserve"> polar ice volume plays in the predictability of Cenozoic climate dynamics.","container-title":"Science","DOI":"10.1126/science.aba6853","issue":"6509","note":"publisher: American Association for the Advancement of Science","page":"1383-1387","source":"www-science-org.vu-nl.idm.oclc.org (Atypon)","title":"An astronomically dated record of Earth’s climate and its predictability over the last 66 million years","volume":"369","author":[{"family":"Westerhold","given":"Thomas"},{"family":"Marwan","given":"Norbert"},{"family":"Drury","given":"Anna Joy"},{"family":"Liebrand","given":"Diederik"},{"family":"Agnini","given":"Claudia"},{"family":"Anagnostou","given":"Eleni"},{"family":"Barnet","given":"James S. K."},{"family":"Bohaty","given":"Steven M."},{"family":"De Vleeschouwer","given":"David"},{"family":"Florindo","given":"Fabio"},{"family":"Frederichs","given":"Thomas"},{"family":"Hodell","given":"David A."},{"family":"Holbourn","given":"Ann E."},{"family":"Kroon","given":"Dick"},{"family":"Lauretano","given":"Vittoria"},{"family":"Littler","given":"Kate"},{"family":"Lourens","given":"Lucas J."},{"family":"Lyle","given":"Mitchell"},{"family":"Pälike","given":"Heiko"},{"family":"Röhl","given":"Ursula"},{"family":"Tian","given":"Jun"},{"family":"Wilkens","given":"Roy H."},{"family":"Wilson","given":"Paul A."},{"family":"Zachos","given":"James C."}],"issued":{"date-parts":[["2020",9,11]]}}}],"schema":"https://github.com/citation-style-language/schema/raw/master/csl-citation.json"} </w:instrText>
      </w:r>
      <w:r w:rsidRPr="00256EAA">
        <w:rPr>
          <w:sz w:val="22"/>
          <w:szCs w:val="22"/>
          <w:lang w:val="en-GB"/>
        </w:rPr>
        <w:fldChar w:fldCharType="separate"/>
      </w:r>
      <w:r w:rsidRPr="00256EAA">
        <w:rPr>
          <w:sz w:val="22"/>
          <w:szCs w:val="22"/>
        </w:rPr>
        <w:t>(He et al., 2023; von der Heydt et al., 2021; Westerhold et al., 2020)</w:t>
      </w:r>
      <w:r w:rsidRPr="00256EAA">
        <w:rPr>
          <w:sz w:val="22"/>
          <w:szCs w:val="22"/>
          <w:lang w:val="en-GB"/>
        </w:rPr>
        <w:fldChar w:fldCharType="end"/>
      </w:r>
      <w:r w:rsidRPr="00256EAA">
        <w:rPr>
          <w:sz w:val="22"/>
          <w:szCs w:val="22"/>
          <w:lang w:val="nl-NL"/>
        </w:rPr>
        <w:t xml:space="preserve">. </w:t>
      </w:r>
      <w:r w:rsidRPr="00256EAA">
        <w:rPr>
          <w:sz w:val="22"/>
          <w:szCs w:val="22"/>
          <w:lang w:val="en-GB"/>
        </w:rPr>
        <w:t xml:space="preserve">This archive facilitates the tuning and testing of climate models developed to project climates </w:t>
      </w:r>
      <w:r w:rsidR="00A90835" w:rsidRPr="00256EAA">
        <w:rPr>
          <w:sz w:val="22"/>
          <w:szCs w:val="22"/>
          <w:lang w:val="en-GB"/>
        </w:rPr>
        <w:t xml:space="preserve">dissimilar to those sampled in our instrumental records </w:t>
      </w:r>
      <w:r w:rsidR="00A90835" w:rsidRPr="00256EAA">
        <w:rPr>
          <w:sz w:val="22"/>
          <w:szCs w:val="22"/>
          <w:lang w:val="en-GB"/>
        </w:rPr>
        <w:fldChar w:fldCharType="begin"/>
      </w:r>
      <w:r w:rsidR="00A90835" w:rsidRPr="00256EAA">
        <w:rPr>
          <w:sz w:val="22"/>
          <w:szCs w:val="22"/>
          <w:lang w:val="en-GB"/>
        </w:rPr>
        <w:instrText xml:space="preserve"> ADDIN ZOTERO_ITEM CSL_CITATION {"citationID":"jTl6y3qs","properties":{"formattedCitation":"(Burke et al., 2018; Goudsmit-Harzevoort et al., 2023; Lunt et al., 2024; Tierney et al., 2020)","plainCitation":"(Burke et al., 2018; Goudsmit-Harzevoort et al., 2023; Lunt et al., 2024; Tierney et al., 2020)","noteIndex":0},"citationItems":[{"id":2063,"uris":["http://zotero.org/users/2470179/items/S32K2TR9"],"itemData":{"id":2063,"type":"article-journal","abstract":"As the world warms due to rising greenhouse gas concentrations, the Earth system moves toward climate states without societal precedent, challenging adaptation. Past Earth system states offer possible model systems for the warming world of the coming decades. These include the climate states of the Early Eocene (ca. 50 Ma), the Mid-Pliocene (3.3–3.0 Ma), the Last Interglacial (129–116 ka), the Mid-Holocene (6 ka), preindustrial (ca. 1850 CE), and the 20th century. Here, we quantitatively assess the similarity of future projected climate states to these six geohistorical benchmarks using simulations from the Hadley Centre Coupled Model Version 3 (HadCM3), the Goddard Institute for Space Studies Model E2-R (GISS), and the Community Climate System Model, Versions 3 and 4 (CCSM) Earth system models. Under the Representative Concentration Pathway 8.5 (RCP8.5) emission scenario, by 2030 CE, future climates most closely resemble Mid-Pliocene climates, and by 2150 CE, they most closely resemble Eocene climates. Under RCP4.5, climate stabilizes at Pliocene-like conditions by 2040 CE. Pliocene-like and Eocene-like climates emerge first in continental interiors and then expand outward. Geologically novel climates are uncommon in RCP4.5 (&lt;1%) but reach 8.7% of the globe under RCP8.5, characterized by high temperatures and precipitation. Hence, RCP4.5 is roughly equivalent to stabilizing at Pliocene-like climates, while unmitigated emission trajectories, such as RCP8.5, are similar to reversing millions of years of long-term cooling on the scale of a few human generations. Both the emergence of geologically novel climates and the rapid reversion to Eocene-like climates may be outside the range of evolutionary adaptive capacity.","container-title":"Proceedings of the National Academy of Sciences","DOI":"10.1073/pnas.1809600115","ISSN":"0027-8424, 1091-6490","issue":"52","journalAbbreviation":"PNAS","language":"en","license":"© 2018 . https://www.pnas.org/site/aboutpnas/licenses.xhtmlPublished under the PNAS license.","note":"publisher: National Academy of Sciences\nsection: Biological Sciences\nPMID: 30530685","page":"13288-13293","source":"www-pnas-org.proxy.library.uu.nl","title":"Pliocene and Eocene provide best analogs for near-future climates","volume":"115","author":[{"family":"Burke","given":"K. D."},{"family":"Williams","given":"J. W."},{"family":"Chandler","given":"M. A."},{"family":"Haywood","given":"A. M."},{"family":"Lunt","given":"D. J."},{"family":"Otto-Bliesner","given":"B. L."}],"issued":{"date-parts":[["2018",12,26]]}}},{"id":2018,"uris":["http://zotero.org/users/2470179/items/2YSJ2CF6"],"itemData":{"id":2018,"type":"article-journal","abstract":"Estimates of global mean near-surface air temperature (global SAT) for the Cenozoic era rely largely on paleo-proxy data of deep-sea temperature (DST), with the assumption that changes in global SAT covary with changes in the global mean deep-sea temperature (global DST) and global mean sea-surface temperature (global SST). We tested the validity of this assumption by analyzing the relationship between global SST, SAT, and DST using 25 different model simulations from the Deep-Time Model Intercomparison Project simulating the early Eocene Climatic Optimum (EECO) with varying CO2 levels. Similar to the modern situation, we find limited spatial variability in DST, indicating that local DST estimates can be regarded as a first order representative of global DST. In line with previously assumed relationships, linear regression analysis indicates that both global DST and SAT respond stronger to changes in atmospheric CO2 than global SST by a similar factor. Consequently, this model-based analysis validates the assumption that changes in global DST can be used to estimate changes in global SAT during the early Cenozoic. Paleo-proxy estimates of global DST, SST, and SAT during EECO show the best fit with model simulations with a 1,680 ppm atmospheric CO2 level. This matches paleo-proxies of EECO atmospheric CO2, indicating a good fit between models and proxy-data.","container-title":"Paleoceanography and Paleoclimatology","DOI":"10.1029/2022PA004532","ISSN":"2572-4525","issue":"3","language":"en","note":"_eprint: https://agupubs.onlinelibrary.wiley.com/doi/pdf/10.1029/2022PA004532","page":"e2022PA004532","source":"Wiley Online Library","title":"The Relationship Between the Global Mean Deep-Sea and Surface Temperature During the Early Eocene","volume":"38","author":[{"family":"Goudsmit-Harzevoort","given":"Barbara"},{"family":"Lansu","given":"Angelique"},{"family":"Baatsen","given":"Michiel L. J."},{"family":"Heydt","given":"Anna S.","non-dropping-particle":"von der"},{"family":"Winter","given":"Niels J.","non-dropping-particle":"de"},{"family":"Zhang","given":"Yurui"},{"family":"Abe-Ouchi","given":"Ayako"},{"family":"Boer","given":"Agatha","non-dropping-particle":"de"},{"family":"Chan","given":"Wing-Le"},{"family":"Donnadieu","given":"Yannick"},{"family":"Hutchinson","given":"David K."},{"family":"Knorr","given":"Gregor"},{"family":"Ladant","given":"Jean-Baptiste"},{"family":"Morozova","given":"Polina"},{"family":"Niezgodzki","given":"Igor"},{"family":"Steinig","given":"Sebastian"},{"family":"Tripati","given":"Aradhna"},{"family":"Zhang","given":"Zhongshi"},{"family":"Zhu","given":"Jiang"},{"family":"Ziegler","given":"Martin"}],"issued":{"date-parts":[["2023"]]}}},{"id":11740,"uris":["http://zotero.org/users/2470179/items/EZYH7L4U"],"itemData":{"id":11740,"type":"article-journal","abstract":"The paleoclimate record provides a test-bed in which climate models can be evaluated under conditions of substantial CO2 change; however, these data are typically under-used in the process of model development and evaluation. Here, we use a set of metrics based on paleoclimate proxy observations to evaluate climate models under three past time periods. We find that the latest CMIP6/PMIP4 ensemble mean does a remarkably good job of simulating the global mean surface air temperatures of these past periods, and is improved on CMIP5/PMIP3, implying that the modern climate sensitivity of the CMIP6/PMIP4 model ensemble mean is consistent with the paleoclimate record. However, some models, in particular those with very high or very low climate sensitivity, simulate paleo temperatures that are outside the uncertainty range of the paleo proxy temperature data; in this regard, the paleo data can provide a more stringent constraint than data from the historical record. There is also consistency between models and data in terms of polar amplification, with amplification increasing with increasing global mean temperature across all three time periods. The work highlights the benefits of using the paleoclimate record in the model development and evaluation cycle, in particular for screening models with too-high or too-low climate sensitivity across a range of CO2 concentrations.","container-title":"Communications Earth &amp; Environment","DOI":"10.1038/s43247-024-01531-3","ISSN":"2662-4435","issue":"1","journalAbbreviation":"Commun Earth Environ","language":"en","license":"2024 The Author(s)","note":"publisher: Nature Publishing Group","page":"419","source":"www-nature-com.vu-nl.idm.oclc.org","title":"Paleoclimate data provide constraints on climate models' large-scale response to past CO2 changes","volume":"5","author":[{"family":"Lunt","given":"Daniel J."},{"family":"Otto-Bliesner","given":"Bette L."},{"family":"Brierley","given":"Chris"},{"family":"Haywood","given":"Alan"},{"family":"Inglis","given":"Gordon N."},{"family":"Izumi","given":"Kenji"},{"family":"Kageyama","given":"Masa"},{"family":"Kaufman","given":"Darrell"},{"family":"Mauritsen","given":"Thorsten"},{"family":"McClymont","given":"Erin L."},{"family":"Salzmann","given":"Ulrich"},{"family":"Steinig","given":"Sebastian"},{"family":"Tierney","given":"Jessica E."},{"family":"Zhao","given":"Anni"},{"family":"Zhu","given":"Jiang"}],"issued":{"date-parts":[["2024",8,7]]}}},{"id":2578,"uris":["http://zotero.org/users/2470179/items/2L6NK32L"],"itemData":{"id":2578,"type":"article-journal","abstract":"The future in the past\nA major cause of uncertainties in climate projections is our imprecise knowledge of how much warming should occur as a result of a given increase in the amount of carbon dioxide in the atmosphere. Paleoclimate records have the potential to help us sharpen that understanding because they record such a wide variety of environmental conditions. Tierney et al. review the recent advances in data collection, statistics, and modeling that might help us better understand how rising levels of atmospheric carbon dioxide will affect future climate.\nScience, this issue p. eaay3701\nStructured Abstract\nBACKGROUNDAnthropogenic emissions are rapidly altering Earth’s climate, pushing it toward a warmer state for which there is no historical precedent. Although no perfect analog exists for such a disruption, Earth’s history includes past climate states—“paleoclimates”—that hold lessons for the future of our warming world. These periods in Earth’s past span a tremendous range of temperatures, precipitation patterns, cryospheric extent, and biospheric adaptations and are increasingly relevant for improving our understanding of how key elements of the climate system are affected by greenhouse gas levels. The rise of new geochemical and statistical methods, as well as improvements in paleoclimate modeling, allow for formal evaluation of climate models based on paleoclimate data. In particular, given that some of the newest generation of climate models have a high sensitivity to a doubling of atmospheric CO2, there is a renewed role for paleoclimates in constraining equilibrium climate sensitivity (ECS) and its dependence on climate background state.\nADVANCESIn the past decade, an increasing number of studies have used paleoclimate temperature and CO2 estimates to infer ECS in the deep past, in both warm and cold climate states. Recent studies support the paradigm that ECS is strongly state-dependent, rising with increased CO2 concentrations. Simulations of past warm climates such as the Eocene further highlight the role that cloud feedbacks play in contributing to high ECS under increased CO2 levels. Paleoclimates have provided critical constraints on the assessment of future ice sheet stability and concomitant sea level rise, including the viability of threshold processes like marine ice cliff instability. Beyond global-scale changes, analyses of past changes in the water cycle have advanced our understanding of dynamical drivers of hydroclimate, which is highly relevant for regional climate projections and societal impacts. New and expanding techniques, such as analyses of single shells of foraminifera, are yielding subseasonal climate information that can be used to study how intra- and interannual modes of variability are affected by external climate forcing. Studies of extraordinary, transient departures in paleoclimate from the background state such as the Paleocene-Eocene Thermal Maximum provide critical context for the current anthropogenic aberration, its impact on the Earth system, and the time scale of recovery.A number of advances have eroded the “language barrier” between climate model and proxy data, facilitating more direct use of paleoclimate information to constrain model performance. It is increasingly common to incorporate geochemical tracers, such as water isotopes, directly into model simulations, and this practice has vastly improved model-proxy comparisons. The development of new statistical approaches rooted in Bayesian inference has led to a more thorough quantification of paleoclimate data uncertainties. In addition, techniques like data assimilation allow for a formal combination of proxy and model data into hybrid products. Such syntheses provide a full-field view of past climates and can put constraints on climate variables that we have no direct proxies for, such as cloud cover or wind speed.\nOUTLOOKA common concern with using paleoclimate information as model targets is that non-CO2 forcings, such as aerosols and trace greenhouse gases, are not well known, especially in the distant past. Although evidence thus far suggests that such forcings are secondary to CO2, future improvements in both geochemical proxies and modeling are on track to tackle this issue. New and rapidly evolving geochemical techniques have the potential to provide improved constraints on the terrestrial biosphere, aerosols, and trace gases; likewise, biogeochemical cycles can now be incorporated into paleoclimate model simulations. Beyond constraining forcings, it is critical that proxy information is transformed into quantitative estimates that account for uncertainties in the proxy system. Statistical tools have already been developed to achieve this, which should make it easier to create robust targets for model evaluation. With this increase in quantification of paleoclimate information, we suggest that modeling centers include simulation of past climates in their evaluation and statement of their model performance. This practice is likely to narrow uncertainties surrounding climate sensitivity, ice sheets, and the water cycle and thus improve future climate projections. &lt;img class=\"fragment-image\" aria-describedby=\"F1-caption\" src=\"https://science-sciencemag-org.proxy.library.uu.nl/content/sci/370/6517/eaay3701/F1.medium.gif\"/&gt; Download high-res image Open in new tab Download Powerpoint Past climates provide context for future climate scenarios.Both past (top) and future (bottom) climates are colored by their estimated change in global mean annual surface temperature relative to preindustrial conditions, ranging from blue (colder) to red (warmer). “Sustainability,” “Middle road,” and “High emissions” represent the estimated global temperature anomalies at year 2300 from the Shared Socioeconomic Pathways (SSPs) SSP1-2.6, SSP2-4.5, and SSP5-8.5, respectively. In both the past and future cases, warmer climates are associated with increases in CO2 (indicated by the arrow). Ma, millions of years ago.\nAs the world warms, there is a profound need to improve projections of climate change. Although the latest Earth system models offer an unprecedented number of features, fundamental uncertainties continue to cloud our view of the future. Past climates provide the only opportunity to observe how the Earth system responds to high carbon dioxide, underlining a fundamental role for paleoclimatology in constraining future climate change. Here, we review the relevancy of paleoclimate information for climate prediction and discuss the prospects for emerging methodologies to further insights gained from past climates. Advances in proxy methods and interpretations pave the way for the use of past climates for model evaluation—a practice that we argue should be widely adopted.","container-title":"Science","DOI":"10.1126/science.aay3701","ISSN":"0036-8075, 1095-9203","issue":"6517","language":"en","license":"Copyright © 2020 The Authors, some rights reserved; exclusive licensee American Association for the Advancement of Science. No claim to original U.S. Government Works. https://www.sciencemag.org/about/science-licenses-journal-article-reuseThis is an article distributed under the terms of th</w:instrText>
      </w:r>
      <w:r w:rsidR="00A90835" w:rsidRPr="00256EAA">
        <w:rPr>
          <w:sz w:val="22"/>
          <w:szCs w:val="22"/>
          <w:lang w:val="nl-NL"/>
        </w:rPr>
        <w:instrText xml:space="preserve">e Science Journals Default License.","note":"publisher: American Association for the Advancement of Science\nsection: Review\nPMID: 33154110","source":"science-sciencemag-org.proxy.library.uu.nl","title":"Past climates inform our future","URL":"https://science.sciencemag.org/content/370/6517/eaay3701","volume":"370","author":[{"family":"Tierney","given":"Jessica E."},{"family":"Poulsen","given":"Christopher J."},{"family":"Montañez","given":"Isabel P."},{"family":"Bhattacharya","given":"Tripti"},{"family":"Feng","given":"Ran"},{"family":"Ford","given":"Heather L."},{"family":"Hönisch","given":"Bärbel"},{"family":"Inglis","given":"Gordon N."},{"family":"Petersen","given":"Sierra V."},{"family":"Sagoo","given":"Navjit"},{"family":"Tabor","given":"Clay R."},{"family":"Thirumalai","given":"Kaustubh"},{"family":"Zhu","given":"Jiang"},{"family":"Burls","given":"Natalie J."},{"family":"Foster","given":"Gavin L."},{"family":"Goddéris","given":"Yves"},{"family":"Huber","given":"Brian T."},{"family":"Ivany","given":"Linda C."},{"family":"Turner","given":"Sandra Kirtland"},{"family":"Lunt","given":"Daniel J."},{"family":"McElwain","given":"Jennifer C."},{"family":"Mills","given":"Benjamin J. W."},{"family":"Otto-Bliesner","given":"Bette L."},{"family":"Ridgwell","given":"Andy"},{"family":"Zhang","given":"Yi Ge"}],"accessed":{"date-parts":[["2021",2,9]]},"issued":{"date-parts":[["2020",11,6]]}}}],"schema":"https://github.com/citation-style-language/schema/raw/master/csl-citation.json"} </w:instrText>
      </w:r>
      <w:r w:rsidR="00A90835" w:rsidRPr="00256EAA">
        <w:rPr>
          <w:sz w:val="22"/>
          <w:szCs w:val="22"/>
          <w:lang w:val="en-GB"/>
        </w:rPr>
        <w:fldChar w:fldCharType="separate"/>
      </w:r>
      <w:r w:rsidR="00A90835" w:rsidRPr="00256EAA">
        <w:rPr>
          <w:sz w:val="22"/>
          <w:szCs w:val="22"/>
        </w:rPr>
        <w:t>(Burke et al., 2018; Goudsmit-Harzevoort et al., 2023; Lunt et al., 2024; Tierney et al., 2020)</w:t>
      </w:r>
      <w:r w:rsidR="00A90835" w:rsidRPr="00256EAA">
        <w:rPr>
          <w:sz w:val="22"/>
          <w:szCs w:val="22"/>
          <w:lang w:val="en-GB"/>
        </w:rPr>
        <w:fldChar w:fldCharType="end"/>
      </w:r>
      <w:r w:rsidR="00A90835" w:rsidRPr="00256EAA">
        <w:rPr>
          <w:sz w:val="22"/>
          <w:szCs w:val="22"/>
          <w:lang w:val="nl-NL"/>
        </w:rPr>
        <w:t xml:space="preserve">. </w:t>
      </w:r>
      <w:r w:rsidR="00A90835" w:rsidRPr="00256EAA">
        <w:rPr>
          <w:sz w:val="22"/>
          <w:szCs w:val="22"/>
          <w:lang w:val="en-GB"/>
        </w:rPr>
        <w:t xml:space="preserve">Such models play an important role in informing strategies to mitigate and adapt to the present and future consequences of anthropogenic climate and environmental change </w:t>
      </w:r>
      <w:r w:rsidR="00A90835" w:rsidRPr="00256EAA">
        <w:rPr>
          <w:sz w:val="22"/>
          <w:szCs w:val="22"/>
          <w:lang w:val="en-GB"/>
        </w:rPr>
        <w:fldChar w:fldCharType="begin"/>
      </w:r>
      <w:r w:rsidR="00A90835" w:rsidRPr="00256EAA">
        <w:rPr>
          <w:sz w:val="22"/>
          <w:szCs w:val="22"/>
          <w:lang w:val="en-GB"/>
        </w:rPr>
        <w:instrText xml:space="preserve"> ADDIN ZOTERO_ITEM CSL_CITATION {"citationID":"DFFV37Ra","properties":{"formattedCitation":"(IPCC, 2021; Meinshausen et al., 2020)","plainCitation":"(IPCC, 2021; Meinshausen et al., 2020)","noteIndex":0},"citationItems":[{"id":1817,"uris":["http://zotero.org/users/2470179/items/Y69A3S7U"],"itemData":{"id":1817,"type":"book","abstract":"The Working Group I contribution to the Sixth Assessment Report addresses the most up-to-date physical understanding of the climate system and climate change, bringing together the latest advances in climate science, and combining multiple lines of evidence from paleoclimate, observations, process understanding, and global and regional climate simulations.","publisher":"Cambridge University Press","source":"IPCC","title":"Climate Change 2021: The Physical Science Basis. Contribution of Working Group I to the Sixth Assessment Report of the Intergovernmental Panel on Climate Change","title-short":"Climate Change 2021","author":[{"family":"IPCC","given":""}],"editor":[{"family":"Masson-Delmotte","given":"Valérie"},{"family":"Zhai","given":"Panmao"},{"family":"Pirani","given":"Anna"},{"family":"Connors","given":"Sarah L."},{"family":"Péan","given":"C."},{"family":"Berger","given":"Sophie"},{"family":"Caud","given":"Nada"},{"family":"Chen","given":"Y."},{"family":"Goldfarb","given":"Leah"},{"family":"Gomis","given":"Melissa I."},{"family":"Huang","given":"Mengtian"},{"family":"Leitzell","given":"Katherine"},{"family":"Lonnoy","given":"Elisabeth"},{"family":"Matthews","given":"J. B. Robin"},{"family":"Maycock","given":"Thomas K."},{"family":"Waterfield","given":"Tim"},{"family":"Yelekçi","given":"Özge"},{"family":"Yu","given":"R."},{"family":"Zhou","given":"Botao"}],"issued":{"date-parts":[["2021"]]}}},{"id":136,"uris":["http://zotero.org/users/2470179/items/FN7HUXYR"],"itemData":{"id":136,"type":"article-journal","abstract":"&lt;p&gt;&lt;strong class=\"journal-contentHeaderColor\"&gt;Abstract.&lt;/strong&gt; Anthropogenic increases in atmospheric greenhouse gas concentrations are the main driver of current and future climate change. The integrated assessment community has quantified anthropogenic emissions for the shared socio-economic pathway (SSP) scenarios, each of which represents a different future socio-economic projection and political environment. Here, we provide the greenhouse gas concentrations for these SSP scenarios – using the reduced-complexity climate–carbon-cycle model MAGICC7.0. We extend historical, observationally based concentration data with SSP concentration projections from 2015 to 2500 for 43 greenhouse gases with monthly and latitudinal resolution. &lt;span class=\"inline-formula\"&gt;CO&lt;sub&gt;2&lt;/sub&gt;&lt;/span&gt; concentrations by 2100 range from 393 to 1135&amp;thinsp;ppm for the lowest (SSP1-1.9) and highest (SSP5-8.5) emission scenarios, respectively. We also provide the concentration extensions beyond 2100 based on assumptions regarding the trajectories of fossil fuels and land use change emissions, net negative emissions, and the fraction of non-&lt;span class=\"inline-formula\"&gt;CO&lt;sub&gt;2&lt;/sub&gt;&lt;/span&gt; emissions. By 2150, &lt;span class=\"inline-formula\"&gt;CO&lt;sub&gt;2&lt;/sub&gt;&lt;/span&gt; concentrations in the lowest emission scenario are approximately 350&amp;thinsp;ppm and approximately plateau at that level&lt;span id=\"page3572\"/&gt; until 2500, whereas the highest fossil-fuel-driven scenario projects &lt;span class=\"inline-formula\"&gt;CO&lt;sub&gt;2&lt;/sub&gt;&lt;/span&gt; concentrations of 1737&amp;thinsp;ppm and reaches concentrations beyond 2000&amp;thinsp;ppm by 2250. We estimate that the share of &lt;span class=\"inline-formula\"&gt;CO&lt;sub&gt;2&lt;/sub&gt;&lt;/span&gt; in the total radiative forcing contribution of all considered 43 long-lived greenhouse gases increases from 66&amp;thinsp;% for the present day to roughly 68&amp;thinsp;% to 85&amp;thinsp;% by the time of maximum forcing in the 21st century. For this estimation, we updated simple radiative forcing parameterizations that reflect the Oslo Line-By-Line model results. In comparison to the representative concentration pathways (RCPs), the five main SSPs (SSP1-1.9, SSP1-2.6, SSP2-4.5, SSP3-7.0, and SSP5-8.5) are more evenly spaced and extend to lower 2100 radiative forcing and temperatures. Performing two pairs of six-member historical ensembles with CESM1.2.2, we estimate the effect on surface air temperatures of applying latitudinally and seasonally resolved GHG concentrations. We find that the ensemble differences in the March–April–May (MAM) season provide a regional warming in higher northern latitudes of up to 0.4&amp;thinsp;K over the historical period, latitudinally averaged of about 0.1&amp;thinsp;K, which we estimate to be comparable to the upper bound (&lt;span class=\"inline-formula\"&gt;</w:instrText>
      </w:r>
      <w:r w:rsidR="00A90835" w:rsidRPr="00256EAA">
        <w:rPr>
          <w:rFonts w:ascii="Cambria Math" w:hAnsi="Cambria Math" w:cs="Cambria Math"/>
          <w:sz w:val="22"/>
          <w:szCs w:val="22"/>
          <w:lang w:val="en-GB"/>
        </w:rPr>
        <w:instrText>∼</w:instrText>
      </w:r>
      <w:r w:rsidR="00A90835" w:rsidRPr="00256EAA">
        <w:rPr>
          <w:sz w:val="22"/>
          <w:szCs w:val="22"/>
          <w:lang w:val="en-GB"/>
        </w:rPr>
        <w:instrText>5&lt;/span&gt;&amp;thinsp;% level) of natural variability. In comparison to the comparatively straight line of the last 2000 years, the greenhouse gas concentrations since the onset of the industrial period and this studies' projections over the next 100 to 500 years unequivocally depict a “hockey-stick” upwards shape. The SSP concentration time series derived in this study provide a harmonized set of input assumptions for long-term climate science analysis; they also provide an indication of the wide set of futures that societal developments and policy implementations can lead to – ranging from multiple degrees of future warming on the one side to approximately 1.5&amp;thinsp;&lt;span class=\"inline-formula\"&gt;&lt;sup&gt;</w:instrText>
      </w:r>
      <w:r w:rsidR="00A90835" w:rsidRPr="00256EAA">
        <w:rPr>
          <w:rFonts w:ascii="Cambria Math" w:hAnsi="Cambria Math" w:cs="Cambria Math"/>
          <w:sz w:val="22"/>
          <w:szCs w:val="22"/>
          <w:lang w:val="en-GB"/>
        </w:rPr>
        <w:instrText>∘</w:instrText>
      </w:r>
      <w:r w:rsidR="00A90835" w:rsidRPr="00256EAA">
        <w:rPr>
          <w:sz w:val="22"/>
          <w:szCs w:val="22"/>
          <w:lang w:val="en-GB"/>
        </w:rPr>
        <w:instrText xml:space="preserve">&lt;/sup&gt;&lt;/span&gt;C warming on the other.&lt;/p&gt;","container-title":"Geoscientific Model Development","DOI":"10.5194/gmd-13-3571-2020","ISSN":"1991-959X","issue":"8","language":"English","note":"publisher: Copernicus GmbH","page":"3571-3605","source":"gmd.copernicus.org","title":"The shared socio-economic pathway (SSP) greenhouse gas concentrations and their extensions to 2500","volume":"13","author":[{"family":"Meinshausen","given":"Malte"},{"family":"Nicholls","given":"Zebedee R. J."},{"family":"Lewis","given":"Jared"},{"family":"Gidden","given":"Matthew J."},{"family":"Vogel","given":"Elisabeth"},{"family":"Freund","given":"Mandy"},{"family":"Beyerle","given":"Urs"},{"family":"Gessner","given":"Claudia"},{"family":"Nauels","given":"Alexander"},{"family":"Bauer","given":"Nico"},{"family":"Canadell","given":"Josep G."},{"family":"Daniel","given":"John S."},{"family":"John","given":"Andrew"},{"family":"Krummel","given":"Paul B."},{"family":"Luderer","given":"Gunnar"},{"family":"Meinshausen","given":"Nicolai"},{"family":"Montzka","given":"Stephen A."},{"family":"Rayner","given":"Peter J."},{"family":"Reimann","given":"Stefan"},{"family":"Smith","given":"Steven J."},{"family":"Berg","given":"Marten","non-dropping-particle":"van den"},{"family":"Velders","given":"Guus J. M."},{"family":"Vollmer","given":"Martin K."},{"family":"Wang","given":"Ray H. J."}],"issued":{"date-parts":[["2020",8,13]]}}}],"schema":"https://github.com/citation-style-language/schema/raw/master/csl-citation.json"} </w:instrText>
      </w:r>
      <w:r w:rsidR="00A90835" w:rsidRPr="00256EAA">
        <w:rPr>
          <w:sz w:val="22"/>
          <w:szCs w:val="22"/>
          <w:lang w:val="en-GB"/>
        </w:rPr>
        <w:fldChar w:fldCharType="separate"/>
      </w:r>
      <w:r w:rsidR="00A90835" w:rsidRPr="00256EAA">
        <w:rPr>
          <w:sz w:val="22"/>
          <w:szCs w:val="22"/>
        </w:rPr>
        <w:t>(IPCC, 2021; Meinshausen et al., 2020)</w:t>
      </w:r>
      <w:r w:rsidR="00A90835" w:rsidRPr="00256EAA">
        <w:rPr>
          <w:sz w:val="22"/>
          <w:szCs w:val="22"/>
          <w:lang w:val="en-GB"/>
        </w:rPr>
        <w:fldChar w:fldCharType="end"/>
      </w:r>
      <w:r w:rsidR="00A90835" w:rsidRPr="00256EAA">
        <w:rPr>
          <w:sz w:val="22"/>
          <w:szCs w:val="22"/>
          <w:lang w:val="en-GB"/>
        </w:rPr>
        <w:t xml:space="preserve">. However, the various </w:t>
      </w:r>
      <w:proofErr w:type="spellStart"/>
      <w:r w:rsidR="00A90835" w:rsidRPr="00256EAA">
        <w:rPr>
          <w:sz w:val="22"/>
          <w:szCs w:val="22"/>
          <w:lang w:val="en-GB"/>
        </w:rPr>
        <w:t>spatio</w:t>
      </w:r>
      <w:proofErr w:type="spellEnd"/>
      <w:r w:rsidR="00A90835" w:rsidRPr="00256EAA">
        <w:rPr>
          <w:sz w:val="22"/>
          <w:szCs w:val="22"/>
          <w:lang w:val="en-GB"/>
        </w:rPr>
        <w:t>-temporal distribution of climate model outcomes and proxy-based climate reconstructions complicates comparison between these two sources of data.</w:t>
      </w:r>
    </w:p>
    <w:p w14:paraId="3E8939B7" w14:textId="78234864" w:rsidR="00BB6B72" w:rsidRPr="00256EAA" w:rsidRDefault="00A90835" w:rsidP="00F4367D">
      <w:pPr>
        <w:jc w:val="both"/>
        <w:rPr>
          <w:sz w:val="22"/>
          <w:szCs w:val="22"/>
          <w:lang w:val="en-GB"/>
        </w:rPr>
      </w:pPr>
      <w:r w:rsidRPr="00256EAA">
        <w:rPr>
          <w:sz w:val="22"/>
          <w:szCs w:val="22"/>
          <w:lang w:val="en-GB"/>
        </w:rPr>
        <w:t>Data assimilation</w:t>
      </w:r>
      <w:r w:rsidR="0074454F" w:rsidRPr="00256EAA">
        <w:rPr>
          <w:sz w:val="22"/>
          <w:szCs w:val="22"/>
          <w:lang w:val="en-GB"/>
        </w:rPr>
        <w:t xml:space="preserve"> (DA)</w:t>
      </w:r>
      <w:r w:rsidRPr="00256EAA">
        <w:rPr>
          <w:sz w:val="22"/>
          <w:szCs w:val="22"/>
          <w:lang w:val="en-GB"/>
        </w:rPr>
        <w:t xml:space="preserve"> </w:t>
      </w:r>
      <w:r w:rsidR="0074454F" w:rsidRPr="00256EAA">
        <w:rPr>
          <w:sz w:val="22"/>
          <w:szCs w:val="22"/>
          <w:lang w:val="en-GB"/>
        </w:rPr>
        <w:t xml:space="preserve">holds promise to overcome this distribution problem by combining paleoclimate proxy data and models into a coherent data product while propagating their uncertainties and distributions in a Bayesian framework </w:t>
      </w:r>
      <w:r w:rsidR="0074454F" w:rsidRPr="00256EAA">
        <w:rPr>
          <w:sz w:val="22"/>
          <w:szCs w:val="22"/>
          <w:lang w:val="en-GB"/>
        </w:rPr>
        <w:fldChar w:fldCharType="begin"/>
      </w:r>
      <w:r w:rsidR="00A0729E" w:rsidRPr="00256EAA">
        <w:rPr>
          <w:sz w:val="22"/>
          <w:szCs w:val="22"/>
          <w:lang w:val="en-GB"/>
        </w:rPr>
        <w:instrText xml:space="preserve"> ADDIN ZOTERO_ITEM CSL_CITATION {"citationID":"mJ2BZdvJ","properties":{"formattedCitation":"(Hakim et al., 2016; Okazaki and Yoshimura, 2017; Tierney et al., 2025)","plainCitation":"(Hakim et al., 2016; Okazaki and Yoshimura, 2017; Tierney et al., 2025)","noteIndex":0},"citationItems":[{"id":7775,"uris":["http://zotero.org/users/2470179/items/92NVWCH3"],"itemData":{"id":7775,"type":"article-journal","abstract":"An “offline” approach to DA is used, where static ensemble samples are drawn from existing CMIP climate-model simulations to serve as the prior estimate of climate variables. We use linear, univariate forward models (“proxy system models (PSMs)”) that map climate variables to proxy measurements by fitting proxy data to 2 m air temperature from gridded instrumental temperature data; the linear PSMs are then used to predict proxy values from the prior estimate. Results for the LMR are compared against six gridded instrumental temperature data sets and 25% of the proxy records are withheld from assimilation for independent verification. Results show broad agreement with previous reconstructions of Northern Hemisphere mean 2 m air temperature, with millennial-scale cooling, a multicentennial warm period around 1000 C.E., and a cold period coincident with the Little Ice Age (circa 1450–1800 C.E.). Verification against gridded instrumental data sets during 1880–2000 C.E. reveals greatest skill in the tropics and lowest skill over Northern Hemisphere land areas. Verification against independent proxy records indicates substantial improvement relative to the model (prior) data without proxy assimilation. As an illustrative example, we present multivariate reconstructed fields for a singular event, the 1808/1809 “mystery” volcanic eruption, which reveal global cooling that is strongly enhanced locally due to the presence of the Pacific-North America wave pattern in the 500 hPa geopotential height field.","container-title":"Journal of Geophysical Research: Atmospheres","DOI":"10.1002/2016JD024751","ISSN":"2169-8996","issue":"12","language":"en","license":"©2016. The Authors.","note":"_eprint: https://agupubs.onlinelibrary.wiley.com/doi/pdf/10.1002/2016JD024751","page":"6745-6764","source":"Wiley Online Library","title":"The last millennium climate reanalysis project: Framework and first results","title-short":"The last millennium climate reanalysis project","volume":"121","author":[{"family":"Hakim","given":"Gregory J."},{"family":"Emile-Geay","given":"Julien"},{"family":"Steig","given":"Eric J."},{"family":"Noone","given":"David"},{"family":"Anderson","given":"David M."},{"family":"Tardif","given":"Robert"},{"family":"Steiger","given":"Nathan"},{"family":"Perkins","given":"Walter A."}],"issued":{"date-parts":[["2016"]]}}},{"id":11744,"uris":["http://zotero.org/users/2470179/items/NKBN6WWD"],"itemData":{"id":11744,"type":"article-journal","abstract":"Data assimilation (DA) has been successfully applied in the field of paleoclimatology to reconstruct past climate. However, data reconstructed from proxies have been assimilated, as opposed to the actual proxy values. This prevented full utilization of the information recorded in the proxies. \n\n This study examined the feasibility of proxy DA for paleoclimate reconstruction. Isotopic proxies (δ18O in ice cores, corals, and tree-ring cellulose) were assimilated into models: an isotope-enabled general circulation model (GCM) and forward proxy models, using offline data assimilation. \n\n First, we examined the feasibility using an observation system simulation experiment (OSSE). The analysis showed a significant improvement compared with the first guess in the reproducibility of isotope ratios in the proxies, as well as the temperature and precipitation fields, when only the isotopic information was assimilated. The reconstruction skill for temperature and precipitation was especially high at low latitudes. This is due to the fact that isotopic proxies are strongly influenced by temperature and/or precipitation at low latitudes, which, in turn, are modulated by the El Niño–Southern Oscillation (ENSO) on interannual timescales. \n\n Subsequently, the proxy DA was conducted with real proxy data. The reconstruction skill was decreased compared to the OSSE. In particular, the decrease was significant over the Indian Ocean, eastern Pacific, and the Atlantic Ocean where the reproducibility of the proxy model was lower. By changing the experimental design in a stepwise manner, the decreased skill was suggested to be attributable to the misrepresentation of the atmospheric and proxy models and/or the quality of the observations. Although there remains a lot to improve proxy DA, the result adequately showed that proxy DA is feasible enough to reconstruct past climate.","container-title":"Climate of the Past","DOI":"10.5194/cp-13-379-2017","ISSN":"1814-9324","issue":"4","language":"English","note":"publisher: Copernicus GmbH","page":"379-393","source":"Copernicus Online Journals","title":"Development and evaluation of a system of proxy data assimilation for paleoclimate reconstruction","volume":"13","author":[{"family":"Okazaki","given":"Atsushi"},{"family":"Yoshimura","given":"Kei"}],"issued":{"date-parts":[["2017",4,20]]}}},{"id":11742,"uris":["http://zotero.org/users/2470179/items/BJAE2FSI"],"itemData":{"id":11742,"type":"article-journal","abstract":"Reconstructions of past climates in both time and space provide important insight into the range and rate of change within the climate system. However, producing a coherent global picture of past climates is difficult because indicators of past environmental changes (proxy data) are unevenly distributed and uncertain. In recent years, paleoclimate data assimilation (paleoDA), which statistically combines model simulations with proxy data, has become an increasingly popular reconstruction method. Here, we describe advances in paleoDA to date, with a focus on the offline ensemble Kalman filter and the insights into climate change that this method affords. PaleoDA has considerable strengths in that it can blend multiple types of information while also propagating uncertainty. Drawbacks of the methodology include an overreliance on the climate model and variance loss. We conclude with an outlook on possible expansions and improvements in paleoDA that can be made in the upcoming years. ▪ Paleoclimate data assimilation blends model and proxy information to enable spatiotemporal reconstructions of past climate change. ▪ This method has advanced our understanding of global temperature change, Earth&amp;apos;s climate sensitivity, and past climate dynamics. ▪ Future innovations could improve the method by implementing online paleoclimate data assimilation and smoothers.","container-title":"Annual Review of Earth and Planetary Sciences","DOI":"10.1146/annurev-earth-032320-064209","ISSN":"0084-6597, 1545-4495","issue":"Volume 53, 2025","language":"en","note":"publisher: Annual Reviews","page":"625-650","source":"www-annualreviews-org.vu-nl.idm.oclc.org","title":"Advances in Paleoclimate Data Assimilation","volume":"53","author":[{"family":"Tierney","given":"Jessica E."},{"family":"Judd","given":"Emily J."},{"family":"Osman","given":"Matthew B."},{"family":"King","given":"Jonathan M."},{"family":"Truax","given":"Olivia J."},{"family":"Steiger","given":"Nathan J."},{"family":"Amrhein","given":"Daniel E."},{"family":"Anchukaitis","given":"Kevin J."}],"issued":{"date-parts":[["2025",5,30]]}}}],"schema":"https://github.com/citation-style-language/schema/raw/master/csl-citation.json"} </w:instrText>
      </w:r>
      <w:r w:rsidR="0074454F" w:rsidRPr="00256EAA">
        <w:rPr>
          <w:sz w:val="22"/>
          <w:szCs w:val="22"/>
          <w:lang w:val="en-GB"/>
        </w:rPr>
        <w:fldChar w:fldCharType="separate"/>
      </w:r>
      <w:r w:rsidR="00A0729E" w:rsidRPr="00256EAA">
        <w:rPr>
          <w:sz w:val="22"/>
          <w:szCs w:val="22"/>
        </w:rPr>
        <w:t>(Hakim et al., 2016; Okazaki and Yoshimura, 2017; Tierney et al., 2025)</w:t>
      </w:r>
      <w:r w:rsidR="0074454F" w:rsidRPr="00256EAA">
        <w:rPr>
          <w:sz w:val="22"/>
          <w:szCs w:val="22"/>
          <w:lang w:val="en-GB"/>
        </w:rPr>
        <w:fldChar w:fldCharType="end"/>
      </w:r>
      <w:r w:rsidR="0074454F" w:rsidRPr="00256EAA">
        <w:rPr>
          <w:sz w:val="22"/>
          <w:szCs w:val="22"/>
          <w:lang w:val="en-GB"/>
        </w:rPr>
        <w:t>.</w:t>
      </w:r>
      <w:r w:rsidR="00BB6B72" w:rsidRPr="00256EAA">
        <w:rPr>
          <w:sz w:val="22"/>
          <w:szCs w:val="22"/>
          <w:lang w:val="en-GB"/>
        </w:rPr>
        <w:t xml:space="preserve"> The principles of paleoclimate data assimilation (</w:t>
      </w:r>
      <w:proofErr w:type="spellStart"/>
      <w:r w:rsidR="00BB6B72" w:rsidRPr="00256EAA">
        <w:rPr>
          <w:sz w:val="22"/>
          <w:szCs w:val="22"/>
          <w:lang w:val="en-GB"/>
        </w:rPr>
        <w:t>paleoDA</w:t>
      </w:r>
      <w:proofErr w:type="spellEnd"/>
      <w:r w:rsidR="00BB6B72" w:rsidRPr="00256EAA">
        <w:rPr>
          <w:sz w:val="22"/>
          <w:szCs w:val="22"/>
          <w:lang w:val="en-GB"/>
        </w:rPr>
        <w:t xml:space="preserve">) are explained in more detail in </w:t>
      </w:r>
      <w:r w:rsidR="00BB6B72" w:rsidRPr="00256EAA">
        <w:rPr>
          <w:sz w:val="22"/>
          <w:szCs w:val="22"/>
          <w:lang w:val="en-GB"/>
        </w:rPr>
        <w:fldChar w:fldCharType="begin"/>
      </w:r>
      <w:r w:rsidR="00BB6B72" w:rsidRPr="00256EAA">
        <w:rPr>
          <w:sz w:val="22"/>
          <w:szCs w:val="22"/>
          <w:lang w:val="en-GB"/>
        </w:rPr>
        <w:instrText xml:space="preserve"> ADDIN ZOTERO_ITEM CSL_CITATION {"citationID":"wORTapBD","properties":{"formattedCitation":"(Tierney et al., 2025)","plainCitation":"(Tierney et al., 2025)","noteIndex":0},"citationItems":[{"id":11742,"uris":["http://zotero.org/users/2470179/items/BJAE2FSI"],"itemData":{"id":11742,"type":"article-journal","abstract":"Reconstructions of past climates in both time and space provide important insight into the range and rate of change within the climate system. However, producing a coherent global picture of past climates is difficult because indicators of past environmental changes (proxy data) are unevenly distributed and uncertain. In recent years, paleoclimate data assimilation (paleoDA), which statistically combines model simulations with proxy data, has become an increasingly popular reconstruction method. Here, we describe advances in paleoDA to date, with a focus on the offline ensemble Kalman filter and the insights into climate change that this method affords. PaleoDA has considerable strengths in that it can blend multiple types of information while also propagating uncertainty. Drawbacks of the methodology include an overreliance on the climate model and variance loss. We conclude with an outlook on possible expansions and improvements in paleoDA that can be made in the upcoming years. ▪ Paleoclimate data assimilation blends model and proxy information to enable spatiotemporal reconstructions of past climate change. ▪ This method has advanced our understanding of global temperature change, Earth&amp;apos;s climate sensitivity, and past climate dynamics. ▪ Future innovations could improve the method by implementing online paleoclimate data assimilation and smoothers.","container-title":"Annual Review of Earth and Planetary Sciences","DOI":"10.1146/annurev-earth-032320-064209","ISSN":"0084-6597, 1545-4495","issue":"Volume 53, 2025","language":"en","note":"publisher: Annual Reviews","page":"625-650","source":"www-annualreviews-org.vu-nl.idm.oclc.org","title":"Advances in Paleoclimate Data Assimilation","volume":"53","author":[{"family":"Tierney","given":"Jessica E."},{"family":"Judd","given":"Emily J."},{"family":"Osman","given":"Matthew B."},{"family":"King","given":"Jonathan M."},{"family":"Truax","given":"Olivia J."},{"family":"Steiger","given":"Nathan J."},{"family":"Amrhein","given":"Daniel E."},{"family":"Anchukaitis","given":"Kevin J."}],"issued":{"date-parts":[["2025",5,30]]}}}],"schema":"https://github.com/citation-style-language/schema/raw/master/csl-citation.json"} </w:instrText>
      </w:r>
      <w:r w:rsidR="00BB6B72" w:rsidRPr="00256EAA">
        <w:rPr>
          <w:sz w:val="22"/>
          <w:szCs w:val="22"/>
          <w:lang w:val="en-GB"/>
        </w:rPr>
        <w:fldChar w:fldCharType="separate"/>
      </w:r>
      <w:r w:rsidR="00BB6B72" w:rsidRPr="00256EAA">
        <w:rPr>
          <w:sz w:val="22"/>
          <w:szCs w:val="22"/>
        </w:rPr>
        <w:t>(Tierney et al., 2025)</w:t>
      </w:r>
      <w:r w:rsidR="00BB6B72" w:rsidRPr="00256EAA">
        <w:rPr>
          <w:sz w:val="22"/>
          <w:szCs w:val="22"/>
          <w:lang w:val="en-GB"/>
        </w:rPr>
        <w:fldChar w:fldCharType="end"/>
      </w:r>
      <w:r w:rsidR="00BB6B72" w:rsidRPr="00256EAA">
        <w:rPr>
          <w:sz w:val="22"/>
          <w:szCs w:val="22"/>
          <w:lang w:val="en-GB"/>
        </w:rPr>
        <w:t xml:space="preserve"> and references therein. Briefly, </w:t>
      </w:r>
      <w:proofErr w:type="spellStart"/>
      <w:r w:rsidR="00BB6B72" w:rsidRPr="00256EAA">
        <w:rPr>
          <w:sz w:val="22"/>
          <w:szCs w:val="22"/>
          <w:lang w:val="en-GB"/>
        </w:rPr>
        <w:t>paleoDA</w:t>
      </w:r>
      <w:proofErr w:type="spellEnd"/>
      <w:r w:rsidR="00BB6B72" w:rsidRPr="00256EAA">
        <w:rPr>
          <w:sz w:val="22"/>
          <w:szCs w:val="22"/>
          <w:lang w:val="en-GB"/>
        </w:rPr>
        <w:t xml:space="preserve"> extracts climate model outcomes for a target period to inform a “prior” for the state of climate. Proxy</w:t>
      </w:r>
      <w:r w:rsidR="00185E85" w:rsidRPr="00256EAA">
        <w:rPr>
          <w:sz w:val="22"/>
          <w:szCs w:val="22"/>
          <w:lang w:val="en-GB"/>
        </w:rPr>
        <w:t xml:space="preserve"> values for this prior state are then</w:t>
      </w:r>
      <w:r w:rsidR="00BB6B72" w:rsidRPr="00256EAA">
        <w:rPr>
          <w:sz w:val="22"/>
          <w:szCs w:val="22"/>
          <w:lang w:val="en-GB"/>
        </w:rPr>
        <w:t xml:space="preserve"> forward-model</w:t>
      </w:r>
      <w:r w:rsidR="00185E85" w:rsidRPr="00256EAA">
        <w:rPr>
          <w:sz w:val="22"/>
          <w:szCs w:val="22"/>
          <w:lang w:val="en-GB"/>
        </w:rPr>
        <w:t xml:space="preserve">led using Proxy System Models </w:t>
      </w:r>
      <w:r w:rsidR="00185E85" w:rsidRPr="00256EAA">
        <w:rPr>
          <w:sz w:val="22"/>
          <w:szCs w:val="22"/>
          <w:lang w:val="en-GB"/>
        </w:rPr>
        <w:fldChar w:fldCharType="begin"/>
      </w:r>
      <w:r w:rsidR="00185E85" w:rsidRPr="00256EAA">
        <w:rPr>
          <w:sz w:val="22"/>
          <w:szCs w:val="22"/>
          <w:lang w:val="en-GB"/>
        </w:rPr>
        <w:instrText xml:space="preserve"> ADDIN ZOTERO_ITEM CSL_CITATION {"citationID":"wWt4yqwK","properties":{"formattedCitation":"(Evans et al., 2013)","plainCitation":"(Evans et al., 2013)","noteIndex":0},"citationItems":[{"id":11675,"uris":["http://zotero.org/users/2470179/items/IV4Z9UTG"],"itemData":{"id":11675,"type":"article-journal","abstract":"A proxy system model may be defined as the complete set of forward and mechanistic processes by which the response of a sensor to environmental forcing is recorded and subsequently observed in a material archive. Proxy system modeling complements and sharpens signal interpretations based solely on statistical analyses and transformations; provides the basis for observing network optimization, hypothesis testing, and data-model comparisons for uncertainty estimation; and may be incorporated as weak but mechanistically-plausible constraints into paleoclimatic reconstruction algorithms. Following a review illustrating these applications, we recommend future research pathways, including development of intermediate proxy system models for important sensors, archives, and observations; linking proxy system models to climate system models; hypothesis development and evaluation; more realistic multi-archive, multi-observation network design; examination of proxy system behavior under extreme conditions; and generalized modeling of the total uncertainty in paleoclimate reconstructions derived from paleo-observations.","container-title":"Quaternary Science Reviews","DOI":"10.1016/j.quascirev.2013.05.024","ISSN":"0277-3791","journalAbbreviation":"Quaternary Science Reviews","page":"16-28","source":"ScienceDirect","title":"Applications of proxy system modeling in high resolution paleoclimatology","volume":"76","author":[{"family":"Evans","given":"M. N."},{"family":"Tolwinski-Ward","given":"S. E."},{"family":"Thompson","given":"D. M."},{"family":"Anchukaitis","given":"K. J."}],"issued":{"date-parts":[["2013",9,15]]}}}],"schema":"https://github.com/citation-style-language/schema/raw/master/csl-citation.json"} </w:instrText>
      </w:r>
      <w:r w:rsidR="00185E85" w:rsidRPr="00256EAA">
        <w:rPr>
          <w:sz w:val="22"/>
          <w:szCs w:val="22"/>
          <w:lang w:val="en-GB"/>
        </w:rPr>
        <w:fldChar w:fldCharType="separate"/>
      </w:r>
      <w:r w:rsidR="00185E85" w:rsidRPr="00256EAA">
        <w:rPr>
          <w:sz w:val="22"/>
          <w:szCs w:val="22"/>
        </w:rPr>
        <w:t>(Evans et al., 2013)</w:t>
      </w:r>
      <w:r w:rsidR="00185E85" w:rsidRPr="00256EAA">
        <w:rPr>
          <w:sz w:val="22"/>
          <w:szCs w:val="22"/>
          <w:lang w:val="en-GB"/>
        </w:rPr>
        <w:fldChar w:fldCharType="end"/>
      </w:r>
      <w:r w:rsidR="00185E85" w:rsidRPr="00256EAA">
        <w:rPr>
          <w:sz w:val="22"/>
          <w:szCs w:val="22"/>
          <w:lang w:val="en-GB"/>
        </w:rPr>
        <w:t xml:space="preserve"> to allow direct comparison between the model prior and proxy data. This proxy-model comparison in the proxy domain (the “innovation”) is used to update our prior information of the climate state through the Kalman filter </w:t>
      </w:r>
      <w:r w:rsidR="00185E85" w:rsidRPr="00256EAA">
        <w:rPr>
          <w:sz w:val="22"/>
          <w:szCs w:val="22"/>
          <w:lang w:val="en-GB"/>
        </w:rPr>
        <w:fldChar w:fldCharType="begin"/>
      </w:r>
      <w:r w:rsidR="00984D32" w:rsidRPr="00256EAA">
        <w:rPr>
          <w:sz w:val="22"/>
          <w:szCs w:val="22"/>
          <w:lang w:val="en-GB"/>
        </w:rPr>
        <w:instrText xml:space="preserve"> ADDIN ZOTERO_ITEM CSL_CITATION {"citationID":"Zgwshuvo","properties":{"formattedCitation":"(Kalman, 1960; Steiger et al., 2014)","plainCitation":"(Kalman, 1960; Steiger et al., 2014)","noteIndex":0},"citationItems":[{"id":11757,"uris":["http://zotero.org/users/2470179/items/68RPQSVF"],"itemData":{"id":11757,"type":"article-journal","abstract":"The classical filtering and prediction problem is re-examined using the Bode-Shannon representation of random processes and the “state-transition” method of analysis of dynamic systems. New results are: (1) The formulation and methods of solution of the problem apply without modification to stationary and nonstationary statistics and to growing-memory and infinite-memory filters. (2) A nonlinear difference (or differential) equation is derived for the covariance matrix of the optimal estimation error. From the solution of this equation the co-efficients of the difference (or differential) equation of the optimal linear filter are obtained without further calculations. (3) The filtering problem is shown to be the dual of the noise-free regulator problem. The new method developed here is applied to two well-known problems, confirming and extending earlier results. The discussion is largely self-contained and proceeds from first principles; basic concepts of the theory of random processes are reviewed in the Appendix.","container-title":"Journal of Basic Engineering","DOI":"10.1115/1.3662552","ISSN":"0021-9223","issue":"1","journalAbbreviation":"J. Basic Eng","page":"35-45","source":"Silverchair","title":"A New Approach to Linear Filtering and Prediction Problems","volume":"82","author":[{"family":"Kalman","given":"R. E."}],"issued":{"date-parts":[["1960",3,1]]}}},{"id":7979,"uris":["http://zotero.org/users/2470179/items/8SXVAMRC"],"itemData":{"id":7979,"type":"article-journal","abstract":"The efﬁcacy of a novel ensemble data assimilation (DA) technique is examined in the climate ﬁeld reconstruction (CFR) of surface temperature. A minimalistic, computationally inexpensive DA technique is employed that requires only a static ensemble of climatologically plausible states. Pseudoproxy experiments are performed with both general circulation model (GCM) and Twentieth Century Reanalysis (20CR) data by reconstructing surface temperature ﬁelds from a sparse network of noisy pseudoproxies. The DA approach is compared to a conventional CFR approach based on principal component analysis (PCA) for experiments on global domains. DA outperforms PCA in reconstructing global-mean temperature in all experiments and is more consistent across experiments, with a range of time series correlations of 0.69–0.94 compared to 0.19–0.87 for the PCA method. DA improvements are even more evident in spatial reconstruction skill, especially in sparsely sampled pseudoproxy regions and for 20CR experiments. It is hypothesized that DA improves spatial reconstructions because it relies on coherent, spatially local temperature patterns, which remain robust even when glacial states are used to reconstruct nonglacial states and vice versa. These local relationships, as utilized by DA, appear to be more robust than the orthogonal patterns of variability utilized by PCA. Comparing results for GCM and 20CR data indicates that pseudoproxy experiments that rely solely on GCM data may give a false impression of reconstruction skill.","container-title":"Journal of Climate","DOI":"10.1175/JCLI-D-12-00693.1","ISSN":"0894-8755, 1520-0442","issue":"1","language":"en","page":"426-441","source":"DOI.org (Crossref)","title":"Assimilation of Time-Averaged Pseudoproxies for Climate Reconstruction","volume":"27","author":[{"family":"Steiger","given":"Nathan J."},{"family":"Hakim","given":"Gregory J."},{"family":"Steig","given":"Eric J."},{"family":"Battisti","given":"David S."},{"family":"Roe","given":"Gerard H."}],"issued":{"date-parts":[["2014",1,1]]}}}],"schema":"https://github.com/citation-style-language/schema/raw/master/csl-citation.json"} </w:instrText>
      </w:r>
      <w:r w:rsidR="00185E85" w:rsidRPr="00256EAA">
        <w:rPr>
          <w:sz w:val="22"/>
          <w:szCs w:val="22"/>
          <w:lang w:val="en-GB"/>
        </w:rPr>
        <w:fldChar w:fldCharType="separate"/>
      </w:r>
      <w:r w:rsidR="00984D32" w:rsidRPr="00256EAA">
        <w:rPr>
          <w:sz w:val="22"/>
          <w:szCs w:val="22"/>
        </w:rPr>
        <w:t>(Kalman, 1960; Steiger et al., 2014)</w:t>
      </w:r>
      <w:r w:rsidR="00185E85" w:rsidRPr="00256EAA">
        <w:rPr>
          <w:sz w:val="22"/>
          <w:szCs w:val="22"/>
          <w:lang w:val="en-GB"/>
        </w:rPr>
        <w:fldChar w:fldCharType="end"/>
      </w:r>
      <w:r w:rsidR="00984D32" w:rsidRPr="00256EAA">
        <w:rPr>
          <w:sz w:val="22"/>
          <w:szCs w:val="22"/>
          <w:lang w:val="en-GB"/>
        </w:rPr>
        <w:t>. The Kalman filter allows propagation of the covariance between models, climate variables, locations, time slices and between the model and proxy data</w:t>
      </w:r>
      <w:r w:rsidR="00E030B2" w:rsidRPr="00256EAA">
        <w:rPr>
          <w:sz w:val="22"/>
          <w:szCs w:val="22"/>
          <w:lang w:val="en-GB"/>
        </w:rPr>
        <w:t xml:space="preserve"> while considering uncertainties on the inputs. This</w:t>
      </w:r>
      <w:r w:rsidR="00984D32" w:rsidRPr="00256EAA">
        <w:rPr>
          <w:sz w:val="22"/>
          <w:szCs w:val="22"/>
          <w:lang w:val="en-GB"/>
        </w:rPr>
        <w:t xml:space="preserve"> </w:t>
      </w:r>
      <w:r w:rsidR="00E030B2" w:rsidRPr="00256EAA">
        <w:rPr>
          <w:sz w:val="22"/>
          <w:szCs w:val="22"/>
          <w:lang w:val="en-GB"/>
        </w:rPr>
        <w:t xml:space="preserve">allows </w:t>
      </w:r>
      <w:r w:rsidR="00984D32" w:rsidRPr="00256EAA">
        <w:rPr>
          <w:sz w:val="22"/>
          <w:szCs w:val="22"/>
          <w:lang w:val="en-GB"/>
        </w:rPr>
        <w:t xml:space="preserve">updating </w:t>
      </w:r>
      <w:r w:rsidR="00E030B2" w:rsidRPr="00256EAA">
        <w:rPr>
          <w:sz w:val="22"/>
          <w:szCs w:val="22"/>
          <w:lang w:val="en-GB"/>
        </w:rPr>
        <w:t xml:space="preserve">of </w:t>
      </w:r>
      <w:r w:rsidR="00984D32" w:rsidRPr="00256EAA">
        <w:rPr>
          <w:sz w:val="22"/>
          <w:szCs w:val="22"/>
          <w:lang w:val="en-GB"/>
        </w:rPr>
        <w:t xml:space="preserve">aspects of the climate state </w:t>
      </w:r>
      <w:r w:rsidR="00E030B2" w:rsidRPr="00256EAA">
        <w:rPr>
          <w:sz w:val="22"/>
          <w:szCs w:val="22"/>
          <w:lang w:val="en-GB"/>
        </w:rPr>
        <w:t xml:space="preserve">that were not directly sampled by proxy information through the covariance within the prior. The result is a “posterior” data product, which should </w:t>
      </w:r>
      <w:r w:rsidR="00E030B2" w:rsidRPr="00256EAA">
        <w:rPr>
          <w:sz w:val="22"/>
          <w:szCs w:val="22"/>
          <w:lang w:val="en-GB"/>
        </w:rPr>
        <w:lastRenderedPageBreak/>
        <w:t xml:space="preserve">ideally represent our best estimate of the state of past climate. </w:t>
      </w:r>
      <w:r w:rsidR="005936F0" w:rsidRPr="00256EAA">
        <w:rPr>
          <w:sz w:val="22"/>
          <w:szCs w:val="22"/>
          <w:lang w:val="en-GB"/>
        </w:rPr>
        <w:t xml:space="preserve">Additionally, the difference between the prior and posterior shows how much the proxy data informs our knowledge of past climate, and yields information about proxy-model mismatches. These can in turn lead to development of better model simulations </w:t>
      </w:r>
      <w:r w:rsidR="005936F0" w:rsidRPr="00256EAA">
        <w:rPr>
          <w:sz w:val="22"/>
          <w:szCs w:val="22"/>
          <w:lang w:val="en-GB"/>
        </w:rPr>
        <w:fldChar w:fldCharType="begin"/>
      </w:r>
      <w:r w:rsidR="005936F0" w:rsidRPr="00256EAA">
        <w:rPr>
          <w:sz w:val="22"/>
          <w:szCs w:val="22"/>
          <w:lang w:val="en-GB"/>
        </w:rPr>
        <w:instrText xml:space="preserve"> ADDIN ZOTERO_ITEM CSL_CITATION {"citationID":"95fdZbRH","properties":{"formattedCitation":"(Lunt et al., 2024)","plainCitation":"(Lunt et al., 2024)","noteIndex":0},"citationItems":[{"id":11740,"uris":["http://zotero.org/users/2470179/items/EZYH7L4U"],"itemData":{"id":11740,"type":"article-journal","abstract":"The paleoclimate record provides a test-bed in which climate models can be evaluated under conditions of substantial CO2 change; however, these data are typically under-used in the process of model development and evaluation. Here, we use a set of metrics based on paleoclimate proxy observations to evaluate climate models under three past time periods. We find that the latest CMIP6/PMIP4 ensemble mean does a remarkably good job of simulating the global mean surface air temperatures of these past periods, and is improved on CMIP5/PMIP3, implying that the modern climate sensitivity of the CMIP6/PMIP4 model ensemble mean is consistent with the paleoclimate record. However, some models, in particular those with very high or very low climate sensitivity, simulate paleo temperatures that are outside the uncertainty range of the paleo proxy temperature data; in this regard, the paleo data can provide a more stringent constraint than data from the historical record. There is also consistency between models and data in terms of polar amplification, with amplification increasing with increasing global mean temperature across all three time periods. The work highlights the benefits of using the paleoclimate record in the model development and evaluation cycle, in particular for screening models with too-high or too-low climate sensitivity across a range of CO2 concentrations.","container-title":"Communications Earth &amp; Environment","DOI":"10.1038/s43247-024-01531-3","ISSN":"2662-4435","issue":"1","journalAbbreviation":"Commun Earth Environ","language":"en","license":"2024 The Author(s)","note":"publisher: Nature Publishing Group","page":"419","source":"www-nature-com.vu-nl.idm.oclc.org","title":"Paleoclimate data provide constraints on climate models' large-scale response to past CO2 changes","volume":"5","author":[{"family":"Lunt","given":"Daniel J."},{"family":"Otto-Bliesner","given":"Bette L."},{"family":"Brierley","given":"Chris"},{"family":"Haywood","given":"Alan"},{"family":"Inglis","given":"Gordon N."},{"family":"Izumi","given":"Kenji"},{"family":"Kageyama","given":"Masa"},{"family":"Kaufman","given":"Darrell"},{"family":"Mauritsen","given":"Thorsten"},{"family":"McClymont","given":"Erin L."},{"family":"Salzmann","given":"Ulrich"},{"family":"Steinig","given":"Sebastian"},{"family":"Tierney","given":"Jessica E."},{"family":"Zhao","given":"Anni"},{"family":"Zhu","given":"Jiang"}],"issued":{"date-parts":[["2024",8,7]]}}}],"schema":"https://github.com/citation-style-language/schema/raw/master/csl-citation.json"} </w:instrText>
      </w:r>
      <w:r w:rsidR="005936F0" w:rsidRPr="00256EAA">
        <w:rPr>
          <w:sz w:val="22"/>
          <w:szCs w:val="22"/>
          <w:lang w:val="en-GB"/>
        </w:rPr>
        <w:fldChar w:fldCharType="separate"/>
      </w:r>
      <w:r w:rsidR="005936F0" w:rsidRPr="00256EAA">
        <w:rPr>
          <w:sz w:val="22"/>
          <w:szCs w:val="22"/>
        </w:rPr>
        <w:t>(Lunt et al., 2024)</w:t>
      </w:r>
      <w:r w:rsidR="005936F0" w:rsidRPr="00256EAA">
        <w:rPr>
          <w:sz w:val="22"/>
          <w:szCs w:val="22"/>
          <w:lang w:val="en-GB"/>
        </w:rPr>
        <w:fldChar w:fldCharType="end"/>
      </w:r>
      <w:r w:rsidR="00B053FA" w:rsidRPr="00256EAA">
        <w:rPr>
          <w:sz w:val="22"/>
          <w:szCs w:val="22"/>
          <w:lang w:val="en-GB"/>
        </w:rPr>
        <w:t xml:space="preserve">, </w:t>
      </w:r>
      <w:r w:rsidR="005936F0" w:rsidRPr="00256EAA">
        <w:rPr>
          <w:sz w:val="22"/>
          <w:szCs w:val="22"/>
          <w:lang w:val="en-GB"/>
        </w:rPr>
        <w:t xml:space="preserve">inform better </w:t>
      </w:r>
      <w:r w:rsidR="00B053FA" w:rsidRPr="00256EAA">
        <w:rPr>
          <w:sz w:val="22"/>
          <w:szCs w:val="22"/>
          <w:lang w:val="en-GB"/>
        </w:rPr>
        <w:t xml:space="preserve">proxy data </w:t>
      </w:r>
      <w:r w:rsidR="005936F0" w:rsidRPr="00256EAA">
        <w:rPr>
          <w:sz w:val="22"/>
          <w:szCs w:val="22"/>
          <w:lang w:val="en-GB"/>
        </w:rPr>
        <w:t xml:space="preserve">coverage </w:t>
      </w:r>
      <w:r w:rsidR="00B053FA" w:rsidRPr="00256EAA">
        <w:rPr>
          <w:sz w:val="22"/>
          <w:szCs w:val="22"/>
          <w:lang w:val="en-GB"/>
        </w:rPr>
        <w:t>and enhance our</w:t>
      </w:r>
      <w:r w:rsidR="005936F0" w:rsidRPr="00256EAA">
        <w:rPr>
          <w:sz w:val="22"/>
          <w:szCs w:val="22"/>
          <w:lang w:val="en-GB"/>
        </w:rPr>
        <w:t xml:space="preserve"> understanding of proxy systems</w:t>
      </w:r>
      <w:r w:rsidR="00B053FA" w:rsidRPr="00256EAA">
        <w:rPr>
          <w:sz w:val="22"/>
          <w:szCs w:val="22"/>
          <w:lang w:val="en-GB"/>
        </w:rPr>
        <w:t xml:space="preserve"> </w:t>
      </w:r>
      <w:r w:rsidR="00B053FA" w:rsidRPr="00256EAA">
        <w:rPr>
          <w:sz w:val="22"/>
          <w:szCs w:val="22"/>
          <w:lang w:val="en-GB"/>
        </w:rPr>
        <w:fldChar w:fldCharType="begin"/>
      </w:r>
      <w:r w:rsidR="00B053FA" w:rsidRPr="00256EAA">
        <w:rPr>
          <w:sz w:val="22"/>
          <w:szCs w:val="22"/>
          <w:lang w:val="en-GB"/>
        </w:rPr>
        <w:instrText xml:space="preserve"> ADDIN ZOTERO_ITEM CSL_CITATION {"citationID":"bhC4nfK3","properties":{"formattedCitation":"(Hao et al., 2025)","plainCitation":"(Hao et al., 2025)","noteIndex":0},"citationItems":[{"id":11747,"uris":["http://zotero.org/users/2470179/items/BY8Y8X8I"],"itemData":{"id":11747,"type":"article-journal","abstract":"Proxy-based reconstructions and climate model simulations of Holocene global annual mean temperatures exhibit divergent trends, leading to the well-known “Holocene temperature conundrum (HTC)”. This discrepancy is most pronounced in the mid-to-high latitudes of the Northern Hemisphere (NH) and has been attributed to either proxy seasonal bias or deficiencies in climate models. Paleoclimate data assimilation (PDA), which integrates proxy records with climate model simulations, provides an advanced method for generating global seasonal temperature reanalysis datasets for the mid-Holocene (MH). Assimilated results indicate that MH Eurasian temperatures are largely independent of the choice of model priors and exhibit significant spatial heterogeneity. Compared to the pre-industrial (PI) period, the MH is characterized by winter and annual mean warming in Europe and high-latitude Eurasia, while the rest of Eurasia experiences cooling. However, this spatial heterogeneity is not well represented in model simulations due to a pronounced winter cooling bias at high latitudes, likely resulting from inadequate representations of vegetation and sea ice feedback mechanisms. As Eurasian proxy records are predominantly concentrated in Europe, this regional imbalance introduces a warm bias in reconstructed winter and annual temperatures intended to represent broader Eurasian temperature changes. These results suggest that the HTC may stem from both the uneven spatial distribution of proxy records and the incomplete representation of internal climate feedbacks in current models.","container-title":"Science Bulletin","DOI":"10.1016/j.scib.2025.03.039","ISSN":"2095-9273","issue":"12","journalAbbreviation":"Science Bulletin","page":"2014-2022","source":"ScienceDirect","title":"Model seasonal and proxy spatial biases revealed by assimilated mid-Holocene seasonal temperatures","volume":"70","author":[{"family":"Hao","given":"Shuo"},{"family":"Zhang","given":"Xu"},{"family":"Duan","given":"Yanwu"},{"family":"Gowan","given":"Evan J."},{"family":"Zhu","given":"Jiang"},{"family":"Cauquoin","given":"Alexandre"},{"family":"Chen","given":"Jie"},{"family":"Werner","given":"Martin"},{"family":"Chen","given":"Fahu"}],"issued":{"date-parts":[["2025",6,30]]}}}],"schema":"https://github.com/citation-style-language/schema/raw/master/csl-citation.json"} </w:instrText>
      </w:r>
      <w:r w:rsidR="00B053FA" w:rsidRPr="00256EAA">
        <w:rPr>
          <w:sz w:val="22"/>
          <w:szCs w:val="22"/>
          <w:lang w:val="en-GB"/>
        </w:rPr>
        <w:fldChar w:fldCharType="separate"/>
      </w:r>
      <w:r w:rsidR="00B053FA" w:rsidRPr="00256EAA">
        <w:rPr>
          <w:sz w:val="22"/>
          <w:szCs w:val="22"/>
        </w:rPr>
        <w:t>(Hao et al., 2025)</w:t>
      </w:r>
      <w:r w:rsidR="00B053FA" w:rsidRPr="00256EAA">
        <w:rPr>
          <w:sz w:val="22"/>
          <w:szCs w:val="22"/>
          <w:lang w:val="en-GB"/>
        </w:rPr>
        <w:fldChar w:fldCharType="end"/>
      </w:r>
      <w:r w:rsidR="00B053FA" w:rsidRPr="00256EAA">
        <w:rPr>
          <w:sz w:val="22"/>
          <w:szCs w:val="22"/>
          <w:lang w:val="en-GB"/>
        </w:rPr>
        <w:t>.</w:t>
      </w:r>
    </w:p>
    <w:p w14:paraId="38565D04" w14:textId="6F34C434" w:rsidR="00F4367D" w:rsidRPr="00256EAA" w:rsidRDefault="00BB6B72" w:rsidP="00F4367D">
      <w:pPr>
        <w:jc w:val="both"/>
        <w:rPr>
          <w:sz w:val="22"/>
          <w:szCs w:val="22"/>
          <w:lang w:val="en-GB"/>
        </w:rPr>
      </w:pPr>
      <w:proofErr w:type="spellStart"/>
      <w:r w:rsidRPr="00256EAA">
        <w:rPr>
          <w:sz w:val="22"/>
          <w:szCs w:val="22"/>
          <w:lang w:val="en-GB"/>
        </w:rPr>
        <w:t>Paleo</w:t>
      </w:r>
      <w:r w:rsidR="0074454F" w:rsidRPr="00256EAA">
        <w:rPr>
          <w:sz w:val="22"/>
          <w:szCs w:val="22"/>
          <w:lang w:val="en-GB"/>
        </w:rPr>
        <w:t>DA</w:t>
      </w:r>
      <w:proofErr w:type="spellEnd"/>
      <w:r w:rsidR="0074454F" w:rsidRPr="00256EAA">
        <w:rPr>
          <w:sz w:val="22"/>
          <w:szCs w:val="22"/>
          <w:lang w:val="en-GB"/>
        </w:rPr>
        <w:t xml:space="preserve"> has been applied increasingly frequently on paleoclimate datasets in recent years </w:t>
      </w:r>
      <w:r w:rsidR="0074454F" w:rsidRPr="00256EAA">
        <w:rPr>
          <w:sz w:val="22"/>
          <w:szCs w:val="22"/>
          <w:lang w:val="en-GB"/>
        </w:rPr>
        <w:fldChar w:fldCharType="begin"/>
      </w:r>
      <w:r w:rsidR="0074454F" w:rsidRPr="00256EAA">
        <w:rPr>
          <w:sz w:val="22"/>
          <w:szCs w:val="22"/>
          <w:lang w:val="en-GB"/>
        </w:rPr>
        <w:instrText xml:space="preserve"> ADDIN ZOTERO_ITEM CSL_CITATION {"citationID":"Mbq8UbNv","properties":{"formattedCitation":"(Hakim et al., 2016; Judd et al., 2024; Osman et al., 2021; Tierney et al., 2020)","plainCitation":"(Hakim et al., 2016; Judd et al., 2024; Osman et al., 2021; Tierney et al., 2020)","noteIndex":0},"citationItems":[{"id":7775,"uris":["http://zotero.org/users/2470179/items/92NVWCH3"],"itemData":{"id":7775,"type":"article-journal","abstract":"An “offline” approach to DA is used, where static ensemble samples are drawn from existing CMIP climate-model simulations to serve as the prior estimate of climate variables. We use linear, univariate forward models (“proxy system models (PSMs)”) that map climate variables to proxy measurements by fitting proxy data to 2 m air temperature from gridded instrumental temperature data; the linear PSMs are then used to predict proxy values from the prior estimate. Results for the LMR are compared against six gridded instrumental temperature data sets and 25% of the proxy records are withheld from assimilation for independent verification. Results show broad agreement with previous reconstructions of Northern Hemisphere mean 2 m air temperature, with millennial-scale cooling, a multicentennial warm period around 1000 C.E., and a cold period coincident with the Little Ice Age (circa 1450–1800 C.E.). Verification against gridded instrumental data sets during 1880–2000 C.E. reveals greatest skill in the tropics and lowest skill over Northern Hemisphere land areas. Verification against independent proxy records indicates substantial improvement relative to the model (prior) data without proxy assimilation. As an illustrative example, we present multivariate reconstructed fields for a singular event, the 1808/1809 “mystery” volcanic eruption, which reveal global cooling that is strongly enhanced locally due to the presence of the Pacific-North America wave pattern in the 500 hPa geopotential height field.","container-title":"Journal of Geophysical Research: Atmospheres","DOI":"10.1002/2016JD024751","ISSN":"2169-8996","issue":"12","language":"en","license":"©2016. The Authors.","note":"_eprint: https://agupubs.onlinelibrary.wiley.com/doi/pdf/10.1002/2016JD024751","page":"6745-6764","source":"Wiley Online Library","title":"The last millennium climate reanalysis project: Framework and first results","title-short":"The last millennium climate reanalysis project","volume":"121","author":[{"family":"Hakim","given":"Gregory J."},{"family":"Emile-Geay","given":"Julien"},{"family":"Steig","given":"Eric J."},{"family":"Noone","given":"David"},{"family":"Anderson","given":"David M."},{"family":"Tardif","given":"Robert"},{"family":"Steiger","given":"Nathan"},{"family":"Perkins","given":"Walter A."}],"issued":{"date-parts":[["2016"]]}}},{"id":7701,"uris":["http://zotero.org/users/2470179/items/M7EKCRHN"],"itemData":{"id":7701,"type":"article-journal","abstract":"A long-term record of global mean surface temperature (GMST) provides critical insight into the dynamical limits of Earth’s climate and the complex feedbacks between temperature and the broader Earth system. Here, we present PhanDA, a reconstruction of GMST over the past 485 million years, generated by statistically integrating proxy data with climate model simulations. PhanDA exhibits a large range of GMST, spanning 11° to 36°C. Partitioning the reconstruction into climate states indicates that more time was spent in warmer rather than colder climates and reveals consistent latitudinal temperature gradients within each state. There is a strong correlation between atmospheric carbon dioxide (CO2) concentrations and GMST, identifying CO2 as the dominant control on variations in Phanerozoic global climate and suggesting an apparent Earth system sensitivity of ~8°C.","container-title":"Science","DOI":"10.1126/science.adk3705","issue":"6715","note":"publisher: American Association for the Advancement of Science","page":"eadk3705","source":"science.org (Atypon)","title":"A 485-million-year history of Earth’s surface temperature","volume":"385","author":[{"family":"Judd","given":"Emily J."},{"family":"Tierney","given":"Jessica E."},{"family":"Lunt","given":"Daniel J."},{"family":"Montañez","given":"Isabel P."},{"family":"Huber","given":"Brian T."},{"family":"Wing","given":"Scott L."},{"family":"Valdes","given":"Paul J."}],"issued":{"date-parts":[["2024",9,20]]}}},{"id":2106,"uris":["http://zotero.org/users/2470179/items/PZFTZJ3P"],"itemData":{"id":2106,"type":"article-journal","abstract":"Climate changes across the past 24,000 years provide key insights into Earth system responses to external forcing. Climate model simulations1,2 and proxy data3–8 have independently allowed for study of this crucial interval; however, they have at times yielded disparate conclusions. Here, we leverage both types of information using paleoclimate data assimilation9,10 to produce the first proxy-constrained, full-field reanalysis of surface temperature change spanning the Last Glacial Maximum to present at 200-year resolution. We demonstrate that temperature variability across the past 24</w:instrText>
      </w:r>
      <w:r w:rsidR="0074454F" w:rsidRPr="00256EAA">
        <w:rPr>
          <w:rFonts w:ascii="Arial" w:hAnsi="Arial" w:cs="Arial"/>
          <w:sz w:val="22"/>
          <w:szCs w:val="22"/>
          <w:lang w:val="en-GB"/>
        </w:rPr>
        <w:instrText> </w:instrText>
      </w:r>
      <w:r w:rsidR="0074454F" w:rsidRPr="00256EAA">
        <w:rPr>
          <w:sz w:val="22"/>
          <w:szCs w:val="22"/>
          <w:lang w:val="en-GB"/>
        </w:rPr>
        <w:instrText>thousand years was linked to two primary climatic mechanisms: radiative forcing from ice sheets and greenhouse gases; and a superposition of changes in the ocean overturning circulation and seasonal insolation. In contrast with previous proxy-based reconstructions6,7 our results show that global mean temperature has slightly but steadily warmed, by ~0.5</w:instrText>
      </w:r>
      <w:r w:rsidR="0074454F" w:rsidRPr="00256EAA">
        <w:rPr>
          <w:rFonts w:ascii="Arial" w:hAnsi="Arial" w:cs="Arial"/>
          <w:sz w:val="22"/>
          <w:szCs w:val="22"/>
          <w:lang w:val="en-GB"/>
        </w:rPr>
        <w:instrText> </w:instrText>
      </w:r>
      <w:r w:rsidR="0074454F" w:rsidRPr="00256EAA">
        <w:rPr>
          <w:rFonts w:cs="Aptos"/>
          <w:sz w:val="22"/>
          <w:szCs w:val="22"/>
          <w:lang w:val="en-GB"/>
        </w:rPr>
        <w:instrText>°</w:instrText>
      </w:r>
      <w:r w:rsidR="0074454F" w:rsidRPr="00256EAA">
        <w:rPr>
          <w:sz w:val="22"/>
          <w:szCs w:val="22"/>
          <w:lang w:val="en-GB"/>
        </w:rPr>
        <w:instrText>C, since the early Holocene (around 9</w:instrText>
      </w:r>
      <w:r w:rsidR="0074454F" w:rsidRPr="00256EAA">
        <w:rPr>
          <w:rFonts w:cs="Aptos"/>
          <w:sz w:val="22"/>
          <w:szCs w:val="22"/>
          <w:lang w:val="en-GB"/>
        </w:rPr>
        <w:instrText> </w:instrText>
      </w:r>
      <w:r w:rsidR="0074454F" w:rsidRPr="00256EAA">
        <w:rPr>
          <w:sz w:val="22"/>
          <w:szCs w:val="22"/>
          <w:lang w:val="en-GB"/>
        </w:rPr>
        <w:instrText>thousand years ago). When compared with recent temperature changes11, our reanalysis indicates that both the rate and magnitude of modern warming are unusual relative to the changes of the past 24</w:instrText>
      </w:r>
      <w:r w:rsidR="0074454F" w:rsidRPr="00256EAA">
        <w:rPr>
          <w:rFonts w:cs="Aptos"/>
          <w:sz w:val="22"/>
          <w:szCs w:val="22"/>
          <w:lang w:val="en-GB"/>
        </w:rPr>
        <w:instrText> </w:instrText>
      </w:r>
      <w:r w:rsidR="0074454F" w:rsidRPr="00256EAA">
        <w:rPr>
          <w:sz w:val="22"/>
          <w:szCs w:val="22"/>
          <w:lang w:val="en-GB"/>
        </w:rPr>
        <w:instrText>thousand years.","container-title":"Nature","DOI":"10.1038/s41586-021-03984-4","ISSN":"1476-4687","issue":"7884","language":"en","license":"2021 The Author(s), under exclusive licence to Springer Nature Limited","note":"number: 7884\npublisher: Nature Publishing Group","page":"239-244","source":"www-nature-com.vu-nl.idm.oclc.org","title":"Globally resolved surface temperatures since the Last Glacial Maximum","volume":"599","author":[{"family":"Osman","given":"Matthew B."},{"family":"Tierney","given":"Jessica E."},{"family":"Zhu","given":"Jiang"},{"family":"Tardif","given":"Robert"},{"family":"Hakim","given":"Gregory J."},{"family":"King","given":"Jonathan"},{"family":"Poulsen","given":"Christopher J."}],"issued":{"date-parts":[["2021",11]]}}},{"id":2578,"uris":["http://zotero.org/users/2470179/items/2L6NK32L"],"itemData":{"id":2578,"type":"article-journal","abstract":"The future in the past\nA major cause of uncertainties in climate projections is our imprecise knowledge of how much warming should occur as a result of a given increase in the amount of carbon dioxide in the atmosphere. Paleoclimate records have the potential to help us sharpen that understanding because they record such a wide variety of environmental conditions. Tierney et al. review the recent advances in data collection, statistics, and modeling that might help us better understand how rising levels of atmospheric carbon dioxide will affect future climate.\nScience, this issue p. eaay3701\nStructured Abstract\nBACKGROUNDAnthropogenic emissions are rapidly altering Earth’s climate, pushing it toward a warmer state for which there is no historical precedent. Although no perfect analog exists for such a disruption, Earth’s history includes past climate states—“paleoclimates”—that hold lessons for the future of our warming world. These periods in Earth’s past span a tremendous range of temperatures, precipitation patterns, cryospheric extent, and biospheric adaptations and are increasingly relevant for improving our understanding of how key elements of the climate system are affected by greenhouse gas levels. The rise of new geochemical and statistical methods, as well as improvements in paleoclimate modeling, allow for formal evaluation of climate models based on paleoclimate data. In particular, given that some of the newest generation of climate models have a high sensitivity to a doubling of atmospheric CO2, there is a renewed role for paleoclimates in constraining equilibrium climate sensitivity (ECS) and its dependence on climate background state.\nADVANCESIn the past decade, an increasing number of studies have used paleoclimate temperature and CO2 estimates to infer ECS in the deep past, in both warm and cold climate states. Recent studies support the paradigm that ECS is strongly state-dependent, rising with increased CO2 concentrations. Simulations of past warm climates such as the Eocene further highlight the role that cloud feedbacks play in contributing to high ECS under increased CO2 levels. Paleoclimates have provided critical constraints on the assessment of future ice sheet stability and concomitant sea level rise, including the viability of threshold processes like marine ice cliff instability. Beyond global-scale changes, analyses of past changes in the water cycle have advanced our understanding of dynamical drivers of hydroclimate, which is highly relevant for regional climate projections and societal impacts. New and expanding techniques, such as analyses of single shells of foraminifera, are yielding subseasonal climate information that can be used to study how intra- and interannual modes of variability are affected by external climate forcing. Studies of extraordinary, transient departures in paleoclimate from the background state such as the Paleocene-Eocene Thermal Maximum provide critical context for the current anthropogenic aberration, its impact on the Earth system, and the time scale of recovery.A number of advances have eroded the “language barrier” between climate model and proxy data, facilitating more direct use of paleoclimate information to constrain model performance. It is increasingly common to incorporate geochemical tracers, such as water isotopes, directly into model simulations, and this practice has vastly improved model-proxy comparisons. The development of new statistical approaches rooted in Bayesian inference has led to a more thorough quantification of paleoclimate data uncertainties. In addition, techniques like data assimilation allow for a formal combination of proxy and model data into hybrid products. Such syntheses provide a full-field view of past climates and can put constraints on climate variables that we have no direct proxies for, such as cloud cover or wind speed.\nOUTLOOKA common concern with using paleoclimate information as model targets is that non-CO2 forcings, such as aerosols and trace greenhouse gases, are not well known, especially in the distant past. Although evidence thus far suggests that such forcings are secondary to CO2, future improvements in both geochemical proxies and modeling are on track to tackle this issue. New and rapidly evolving geochemical techniques have the potential to provide improved constraints on the terrestrial biosphere, aerosols, and trace gases; likewise, biogeochemical cycles can now be incorporated into paleoclimate model simulations. Beyond constraining forcings, it is critical that proxy information is transformed into quantitative estimates that account for uncertainties in the proxy system. Statistical tools have already been developed to achieve this, which should make it easier to create robust targets for model evaluation. With this increase in quantification of paleoclimate information, we suggest that modeling centers include simulation of past climates in their evaluation and statement of their model performance. This practice is likely to narrow uncertainties surrounding climate sensitivity, ice sheets, and the water cycle and thus improve future climate projections. &lt;img class=\"fragment-image\" aria-describedby=\"F1-caption\" src=\"https://science-sciencemag-org.proxy.library.uu.nl/content/sci/370/6517/eaay3701/F1.medium.gif\"/&gt; Download high-res image Open in new tab Download Powerpoint Past climates provide context for future climate scenarios.Both past (top) and future (bottom) climates are colored by their estimated change in global mean annual surface temperature relative to preindustrial conditions, ranging from blue (colder) to red (warmer). “Sustainability,” “Middle road,” and “High emissions” represent the estimated global temperature anomalies at year 2300 from the Shared Socioeconomic Pathways (SSPs) SSP1-2.6, SSP2-4.5, and SSP5-8.5, respectively. In both the past and future cases, warmer climates are associated with increases in CO2 (indicated by the arrow). Ma, millions of years ago.\nAs the world warms, there is a profound need to improve projections of climate change. Although the latest Earth system models offer an unprecedented number of features, fundamental uncertainties continue to cloud our view of the future. Past climates provide the only opportunity to observe how the Earth system responds to high carbon dioxide, underlining a fundamental role for paleoclimatology in constraining future climate change. Here, we review the relevancy of paleoclimate information for climate prediction and discuss the prospects for emerging methodologies to further insights gained from past climates. Advances in proxy methods and interpretations pave the way for the use of past climates for model evaluation—a practice that we argue should be widely adopted.","container-title":"Science","DOI":"10.1126/science.aay3701","ISSN":"0036-8075, 1095-9203","issue":"6517","language":"en","license":"Copyright © 2020 The Authors, some rights reserved; exclusive licensee American Association for the Advancement of Science. No claim to original U.S. Government Works. https://www.sciencemag.org/about/science-licenses-journal-article-reuseThis is an article distributed under the terms of th</w:instrText>
      </w:r>
      <w:r w:rsidR="0074454F" w:rsidRPr="00256EAA">
        <w:rPr>
          <w:sz w:val="22"/>
          <w:szCs w:val="22"/>
          <w:lang w:val="nl-NL"/>
        </w:rPr>
        <w:instrText xml:space="preserve">e Science Journals Default License.","note":"publisher: American Association for the Advancement of Science\nsection: Review\nPMID: 33154110","source":"science-sciencemag-org.proxy.library.uu.nl","title":"Past climates inform our future","URL":"https://science.sciencemag.org/content/370/6517/eaay3701","volume":"370","author":[{"family":"Tierney","given":"Jessica E."},{"family":"Poulsen","given":"Christopher J."},{"family":"Montañez","given":"Isabel P."},{"family":"Bhattacharya","given":"Tripti"},{"family":"Feng","given":"Ran"},{"family":"Ford","given":"Heather L."},{"family":"Hönisch","given":"Bärbel"},{"family":"Inglis","given":"Gordon N."},{"family":"Petersen","given":"Sierra V."},{"family":"Sagoo","given":"Navjit"},{"family":"Tabor","given":"Clay R."},{"family":"Thirumalai","given":"Kaustubh"},{"family":"Zhu","given":"Jiang"},{"family":"Burls","given":"Natalie J."},{"family":"Foster","given":"Gavin L."},{"family":"Goddéris","given":"Yves"},{"family":"Huber","given":"Brian T."},{"family":"Ivany","given":"Linda C."},{"family":"Turner","given":"Sandra Kirtland"},{"family":"Lunt","given":"Daniel J."},{"family":"McElwain","given":"Jennifer C."},{"family":"Mills","given":"Benjamin J. W."},{"family":"Otto-Bliesner","given":"Bette L."},{"family":"Ridgwell","given":"Andy"},{"family":"Zhang","given":"Yi Ge"}],"accessed":{"date-parts":[["2021",2,9]]},"issued":{"date-parts":[["2020",11,6]]}}}],"schema":"https://github.com/citation-style-language/schema/raw/master/csl-citation.json"} </w:instrText>
      </w:r>
      <w:r w:rsidR="0074454F" w:rsidRPr="00256EAA">
        <w:rPr>
          <w:sz w:val="22"/>
          <w:szCs w:val="22"/>
          <w:lang w:val="en-GB"/>
        </w:rPr>
        <w:fldChar w:fldCharType="separate"/>
      </w:r>
      <w:r w:rsidR="0074454F" w:rsidRPr="00256EAA">
        <w:rPr>
          <w:sz w:val="22"/>
          <w:szCs w:val="22"/>
        </w:rPr>
        <w:t>(Hakim et al., 2016; Judd et al., 2024; Osman et al., 2021; Tierney et al., 2020)</w:t>
      </w:r>
      <w:r w:rsidR="0074454F" w:rsidRPr="00256EAA">
        <w:rPr>
          <w:sz w:val="22"/>
          <w:szCs w:val="22"/>
          <w:lang w:val="en-GB"/>
        </w:rPr>
        <w:fldChar w:fldCharType="end"/>
      </w:r>
      <w:r w:rsidR="0074454F" w:rsidRPr="00256EAA">
        <w:rPr>
          <w:sz w:val="22"/>
          <w:szCs w:val="22"/>
          <w:lang w:val="nl-NL"/>
        </w:rPr>
        <w:t xml:space="preserve">. </w:t>
      </w:r>
      <w:r w:rsidR="0074454F" w:rsidRPr="00256EAA">
        <w:rPr>
          <w:sz w:val="22"/>
          <w:szCs w:val="22"/>
          <w:lang w:val="en-GB"/>
        </w:rPr>
        <w:t xml:space="preserve">These studies show that </w:t>
      </w:r>
      <w:r w:rsidR="002B6CF9" w:rsidRPr="00256EAA">
        <w:rPr>
          <w:sz w:val="22"/>
          <w:szCs w:val="22"/>
          <w:lang w:val="en-GB"/>
        </w:rPr>
        <w:t xml:space="preserve">the technique (sometimes referred to as “reanalysis”; </w:t>
      </w:r>
      <w:r w:rsidR="002B6CF9" w:rsidRPr="00256EAA">
        <w:rPr>
          <w:sz w:val="22"/>
          <w:szCs w:val="22"/>
          <w:lang w:val="en-GB"/>
        </w:rPr>
        <w:fldChar w:fldCharType="begin"/>
      </w:r>
      <w:r w:rsidR="002B6CF9" w:rsidRPr="00256EAA">
        <w:rPr>
          <w:sz w:val="22"/>
          <w:szCs w:val="22"/>
          <w:lang w:val="en-GB"/>
        </w:rPr>
        <w:instrText xml:space="preserve"> ADDIN ZOTERO_ITEM CSL_CITATION {"citationID":"ABNHf4p3","properties":{"formattedCitation":"(Bengtsson et al., 2007)","plainCitation":"(Bengtsson et al., 2007)","noteIndex":0},"citationItems":[{"id":11752,"uris":["http://zotero.org/users/2470179/items/4LG54W49"],"itemData":{"id":11752,"type":"article-journal","container-title":"Bulletin of the American Meteorological Society","ISSN":"0003-0007","issue":"4","note":"publisher: American Meteorological Society","page":"495-501","source":"JSTOR","title":"The Need for a Dynamical Climate Reanalysis","volume":"88","author":[{"family":"Bengtsson","given":"Lennart"},{"family":"Arkin","given":"Phil"},{"family":"Berrisford","given":"Paul"},{"family":"Bougeault","given":"Philippe"},{"family":"Folland","given":"Chris K."},{"family":"Gordon","given":"Chris"},{"family":"Haines","given":"Keith"},{"family":"Hodges","given":"Kevin I."},{"family":"Jones","given":"Phil"},{"family":"Kallberg","given":"Per"},{"family":"Rayner","given":"Nick"},{"family":"Simmons","given":"Adrian J."},{"family":"Stammer","given":"Detlef"},{"family":"Thorne","given":"Peter W."},{"family":"Uppala","given":"Sakari"},{"family":"Vose","given":"Russell S."}],"issued":{"date-parts":[["2007"]]}}}],"schema":"https://github.com/citation-style-language/schema/raw/master/csl-citation.json"} </w:instrText>
      </w:r>
      <w:r w:rsidR="002B6CF9" w:rsidRPr="00256EAA">
        <w:rPr>
          <w:sz w:val="22"/>
          <w:szCs w:val="22"/>
          <w:lang w:val="en-GB"/>
        </w:rPr>
        <w:fldChar w:fldCharType="separate"/>
      </w:r>
      <w:r w:rsidR="002B6CF9" w:rsidRPr="00256EAA">
        <w:rPr>
          <w:sz w:val="22"/>
          <w:szCs w:val="22"/>
        </w:rPr>
        <w:t>(Bengtsson et al., 2007)</w:t>
      </w:r>
      <w:r w:rsidR="002B6CF9" w:rsidRPr="00256EAA">
        <w:rPr>
          <w:sz w:val="22"/>
          <w:szCs w:val="22"/>
          <w:lang w:val="en-GB"/>
        </w:rPr>
        <w:fldChar w:fldCharType="end"/>
      </w:r>
      <w:r w:rsidR="002B6CF9" w:rsidRPr="00256EAA">
        <w:rPr>
          <w:sz w:val="22"/>
          <w:szCs w:val="22"/>
          <w:lang w:val="en-GB"/>
        </w:rPr>
        <w:t>)</w:t>
      </w:r>
      <w:r w:rsidR="0074454F" w:rsidRPr="00256EAA">
        <w:rPr>
          <w:sz w:val="22"/>
          <w:szCs w:val="22"/>
          <w:lang w:val="en-GB"/>
        </w:rPr>
        <w:t xml:space="preserve"> effective</w:t>
      </w:r>
      <w:r w:rsidR="00A0729E" w:rsidRPr="00256EAA">
        <w:rPr>
          <w:sz w:val="22"/>
          <w:szCs w:val="22"/>
          <w:lang w:val="en-GB"/>
        </w:rPr>
        <w:t>ly</w:t>
      </w:r>
      <w:r w:rsidR="0074454F" w:rsidRPr="00256EAA">
        <w:rPr>
          <w:sz w:val="22"/>
          <w:szCs w:val="22"/>
          <w:lang w:val="en-GB"/>
        </w:rPr>
        <w:t xml:space="preserve"> </w:t>
      </w:r>
      <w:r w:rsidR="00A0729E" w:rsidRPr="00256EAA">
        <w:rPr>
          <w:sz w:val="22"/>
          <w:szCs w:val="22"/>
          <w:lang w:val="en-GB"/>
        </w:rPr>
        <w:t xml:space="preserve">resolves differences in spatial distribution of proxy and model data, which are known to bias our understanding of past climate </w:t>
      </w:r>
      <w:r w:rsidR="00A0729E" w:rsidRPr="00256EAA">
        <w:rPr>
          <w:sz w:val="22"/>
          <w:szCs w:val="22"/>
          <w:lang w:val="en-GB"/>
        </w:rPr>
        <w:fldChar w:fldCharType="begin"/>
      </w:r>
      <w:r w:rsidR="002B6CF9" w:rsidRPr="00256EAA">
        <w:rPr>
          <w:sz w:val="22"/>
          <w:szCs w:val="22"/>
          <w:lang w:val="en-GB"/>
        </w:rPr>
        <w:instrText xml:space="preserve"> ADDIN ZOTERO_ITEM CSL_CITATION {"citationID":"0XHyWTf8","properties":{"formattedCitation":"(Hao et al., 2025; Judd et al., 2020; Mann et al., 2007)","plainCitation":"(Hao et al., 2025; Judd et al., 2020; Mann et al., 2007)","noteIndex":0},"citationItems":[{"id":11747,"uris":["http://zotero.org/users/2470179/items/BY8Y8X8I"],"itemData":{"id":11747,"type":"article-journal","abstract":"Proxy-based reconstructions and climate model simulations of Holocene global annual mean temperatures exhibit divergent trends, leading to the well-known “Holocene temperature conundrum (HTC)”. This discrepancy is most pronounced in the mid-to-high latitudes of the Northern Hemisphere (NH) and has been attributed to either proxy seasonal bias or deficiencies in climate models. Paleoclimate data assimilation (PDA), which integrates proxy records with climate model simulations, provides an advanced method for generating global seasonal temperature reanalysis datasets for the mid-Holocene (MH). Assimilated results indicate that MH Eurasian temperatures are largely independent of the choice of model priors and exhibit significant spatial heterogeneity. Compared to the pre-industrial (PI) period, the MH is characterized by winter and annual mean warming in Europe and high-latitude Eurasia, while the rest of Eurasia experiences cooling. However, this spatial heterogeneity is not well represented in model simulations due to a pronounced winter cooling bias at high latitudes, likely resulting from inadequate representations of vegetation and sea ice feedback mechanisms. As Eurasian proxy records are predominantly concentrated in Europe, this regional imbalance introduces a warm bias in reconstructed winter and annual temperatures intended to represent broader Eurasian temperature changes. These results suggest that the HTC may stem from both the uneven spatial distribution of proxy records and the incomplete representation of internal climate feedbacks in current models.","container-title":"Science Bulletin","DOI":"10.1016/j.scib.2025.03.039","ISSN":"2095-9273","issue":"12","journalAbbreviation":"Science Bulletin","page":"2014-2022","source":"ScienceDirect","title":"Model seasonal and proxy spatial biases revealed by assimilated mid-Holocene seasonal temperatures","volume":"70","author":[{"family":"Hao","given":"Shuo"},{"family":"Zhang","given":"Xu"},{"family":"Duan","given":"Yanwu"},{"family":"Gowan","given":"Evan J."},{"family":"Zhu","given":"Jiang"},{"family":"Cauquoin","given":"Alexandre"},{"family":"Chen","given":"Jie"},{"family":"Werner","given":"Martin"},{"family":"Chen","given":"Fahu"}],"issued":{"date-parts":[["2025",6,30]]}}},{"id":93,"uris":["http://zotero.org/users/2470179/items/6JMI6GK7"],"itemData":{"id":93,"type":"article-journal","abstract":"Efforts to estimate past global mean temperature and latitudinal gradients must contend with spatial heterogeneity in sea surface temperatures (SSTs). Here, we use modern SSTs to show that the environments from which most paleoclimatic data are drawn, shallow epeiric seas and continental margins, are systematically offset from zonal mean temperatures. Epeiric seas are warmer and more seasonal than open-ocean values from the same latitudes, while continental margins exhibit consistent and predictable deviations related to gyre circulation. Warm temperatures inferred from Paleozoic proxy data may largely reflect that these data derive almost entirely from epeiric seas. Moreover, pseudoproxy analysis using Paleogene sampling localities demonstrates how undersampling of the full range of dynamical environments associated with gyre circulation can generate spurious estimates of latitudinal temperature gradients. Recognition of these global patterns permits a predictive framework within which to more robustly interpret proxy data, improve Earth system models, and reconstruct ancient dynamic regimes.","container-title":"Geophysical Research Letters","DOI":"10.1029/2020GL089044","ISSN":"1944-8007","issue":"15","language":"en","license":"©2020 The Authors.","note":"_eprint: https://onlinelibrary.wiley.com/doi/pdf/10.1029/2020GL089044","page":"e2020GL089044","source":"Wiley Online Library","title":"A Dynamical Framework for Interpreting Ancient Sea Surface Temperatures","volume":"47","author":[{"family":"Judd","given":"Emily J."},{"family":"Bhattacharya","given":"Tripti"},{"family":"Ivany","given":"Linda C."}],"issued":{"date-parts":[["2020"]]}}},{"id":11746,"uris":["http://zotero.org/users/2470179/items/58GDAZEV"],"itemData":{"id":11746,"type":"article-journal","abstract":"We present results from continued investigations into the fidelity of covariance-based climate field reconstruction (CFR) approaches used in proxy-based climate reconstruction. Our experiments employ synthetic “pseudoproxy” data derived from simulations of forced climate changes over the past millennium. Using networks of these pseudoproxy data, we investigate the sensitivity of CFR performance to signal-to-noise ratios, the noise spectrum, the spatial sampling of pseudoproxy locations, the statistical representation of predictors used, and the diagnostic used to quantify reconstruction skill. Our results reinforce previous conclusions that CFR methods, correctly implemented and applied to suitable networks of proxy data, should yield reliable reconstructions of past climate histories within estimated uncertainties. Our results also demonstrate the deleterious impact of a linear detrending procedure performed recently in certain CFR studies and illustrate flaws in some previously proposed metrics of reconstruction skill.","container-title":"Journal of Geophysical Research: Atmospheres","DOI":"10.1029/2006JD008272","ISSN":"2156-2202","issue":"D12","language":"en","license":"Copyright 2007 by the American Geophysical Union.","note":"_eprint: https://agupubs.onlinelibrary.wiley.com/doi/pdf/10.1029/2006JD008272","source":"Wiley Online Library","title":"Robustness of proxy-based climate field reconstruction methods","URL":"https://onlinelibrary.wiley.com/doi/abs/10.1029/2006JD008272","volume":"112","author":[{"family":"Mann","given":"Michael E."},{"family":"Rutherford","given":"Scott"},{"family":"Wahl","given":"Eugene"},{"family":"Ammann","given":"Caspar"}],"accessed":{"date-parts":[["2025",10,10]]},"issued":{"date-parts":[["2007"]]}}}],"schema":"https://github.com/citation-style-language/schema/raw/master/csl-citation.json"} </w:instrText>
      </w:r>
      <w:r w:rsidR="00A0729E" w:rsidRPr="00256EAA">
        <w:rPr>
          <w:sz w:val="22"/>
          <w:szCs w:val="22"/>
          <w:lang w:val="en-GB"/>
        </w:rPr>
        <w:fldChar w:fldCharType="separate"/>
      </w:r>
      <w:r w:rsidR="002B6CF9" w:rsidRPr="00256EAA">
        <w:rPr>
          <w:sz w:val="22"/>
          <w:szCs w:val="22"/>
        </w:rPr>
        <w:t>(Hao et al., 2025; Judd et al., 2020; Mann et al., 2007)</w:t>
      </w:r>
      <w:r w:rsidR="00A0729E" w:rsidRPr="00256EAA">
        <w:rPr>
          <w:sz w:val="22"/>
          <w:szCs w:val="22"/>
          <w:lang w:val="en-GB"/>
        </w:rPr>
        <w:fldChar w:fldCharType="end"/>
      </w:r>
      <w:r w:rsidR="002B6CF9" w:rsidRPr="00256EAA">
        <w:rPr>
          <w:sz w:val="22"/>
          <w:szCs w:val="22"/>
          <w:lang w:val="en-GB"/>
        </w:rPr>
        <w:t>. The degree by which DA is able to reconcile differences in time resolution between climate model simulations and proxy data is, however, limited by our understanding of the timing of climate variables recorded in our climate proxies</w:t>
      </w:r>
      <w:r w:rsidRPr="00256EAA">
        <w:rPr>
          <w:sz w:val="22"/>
          <w:szCs w:val="22"/>
          <w:lang w:val="en-GB"/>
        </w:rPr>
        <w:t>.</w:t>
      </w:r>
      <w:r w:rsidR="002B6CF9" w:rsidRPr="00256EAA">
        <w:rPr>
          <w:sz w:val="22"/>
          <w:szCs w:val="22"/>
          <w:lang w:val="en-GB"/>
        </w:rPr>
        <w:t xml:space="preserve"> </w:t>
      </w:r>
      <w:r w:rsidRPr="00256EAA">
        <w:rPr>
          <w:sz w:val="22"/>
          <w:szCs w:val="22"/>
          <w:lang w:val="en-GB"/>
        </w:rPr>
        <w:t>S</w:t>
      </w:r>
      <w:r w:rsidR="002B6CF9" w:rsidRPr="00256EAA">
        <w:rPr>
          <w:sz w:val="22"/>
          <w:szCs w:val="22"/>
          <w:lang w:val="en-GB"/>
        </w:rPr>
        <w:t>easonal</w:t>
      </w:r>
      <w:r w:rsidRPr="00256EAA">
        <w:rPr>
          <w:sz w:val="22"/>
          <w:szCs w:val="22"/>
          <w:lang w:val="en-GB"/>
        </w:rPr>
        <w:t xml:space="preserve"> biases in proxy data are most notable in this respect </w:t>
      </w:r>
      <w:r w:rsidRPr="00256EAA">
        <w:rPr>
          <w:sz w:val="22"/>
          <w:szCs w:val="22"/>
          <w:lang w:val="en-GB"/>
        </w:rPr>
        <w:fldChar w:fldCharType="begin"/>
      </w:r>
      <w:r w:rsidRPr="00256EAA">
        <w:rPr>
          <w:sz w:val="22"/>
          <w:szCs w:val="22"/>
          <w:lang w:val="en-GB"/>
        </w:rPr>
        <w:instrText xml:space="preserve"> ADDIN ZOTERO_ITEM CSL_CITATION {"citationID":"Z2Fa6gi2","properties":{"formattedCitation":"(Bova et al., 2021; Liu et al., 2014)","plainCitation":"(Bova et al., 2021; Liu et al., 2014)","noteIndex":0},"citationItems":[{"id":2105,"uris":["http://zotero.org/users/2470179/items/6IK68SV4"],"itemData":{"id":2105,"type":"article-journal","abstract":"Proxy reconstructions from marine sediment cores indicate peak temperatures in the first half of the last and current interglacial periods (the thermal maxima of the Holocene epoch, 10,000 to 6,000 years ago, and the last interglacial period, 128,000 to 123,000 years ago) that arguably exceed modern warmth1–3. By contrast, climate models simulate monotonic warming throughout both periods4–7. This substantial model–data discrepancy undermines confidence in both proxy reconstructions and climate models, and inhibits a mechanistic understanding of recent climate change. Here we show that previous global reconstructions of temperature in the Holocene1–3 and the last interglacial period8 reflect the evolution of seasonal, rather than annual, temperatures and we develop a method of transforming them to mean annual temperatures. We further demonstrate that global mean annual sea surface temperatures have been steadily increasing since the start of the Holocene (about 12,000 years ago), first in response to retreating ice sheets (12 to 6.5 thousand years ago), and then as a result of rising greenhouse gas concentrations (0.25 ± 0.21 degrees Celsius over the past 6,500 years or so). However, mean annual temperatures during the last interglacial period were stable and warmer than estimates of temperatures during the Holocene, and we attribute this to the near-constant greenhouse gas levels and the reduced extent of ice sheets. We therefore argue that the climate of the Holocene differed from that of the last interglacial period in two ways: first, larger remnant glacial ice sheets acted to cool the early Holocene, and second, rising greenhouse gas levels in the late Holocene warmed the planet. Furthermore, our reconstructions demonstrate that the modern global temperature has exceeded annual levels over the past 12,000 years and probably approaches the warmth of the last interglacial period (128,000 to 115,000 years ago).","container-title":"Nature","DOI":"10.1038/s41586-020-03155-x","ISSN":"1476-4687","issue":"7843","language":"en","license":"2021 The Author(s), under exclusive licence to Springer Nature Limited","note":"number: 7843\npublisher: Nature Publishing Group","page":"548-553","source":"www-nature-com.vu-nl.idm.oclc.org","title":"Seasonal origin of the thermal maxima at the Holocene and the last interglacial","volume":"589","author":[{"family":"Bova","given":"Samantha"},{"family":"Rosenthal","given":"Yair"},{"family":"Liu","given":"Zhengyu"},{"family":"Godad","given":"Shital P."},{"family":"Yan","given":"Mi"}],"issued":{"date-parts":[["2021",1]]}}},{"id":11750,"uris":["http://zotero.org/users/2470179/items/4MULFKKP"],"itemData":{"id":11750,"type":"article-journal","abstract":"A recent temperature reconstruction of global annual temperature shows Early Holocene warmth followed by a cooling trend through the Middle to Late Holocene [Marcott SA, et al., 2013, Science 339(6124):1198–1201]. This global cooling is puzzling because it is opposite from the expected and simulated global warming trend due to the retreating ice sheets and rising atmospheric greenhouse gases. Our critical reexamination of this contradiction between the reconstructed cooling and the simulated warming points to potentially significant biases in both the seasonality of the proxy reconstruction and the climate sensitivity of current climate models.","container-title":"Proceedings of the National Academy of Sciences","DOI":"10.1073/pnas.1407229111","issue":"34","note":"publisher: Proceedings of the National Academy of Sciences","page":"E3501-E3505","source":"www-pnas-org.vu-nl.idm.oclc.org (Atypon)","title":"The Holocene temperature conundrum","volume":"111","author":[{"family":"Liu","given":"Zhengyu"},{"family":"Zhu","given":"Jiang"},{"family":"Rosenthal","given":"Yair"},{"family":"Zhang","given":"Xu"},{"family":"Otto-Bliesner","given":"Bette L."},{"family":"Timmermann","given":"Axel"},{"family":"Smith","given":"Robin S."},{"family":"Lohmann","given":"Gerrit"},{"family":"Zheng","given":"Weipeng"},{"family":"Elison Timm","given":"Oliver"}],"issued":{"date-parts":[["2014",8,26]]}}}],"schema":"https://github.com/citation-style-language/schema/raw/master/csl-citation.json"} </w:instrText>
      </w:r>
      <w:r w:rsidRPr="00256EAA">
        <w:rPr>
          <w:sz w:val="22"/>
          <w:szCs w:val="22"/>
          <w:lang w:val="en-GB"/>
        </w:rPr>
        <w:fldChar w:fldCharType="separate"/>
      </w:r>
      <w:r w:rsidRPr="00256EAA">
        <w:rPr>
          <w:sz w:val="22"/>
          <w:szCs w:val="22"/>
        </w:rPr>
        <w:t>(Bova et al., 2021; Liu et al., 2014)</w:t>
      </w:r>
      <w:r w:rsidRPr="00256EAA">
        <w:rPr>
          <w:sz w:val="22"/>
          <w:szCs w:val="22"/>
          <w:lang w:val="en-GB"/>
        </w:rPr>
        <w:fldChar w:fldCharType="end"/>
      </w:r>
      <w:r w:rsidRPr="00256EAA">
        <w:rPr>
          <w:sz w:val="22"/>
          <w:szCs w:val="22"/>
          <w:lang w:val="en-GB"/>
        </w:rPr>
        <w:t xml:space="preserve">, and become increasingly problematic in more ancient reconstructions </w:t>
      </w:r>
      <w:r w:rsidRPr="00256EAA">
        <w:rPr>
          <w:sz w:val="22"/>
          <w:szCs w:val="22"/>
          <w:lang w:val="en-GB"/>
        </w:rPr>
        <w:fldChar w:fldCharType="begin"/>
      </w:r>
      <w:r w:rsidR="00B053FA" w:rsidRPr="00256EAA">
        <w:rPr>
          <w:sz w:val="22"/>
          <w:szCs w:val="22"/>
          <w:lang w:val="en-GB"/>
        </w:rPr>
        <w:instrText xml:space="preserve"> ADDIN ZOTERO_ITEM CSL_CITATION {"citationID":"BQOs4CA3","properties":{"formattedCitation":"(Carr\\uc0\\u233{} and Cheddadi, 2017; Ivany and Judd, 2022)","plainCitation":"(Carré and Cheddadi, 2017; Ivany and Judd, 2022)","noteIndex":0},"citationItems":[{"id":129,"uris":["http://zotero.org/users/2470179/items/RQVK9CJZ"],"itemData":{"id":129,"type":"article-journal","abstract":"Climate seasonality is an essential element in the Earth system. Long-term global climate change is largely forced, through seasonal scale processes and feedbacks, by changes in the seasonal distribution of the solar flux of energy on the Earth surface. Still, and for a variety of reasons, annual means of climate variables are being reconstructed in most paleoclimate studies, although climate is properly defined by the annual cycle of these variables. This results in an incomplete and sometimes biased documentation of the climate natural variability. We present here a brief overview of the significance of climate seasonality in the study of long-term climate change, of the techniques that have been developed to reconstruct climate seasonality, and the associated issues and challenges. We argue here that getting to the next level of understanding of natural climate variability requires a larger effort into the reconstruction of past climate seasonality.","container-title":"Quaternaire. Revue de l'Association française pour l'étude du Quaternaire","DOI":"10.4000/quaternaire.8018","ISSN":"1142-2904","issue":"vol. 28/2","language":"en","license":"© Tous droits réservés","page":"173-177","source":"journals.openedition.org","title":"Seasonality in long-term climate change","volume":"28","author":[{"family":"Carré","given":"Matthieu"},{"family":"Cheddadi","given":"Rachid"}],"issued":{"date-parts":[["2017",5,29]]}}},{"id":1704,"uris":["http://zotero.org/users/2470179/items/EZAHIHZD"],"itemData":{"id":1704,"type":"article-journal","abstract":"Ongoing global warming due to anthropogenic climate change has long been recognized, yet uncertainties regarding how seasonal extremes will change in the future persist. Paleoseasonal proxy data from intervals when global climate differed from today can help constrain how and why the annual temperature cycle has varied through space and time. Records of past seasonal variation in marine temperatures are available in the oxygen isotope values of serially sampled accretionary organisms. The most useful data sets come from carefully designed and computationally robust studies that enable characterization of paleoseasonal parameters and seamless integration with mean annual temperature data sets and climate models. Seasonal data sharpen interpretations of—and quantify overlooked or unconstrained seasonal biases in—the more voluminous mean temperature data and aid in the evaluation of climate model performance. Methodologies to rigorously analyze seasonal data are now available, and the promise of paleoseasonal proxy data for the next generation of paleoclimate research is significant. Expected final online publication date for the Annual Review of Earth and Planetary Sciences, Volume 50 is May 2022. Please see http://www.annualreviews.org/page/journal/pubdates for revised estimates.","container-title":"Annual Review of Earth and Planetary Sciences","DOI":"10.1146/annurev-earth-032320-095156","issue":"1","note":"_eprint: https://doi.org/10.1146/annurev-earth-032320-095156","page":"123-152","source":"Annual Reviews","title":"Deciphering Temperature Seasonality in Earth's Ancient Oceans","volume":"50","author":[{"family":"Ivany","given":"Linda C."},{"family":"Judd","given":"Emily J."}],"issued":{"date-parts":[["2022"]]}}}],"schema":"https://github.com/citation-style-language/schema/raw/master/csl-citation.json"} </w:instrText>
      </w:r>
      <w:r w:rsidRPr="00256EAA">
        <w:rPr>
          <w:sz w:val="22"/>
          <w:szCs w:val="22"/>
          <w:lang w:val="en-GB"/>
        </w:rPr>
        <w:fldChar w:fldCharType="separate"/>
      </w:r>
      <w:r w:rsidR="00B053FA" w:rsidRPr="00256EAA">
        <w:rPr>
          <w:rFonts w:cs="Times New Roman"/>
          <w:kern w:val="0"/>
          <w:sz w:val="22"/>
          <w:szCs w:val="22"/>
        </w:rPr>
        <w:t>(Carré and Cheddadi, 2017; Ivany and Judd, 2022)</w:t>
      </w:r>
      <w:r w:rsidRPr="00256EAA">
        <w:rPr>
          <w:sz w:val="22"/>
          <w:szCs w:val="22"/>
          <w:lang w:val="en-GB"/>
        </w:rPr>
        <w:fldChar w:fldCharType="end"/>
      </w:r>
      <w:r w:rsidRPr="00256EAA">
        <w:rPr>
          <w:sz w:val="22"/>
          <w:szCs w:val="22"/>
          <w:lang w:val="en-GB"/>
        </w:rPr>
        <w:t>.</w:t>
      </w:r>
    </w:p>
    <w:p w14:paraId="30175F38" w14:textId="2E41160D" w:rsidR="00C56E81" w:rsidRPr="00256EAA" w:rsidRDefault="00B053FA" w:rsidP="00F4367D">
      <w:pPr>
        <w:jc w:val="both"/>
        <w:rPr>
          <w:sz w:val="22"/>
          <w:szCs w:val="22"/>
          <w:lang w:val="nl-NL"/>
        </w:rPr>
      </w:pPr>
      <w:r w:rsidRPr="00256EAA">
        <w:rPr>
          <w:sz w:val="22"/>
          <w:szCs w:val="22"/>
          <w:lang w:val="en-GB"/>
        </w:rPr>
        <w:t xml:space="preserve">Seasonally resolved proxy records can help identify and overcome these seasonal biases in proxy data </w:t>
      </w:r>
      <w:r w:rsidRPr="00256EAA">
        <w:rPr>
          <w:sz w:val="22"/>
          <w:szCs w:val="22"/>
          <w:lang w:val="en-GB"/>
        </w:rPr>
        <w:fldChar w:fldCharType="begin"/>
      </w:r>
      <w:r w:rsidRPr="00256EAA">
        <w:rPr>
          <w:sz w:val="22"/>
          <w:szCs w:val="22"/>
          <w:lang w:val="en-GB"/>
        </w:rPr>
        <w:instrText xml:space="preserve"> ADDIN ZOTERO_ITEM CSL_CITATION {"citationID":"w3qDLyJc","properties":{"formattedCitation":"(Carr\\uc0\\u233{} and Cheddadi, 2017)","plainCitation":"(Carré and Cheddadi, 2017)","noteIndex":0},"citationItems":[{"id":129,"uris":["http://zotero.org/users/2470179/items/RQVK9CJZ"],"itemData":{"id":129,"type":"article-journal","abstract":"Climate seasonality is an essential element in the Earth system. Long-term global climate change is largely forced, through seasonal scale processes and feedbacks, by changes in the seasonal distribution of the solar flux of energy on the Earth surface. Still, and for a variety of reasons, annual means of climate variables are being reconstructed in most paleoclimate studies, although climate is properly defined by the annual cycle of these variables. This results in an incomplete and sometimes biased documentation of the climate natural variability. We present here a brief overview of the significance of climate seasonality in the study of long-term climate change, of the techniques that have been developed to reconstruct climate seasonality, and the associated issues and challenges. We argue here that getting to the next level of understanding of natural climate variability requires a larger effort into the reconstruction of past climate seasonality.","container-title":"Quaternaire. Revue de l'Association française pour l'étude du Quaternaire","DOI":"10.4000/quaternaire.8018","ISSN":"1142-2904","issue":"vol. 28/2","language":"en","license":"© Tous droits réservés","page":"173-177","source":"journals.openedition.org","title":"Seasonality in long-term climate change","volume":"28","author":[{"family":"Carré","given":"Matthieu"},{"family":"Cheddadi","given":"Rachid"}],"issued":{"date-parts":[["2017",5,29]]}}}],"schema":"https://github.com/citation-style-language/schema/raw/master/csl-citation.json"} </w:instrText>
      </w:r>
      <w:r w:rsidRPr="00256EAA">
        <w:rPr>
          <w:sz w:val="22"/>
          <w:szCs w:val="22"/>
          <w:lang w:val="en-GB"/>
        </w:rPr>
        <w:fldChar w:fldCharType="separate"/>
      </w:r>
      <w:r w:rsidRPr="00256EAA">
        <w:rPr>
          <w:rFonts w:cs="Times New Roman"/>
          <w:kern w:val="0"/>
          <w:sz w:val="22"/>
          <w:szCs w:val="22"/>
        </w:rPr>
        <w:t>(Carré and Cheddadi, 2017)</w:t>
      </w:r>
      <w:r w:rsidRPr="00256EAA">
        <w:rPr>
          <w:sz w:val="22"/>
          <w:szCs w:val="22"/>
          <w:lang w:val="en-GB"/>
        </w:rPr>
        <w:fldChar w:fldCharType="end"/>
      </w:r>
      <w:r w:rsidRPr="00256EAA">
        <w:rPr>
          <w:sz w:val="22"/>
          <w:szCs w:val="22"/>
          <w:lang w:val="en-GB"/>
        </w:rPr>
        <w:t xml:space="preserve">. A wide range of archives exist that record information on seasonal scale change in climate variables, including corals </w:t>
      </w:r>
      <w:r w:rsidRPr="00256EAA">
        <w:rPr>
          <w:sz w:val="22"/>
          <w:szCs w:val="22"/>
          <w:lang w:val="en-GB"/>
        </w:rPr>
        <w:fldChar w:fldCharType="begin"/>
      </w:r>
      <w:r w:rsidRPr="00256EAA">
        <w:rPr>
          <w:sz w:val="22"/>
          <w:szCs w:val="22"/>
          <w:lang w:val="en-GB"/>
        </w:rPr>
        <w:instrText xml:space="preserve"> ADDIN ZOTERO_ITEM CSL_CITATION {"citationID":"tbiXMTSf","properties":{"formattedCitation":"(Brocas et al., 2016; Gagan et al., 1994; Watanabe et al., 2001)","plainCitation":"(Brocas et al., 2016; Gagan et al., 1994; Watanabe et al., 2001)","noteIndex":0},"citationItems":[{"id":1204,"uris":["http://zotero.org/users/2470179/items/RR4ZBPN8"],"itemData":{"id":1204,"type":"article-journal","container-title":"Earth and Planetary Science Letters","page":"418–429","source":"Google Scholar","title":"Last interglacial temperature seasonality reconstructed from tropical Atlantic corals","volume":"449","author":[{"family":"Brocas","given":"William M."},{"family":"Felis","given":"Thomas"},{"family":"Obert","given":"J. Christina"},{"family":"Gierz","given":"Paul"},{"family":"Lohmann","given":"Gerrit"},{"family":"Scholz","given":"Denis"},{"family":"Kölling","given":"Martin"},{"family":"Scheffers","given":"Sa</w:instrText>
      </w:r>
      <w:r w:rsidRPr="00B844C9">
        <w:rPr>
          <w:sz w:val="22"/>
          <w:szCs w:val="22"/>
          <w:lang w:val="nl-NL"/>
        </w:rPr>
        <w:instrText xml:space="preserve">nder R."}],"issued":{"date-parts":[["2016"]]}}},{"id":1854,"uris":["http://zotero.org/users/2470179/items/LIYNXNP3"],"itemData":{"id":1854,"type":"article-journal","abstract":"We present a 6-year-long (1978–1984) </w:instrText>
      </w:r>
      <w:r w:rsidRPr="00256EAA">
        <w:rPr>
          <w:sz w:val="22"/>
          <w:szCs w:val="22"/>
          <w:lang w:val="en-GB"/>
        </w:rPr>
        <w:instrText>δ</w:instrText>
      </w:r>
      <w:r w:rsidRPr="00B844C9">
        <w:rPr>
          <w:sz w:val="22"/>
          <w:szCs w:val="22"/>
          <w:lang w:val="nl-NL"/>
        </w:rPr>
        <w:instrText xml:space="preserve">18O and </w:instrText>
      </w:r>
      <w:r w:rsidRPr="00256EAA">
        <w:rPr>
          <w:sz w:val="22"/>
          <w:szCs w:val="22"/>
          <w:lang w:val="en-GB"/>
        </w:rPr>
        <w:instrText>δ</w:instrText>
      </w:r>
      <w:r w:rsidRPr="00B844C9">
        <w:rPr>
          <w:sz w:val="22"/>
          <w:szCs w:val="22"/>
          <w:lang w:val="nl-NL"/>
        </w:rPr>
        <w:instrText>13C record from a Great Barrier Reef (Pandora Reef) Porites lutea coral based on near-weekly sample int…","container-title":"Earth and Planetary Science Letters","DOI":"10.1016/0012-821X(94)90090-6","ISSN":"0012-821X","issue":"3-4","language":"en","n</w:instrText>
      </w:r>
      <w:r w:rsidRPr="00256EAA">
        <w:rPr>
          <w:sz w:val="22"/>
          <w:szCs w:val="22"/>
          <w:lang w:val="nl-NL"/>
        </w:rPr>
        <w:instrText xml:space="preserve">ote":"publisher: Elsevier","page":"549-558","source":"www-sciencedirect-com.proxy.library.uu.nl","title":"High-resolution isotopic records from corals using ocean temperature and mass-spawning chronometers","volume":"121","author":[{"family":"Gagan","given":"Michael K."},{"family":"Chivas","given":"Allan R."},{"family":"Isdale","given":"Peter J."}],"issued":{"date-parts":[["1994",2,1]]}}},{"id":911,"uris":["http://zotero.org/users/2470179/items/EFADKGX4"],"itemData":{"id":911,"type":"article-journal","container-title":"Marine Geology","issue":"1-4","page":"21–35","source":"Google Scholar","title":"Seasonal changes in sea surface temperature and salinity during the Little Ice Age in the Caribbean Sea deduced from Mg/Ca and 18O/16O ratios in corals","volume":"173","author":[{"family":"Watanabe","given":"Tsuyoshi"},{"family":"Winter","given":"Amos"},{"family":"Oba","given":"Tadamichi"}],"issued":{"date-parts":[["2001"]]}}}],"schema":"https://github.com/citation-style-language/schema/raw/master/csl-citation.json"} </w:instrText>
      </w:r>
      <w:r w:rsidRPr="00256EAA">
        <w:rPr>
          <w:sz w:val="22"/>
          <w:szCs w:val="22"/>
          <w:lang w:val="en-GB"/>
        </w:rPr>
        <w:fldChar w:fldCharType="separate"/>
      </w:r>
      <w:r w:rsidRPr="00256EAA">
        <w:rPr>
          <w:sz w:val="22"/>
          <w:szCs w:val="22"/>
        </w:rPr>
        <w:t>(</w:t>
      </w:r>
      <w:proofErr w:type="spellStart"/>
      <w:r w:rsidRPr="00256EAA">
        <w:rPr>
          <w:sz w:val="22"/>
          <w:szCs w:val="22"/>
        </w:rPr>
        <w:t>Brocas</w:t>
      </w:r>
      <w:proofErr w:type="spellEnd"/>
      <w:r w:rsidRPr="00256EAA">
        <w:rPr>
          <w:sz w:val="22"/>
          <w:szCs w:val="22"/>
        </w:rPr>
        <w:t xml:space="preserve"> et al., 2016; Gagan et al., 1994; Watanabe et al., 2001)</w:t>
      </w:r>
      <w:r w:rsidRPr="00256EAA">
        <w:rPr>
          <w:sz w:val="22"/>
          <w:szCs w:val="22"/>
          <w:lang w:val="en-GB"/>
        </w:rPr>
        <w:fldChar w:fldCharType="end"/>
      </w:r>
      <w:r w:rsidRPr="00256EAA">
        <w:rPr>
          <w:sz w:val="22"/>
          <w:szCs w:val="22"/>
          <w:lang w:val="nl-NL"/>
        </w:rPr>
        <w:t xml:space="preserve">, </w:t>
      </w:r>
      <w:proofErr w:type="spellStart"/>
      <w:r w:rsidR="001F00C1" w:rsidRPr="00256EAA">
        <w:rPr>
          <w:sz w:val="22"/>
          <w:szCs w:val="22"/>
          <w:lang w:val="nl-NL"/>
        </w:rPr>
        <w:t>sclerosponges</w:t>
      </w:r>
      <w:proofErr w:type="spellEnd"/>
      <w:r w:rsidR="001F00C1" w:rsidRPr="00256EAA">
        <w:rPr>
          <w:sz w:val="22"/>
          <w:szCs w:val="22"/>
          <w:lang w:val="nl-NL"/>
        </w:rPr>
        <w:t xml:space="preserve"> </w:t>
      </w:r>
      <w:r w:rsidR="001F00C1" w:rsidRPr="00256EAA">
        <w:rPr>
          <w:sz w:val="22"/>
          <w:szCs w:val="22"/>
          <w:lang w:val="nl-NL"/>
        </w:rPr>
        <w:fldChar w:fldCharType="begin"/>
      </w:r>
      <w:r w:rsidR="001F00C1" w:rsidRPr="00256EAA">
        <w:rPr>
          <w:sz w:val="22"/>
          <w:szCs w:val="22"/>
          <w:lang w:val="nl-NL"/>
        </w:rPr>
        <w:instrText xml:space="preserve"> ADDIN ZOTERO_ITEM CSL_CITATION {"citationID":"V5vejSoA","properties":{"formattedCitation":"(Lazareth et al., 2000; McCulloch et al., 2024)","plainCitation":"(Lazareth et al., 2000; McCulloch et al., 2024)","noteIndex":0},"citationItems":[{"id":282,"uris":["http://zotero.org/users/2470179/items/AJ35MSP8"],"itemData":{"id":282,"type":"article-journal","container-title":"Geology","issue":"6","page":"515–518","source":"Google Scholar","title":"Sclerosponges as a new potential recorder of environmental changes: Lead in Ceratoporella nicholsoni","title-short":"Sclerosponges as a new potential recorder of environmental changes","volume":"28","author":[{"family":"Lazareth","given":"Claire E."},{"family":"Willenz","given":"Philippe"},{"family":"Navez","given":"Jacques"},{"family":"Keppens","given":"Eddy"},{"family":"Dehairs","given":"Frank"},{"family":"André","given":"Luc"}],"issued":{"date-parts":[["2000"]]}}},{"id":8211,"uris":["http://zotero.org/users/2470179/items/Z58E9Y8M"],"itemData":{"id":8211,"type":"article-journal","abstract":"Anthropogenic emissions drive global-scale warming yet the temperature increase relative to pre-industrial levels is uncertain. Using 300</w:instrText>
      </w:r>
      <w:r w:rsidR="001F00C1" w:rsidRPr="00256EAA">
        <w:rPr>
          <w:rFonts w:ascii="Arial" w:hAnsi="Arial" w:cs="Arial"/>
          <w:sz w:val="22"/>
          <w:szCs w:val="22"/>
          <w:lang w:val="nl-NL"/>
        </w:rPr>
        <w:instrText> </w:instrText>
      </w:r>
      <w:r w:rsidR="001F00C1" w:rsidRPr="00256EAA">
        <w:rPr>
          <w:sz w:val="22"/>
          <w:szCs w:val="22"/>
          <w:lang w:val="nl-NL"/>
        </w:rPr>
        <w:instrText>years of ocean mixed-layer temperature records preserved in sclerosponge carbonate skeletons, we demonstrate that industrial-era warming began in the mid-1860s, more than 80</w:instrText>
      </w:r>
      <w:r w:rsidR="001F00C1" w:rsidRPr="00256EAA">
        <w:rPr>
          <w:rFonts w:ascii="Arial" w:hAnsi="Arial" w:cs="Arial"/>
          <w:sz w:val="22"/>
          <w:szCs w:val="22"/>
          <w:lang w:val="nl-NL"/>
        </w:rPr>
        <w:instrText> </w:instrText>
      </w:r>
      <w:r w:rsidR="001F00C1" w:rsidRPr="00256EAA">
        <w:rPr>
          <w:sz w:val="22"/>
          <w:szCs w:val="22"/>
          <w:lang w:val="nl-NL"/>
        </w:rPr>
        <w:instrText>years earlier than instrumental sea surface temperature recor</w:instrText>
      </w:r>
      <w:r w:rsidR="001F00C1" w:rsidRPr="00256EAA">
        <w:rPr>
          <w:sz w:val="22"/>
          <w:szCs w:val="22"/>
          <w:lang w:val="en-GB"/>
        </w:rPr>
        <w:instrText xml:space="preserve">ds. The Sr/Ca palaeothermometer was calibrated against </w:instrText>
      </w:r>
      <w:r w:rsidR="001F00C1" w:rsidRPr="00256EAA">
        <w:rPr>
          <w:rFonts w:cs="Aptos"/>
          <w:sz w:val="22"/>
          <w:szCs w:val="22"/>
          <w:lang w:val="en-GB"/>
        </w:rPr>
        <w:instrText>‘</w:instrText>
      </w:r>
      <w:r w:rsidR="001F00C1" w:rsidRPr="00256EAA">
        <w:rPr>
          <w:sz w:val="22"/>
          <w:szCs w:val="22"/>
          <w:lang w:val="en-GB"/>
        </w:rPr>
        <w:instrText>modern</w:instrText>
      </w:r>
      <w:r w:rsidR="001F00C1" w:rsidRPr="00256EAA">
        <w:rPr>
          <w:rFonts w:cs="Aptos"/>
          <w:sz w:val="22"/>
          <w:szCs w:val="22"/>
          <w:lang w:val="en-GB"/>
        </w:rPr>
        <w:instrText>’</w:instrText>
      </w:r>
      <w:r w:rsidR="001F00C1" w:rsidRPr="00256EAA">
        <w:rPr>
          <w:sz w:val="22"/>
          <w:szCs w:val="22"/>
          <w:lang w:val="en-GB"/>
        </w:rPr>
        <w:instrText xml:space="preserve"> (post-1963) highly correlated (R2</w:instrText>
      </w:r>
      <w:r w:rsidR="001F00C1" w:rsidRPr="00256EAA">
        <w:rPr>
          <w:rFonts w:ascii="Arial" w:hAnsi="Arial" w:cs="Arial"/>
          <w:sz w:val="22"/>
          <w:szCs w:val="22"/>
          <w:lang w:val="en-GB"/>
        </w:rPr>
        <w:instrText> </w:instrText>
      </w:r>
      <w:r w:rsidR="001F00C1" w:rsidRPr="00256EAA">
        <w:rPr>
          <w:sz w:val="22"/>
          <w:szCs w:val="22"/>
          <w:lang w:val="en-GB"/>
        </w:rPr>
        <w:instrText>=</w:instrText>
      </w:r>
      <w:r w:rsidR="001F00C1" w:rsidRPr="00256EAA">
        <w:rPr>
          <w:rFonts w:ascii="Arial" w:hAnsi="Arial" w:cs="Arial"/>
          <w:sz w:val="22"/>
          <w:szCs w:val="22"/>
          <w:lang w:val="en-GB"/>
        </w:rPr>
        <w:instrText> </w:instrText>
      </w:r>
      <w:r w:rsidR="001F00C1" w:rsidRPr="00256EAA">
        <w:rPr>
          <w:sz w:val="22"/>
          <w:szCs w:val="22"/>
          <w:lang w:val="en-GB"/>
        </w:rPr>
        <w:instrText>0.91) instrumental records of global sea surface temperatures, with the pre-industrial defined by nearly constant (&lt;±0.1</w:instrText>
      </w:r>
      <w:r w:rsidR="001F00C1" w:rsidRPr="00256EAA">
        <w:rPr>
          <w:rFonts w:ascii="Arial" w:hAnsi="Arial" w:cs="Arial"/>
          <w:sz w:val="22"/>
          <w:szCs w:val="22"/>
          <w:lang w:val="en-GB"/>
        </w:rPr>
        <w:instrText> </w:instrText>
      </w:r>
      <w:r w:rsidR="001F00C1" w:rsidRPr="00256EAA">
        <w:rPr>
          <w:rFonts w:cs="Aptos"/>
          <w:sz w:val="22"/>
          <w:szCs w:val="22"/>
          <w:lang w:val="en-GB"/>
        </w:rPr>
        <w:instrText>°</w:instrText>
      </w:r>
      <w:r w:rsidR="001F00C1" w:rsidRPr="00256EAA">
        <w:rPr>
          <w:sz w:val="22"/>
          <w:szCs w:val="22"/>
          <w:lang w:val="en-GB"/>
        </w:rPr>
        <w:instrText>C) temperatures from 1700 to the early 1860s. Increasing ocean and land-air temperatures overlap until the late twentieth century, when the land began warming at nearly twice the rate of the surface oceans. Hotter land temperatures, together with the earlier onset of industrial-era warming, indicate that global warming was already 1.7</w:instrText>
      </w:r>
      <w:r w:rsidR="001F00C1" w:rsidRPr="00256EAA">
        <w:rPr>
          <w:rFonts w:ascii="Arial" w:hAnsi="Arial" w:cs="Arial"/>
          <w:sz w:val="22"/>
          <w:szCs w:val="22"/>
          <w:lang w:val="en-GB"/>
        </w:rPr>
        <w:instrText> </w:instrText>
      </w:r>
      <w:r w:rsidR="001F00C1" w:rsidRPr="00256EAA">
        <w:rPr>
          <w:rFonts w:cs="Aptos"/>
          <w:sz w:val="22"/>
          <w:szCs w:val="22"/>
          <w:lang w:val="en-GB"/>
        </w:rPr>
        <w:instrText>±</w:instrText>
      </w:r>
      <w:r w:rsidR="001F00C1" w:rsidRPr="00256EAA">
        <w:rPr>
          <w:rFonts w:ascii="Arial" w:hAnsi="Arial" w:cs="Arial"/>
          <w:sz w:val="22"/>
          <w:szCs w:val="22"/>
          <w:lang w:val="en-GB"/>
        </w:rPr>
        <w:instrText> </w:instrText>
      </w:r>
      <w:r w:rsidR="001F00C1" w:rsidRPr="00256EAA">
        <w:rPr>
          <w:sz w:val="22"/>
          <w:szCs w:val="22"/>
          <w:lang w:val="en-GB"/>
        </w:rPr>
        <w:instrText>0.1</w:instrText>
      </w:r>
      <w:r w:rsidR="001F00C1" w:rsidRPr="00256EAA">
        <w:rPr>
          <w:rFonts w:ascii="Arial" w:hAnsi="Arial" w:cs="Arial"/>
          <w:sz w:val="22"/>
          <w:szCs w:val="22"/>
          <w:lang w:val="en-GB"/>
        </w:rPr>
        <w:instrText> </w:instrText>
      </w:r>
      <w:r w:rsidR="001F00C1" w:rsidRPr="00256EAA">
        <w:rPr>
          <w:rFonts w:cs="Aptos"/>
          <w:sz w:val="22"/>
          <w:szCs w:val="22"/>
          <w:lang w:val="en-GB"/>
        </w:rPr>
        <w:instrText>°</w:instrText>
      </w:r>
      <w:r w:rsidR="001F00C1" w:rsidRPr="00256EAA">
        <w:rPr>
          <w:sz w:val="22"/>
          <w:szCs w:val="22"/>
          <w:lang w:val="en-GB"/>
        </w:rPr>
        <w:instrText>C above pre-industrial levels by 2020. Our result is 0.5</w:instrText>
      </w:r>
      <w:r w:rsidR="001F00C1" w:rsidRPr="00256EAA">
        <w:rPr>
          <w:rFonts w:ascii="Arial" w:hAnsi="Arial" w:cs="Arial"/>
          <w:sz w:val="22"/>
          <w:szCs w:val="22"/>
          <w:lang w:val="en-GB"/>
        </w:rPr>
        <w:instrText> </w:instrText>
      </w:r>
      <w:r w:rsidR="001F00C1" w:rsidRPr="00256EAA">
        <w:rPr>
          <w:rFonts w:cs="Aptos"/>
          <w:sz w:val="22"/>
          <w:szCs w:val="22"/>
          <w:lang w:val="en-GB"/>
        </w:rPr>
        <w:instrText>°</w:instrText>
      </w:r>
      <w:r w:rsidR="001F00C1" w:rsidRPr="00256EAA">
        <w:rPr>
          <w:sz w:val="22"/>
          <w:szCs w:val="22"/>
          <w:lang w:val="en-GB"/>
        </w:rPr>
        <w:instrText>C higher than IPCC estimates, with 2</w:instrText>
      </w:r>
      <w:r w:rsidR="001F00C1" w:rsidRPr="00256EAA">
        <w:rPr>
          <w:rFonts w:ascii="Arial" w:hAnsi="Arial" w:cs="Arial"/>
          <w:sz w:val="22"/>
          <w:szCs w:val="22"/>
          <w:lang w:val="en-GB"/>
        </w:rPr>
        <w:instrText> </w:instrText>
      </w:r>
      <w:r w:rsidR="001F00C1" w:rsidRPr="00256EAA">
        <w:rPr>
          <w:rFonts w:cs="Aptos"/>
          <w:sz w:val="22"/>
          <w:szCs w:val="22"/>
          <w:lang w:val="en-GB"/>
        </w:rPr>
        <w:instrText>°</w:instrText>
      </w:r>
      <w:r w:rsidR="001F00C1" w:rsidRPr="00256EAA">
        <w:rPr>
          <w:sz w:val="22"/>
          <w:szCs w:val="22"/>
          <w:lang w:val="en-GB"/>
        </w:rPr>
        <w:instrText xml:space="preserve">C global warming projected by the late 2020s, nearly two decades earlier than expected.","container-title":"Nature Climate Change","DOI":"10.1038/s41558-023-01919-7","ISSN":"1758-6798","issue":"2","journalAbbreviation":"Nat. Clim. Chang.","language":"en","license":"2024 The Author(s)","note":"publisher: Nature Publishing Group","page":"171-177","source":"www-nature-com.vu-nl.idm.oclc.org","title":"300 years of sclerosponge thermometry shows global warming has exceeded 1.5 °C","volume":"14","author":[{"family":"McCulloch","given":"Malcolm T."},{"family":"Winter","given":"Amos"},{"family":"Sherman","given":"Clark E."},{"family":"Trotter","given":"Julie A."}],"issued":{"date-parts":[["2024",2]]}}}],"schema":"https://github.com/citation-style-language/schema/raw/master/csl-citation.json"} </w:instrText>
      </w:r>
      <w:r w:rsidR="001F00C1" w:rsidRPr="00256EAA">
        <w:rPr>
          <w:sz w:val="22"/>
          <w:szCs w:val="22"/>
          <w:lang w:val="nl-NL"/>
        </w:rPr>
        <w:fldChar w:fldCharType="separate"/>
      </w:r>
      <w:r w:rsidR="001F00C1" w:rsidRPr="00256EAA">
        <w:rPr>
          <w:sz w:val="22"/>
          <w:szCs w:val="22"/>
        </w:rPr>
        <w:t>(Lazareth et al., 2000; McCulloch et al., 2024)</w:t>
      </w:r>
      <w:r w:rsidR="001F00C1" w:rsidRPr="00256EAA">
        <w:rPr>
          <w:sz w:val="22"/>
          <w:szCs w:val="22"/>
          <w:lang w:val="nl-NL"/>
        </w:rPr>
        <w:fldChar w:fldCharType="end"/>
      </w:r>
      <w:r w:rsidR="001F00C1" w:rsidRPr="00256EAA">
        <w:rPr>
          <w:sz w:val="22"/>
          <w:szCs w:val="22"/>
          <w:lang w:val="en-GB"/>
        </w:rPr>
        <w:t xml:space="preserve">, speleothems </w:t>
      </w:r>
      <w:r w:rsidR="001F00C1" w:rsidRPr="00256EAA">
        <w:rPr>
          <w:sz w:val="22"/>
          <w:szCs w:val="22"/>
          <w:lang w:val="en-GB"/>
        </w:rPr>
        <w:fldChar w:fldCharType="begin"/>
      </w:r>
      <w:r w:rsidR="001F00C1" w:rsidRPr="00256EAA">
        <w:rPr>
          <w:sz w:val="22"/>
          <w:szCs w:val="22"/>
          <w:lang w:val="en-GB"/>
        </w:rPr>
        <w:instrText xml:space="preserve"> ADDIN ZOTERO_ITEM CSL_CITATION {"citationID":"5qK4stL3","properties":{"formattedCitation":"(Van Rampelbergh et al., 2014b, a; Vansteenberge et al., 2019)","plainCitation":"(Van Rampelbergh et al., 2014b, a; Vansteenberge et al., 2019)","noteIndex":0},"citationItems":[{"id":350,"uris":["http://zotero.org/users/2470179/items/IFVNFVB5"],"itemData":{"id":350,"type":"article-journal","container-title":"Climate of the Past Discussions","DOI":"10.5194/cpd-10-1821-2014","ISSN":"1814-9359","issue":"2","language":"en","page":"1821-1856","source":"CrossRef","title":"Seasonal variations recorded in cave monitoring results and a 10 year monthly resolved speleothem &amp;amp;delta;&amp;lt;sup&amp;gt;18&amp;lt;/sup&amp;gt;O and &amp;amp;delta;&amp;lt;sup&amp;gt;13&amp;lt;/sup&amp;gt;C record from the Han-sur-Lesse cave, Belgium","volume":"10","author":[{"family":"Van Rampelbergh","given":"M."},{"family":"Verheyden","given":"S."},{"family":"Allan","given":"M"},{"family":"Quinif","given":"Y."},{"family":"Keppens","given":"E."},{"family":"Claeys","given":"P."}],"issued":{"date-parts":[["2014",4,22]]}}},{"id":351,"uris":["http://zotero.org/users/2470179/items/VZ93MKCX"],"itemData":{"id":351,"type":"article-journal","container-title":"Climate of the Past Discussions","DOI":"10.5194/cpd-10-4149-2014","ISSN":"1814-9359","issue":"5","language":"en","page":"4149-4190","source":"CrossRef","title":"A 500 year seasonally resolved δ&amp;lt;sup&amp;gt;18&amp;lt;/sup&amp;gt;O and δ&amp;lt;sup&amp;gt;13&amp;lt;/sup&amp;gt;C, layer thickness and calcite fabric record from a speleothem deposited in equilibrium of the Han-sur-Lesse cave, Belgium","volume":"10","author":[{"family":"Van Rampelbergh","given":"M."},{"family":"Verheyden","given":"S."},{"family":"Allan","given":"M."},{"family":"Quinif","given":"Y."},{"family":"Cheng","given":"H."},{"family":"Edwards","given":"L."},{"family":"Keppens","given":"E."},{"family":"Claeys","given":"P."}],"issued":{"date-parts":[["2014",10,22]]}}},{"id":1278,"uris":["http://zotero.org/users/2470179/items/SV9SDUWN"],"itemData":{"id":1278,"type":"article-journal","abstract":"&lt;p&gt;&lt;strong&gt;Abstract.&lt;/strong&gt; Annually laminated speleothems allow the reconstruction of paleoclimate down to a seasonal scale. In this study, an annually laminated stalagmite from the Han-sur-Lesse Cave (Belgium) is used to study the expression of the seasonal cycle in northwestern Europe during the Little Ice Age. More specifically, two historical 12-year-long growth periods (ca. 1593&amp;ndash;1605&amp;thinsp;CE and 1635&amp;ndash;1646&amp;thinsp;CE) and one modern growth period (1960&amp;ndash;2010&amp;thinsp;CE) are analysed on a sub-annual scale for their stable isotope ratios (δ&lt;sup&gt;13&lt;/sup&gt;C and δ&lt;sup&gt;18&lt;/sup&gt;O) and trace element (Mg, Sr, Ba, Zn, Y, Pb, U) content. Seasonal variability in the proxies is confirmed with frequency analysis. Zn, Y and Pb show distinct annual peaks in all three investigated periods related to annual flushing of the soil during winter. A strong seasonal in phase relationship between Mg, Sr and Ba in the modern growth period reflects a substantial influence of prior calcite precipitation (PCP). In particular, PCP occurs during summers when recharge of the epikarst is low. This is also evidenced by earlier observations of increased δ&lt;sup&gt;13&lt;/sup&gt;C values during summer. In the 17th century intervals, there is a distinct antiphase relationship between Mg, Sr and Ba, suggesting that varying degrees of incongruent dissolution of dolomite control the observed seasonal variations. The processes controlling seasonal variations in Mg, Sr and Ba in the speleothem appear to change between the 17th century and 1960&amp;ndash;2010&amp;thinsp;CE. The Zn, Y, Pb and U concentration profiles, stable isotope ratios and morphology of the speleothem laminae all point towards increased seasonal amplitude in cave hydrology and higher drip water discharge during the 17th century. These observa</w:instrText>
      </w:r>
      <w:r w:rsidR="001F00C1" w:rsidRPr="00256EAA">
        <w:rPr>
          <w:sz w:val="22"/>
          <w:szCs w:val="22"/>
          <w:lang w:val="nl-NL"/>
        </w:rPr>
        <w:instrText xml:space="preserve">tions reflect an increase in water excess above the cave and recharge of the epikarst, due to a combination of lower summer temperatures and increased winter precipitation during the 17th century. This study indicates that the transfer function controlling Mg, Sr and Ba seasonal variability varies over time. Which process is dominant, either PCP or dolomite dissolution, is clearly climate-driven and can thus be used as a paleoclimate proxy itself.&lt;/p&gt;","container-title":"Climate of the Past Discussions","DOI":"https://doi.org/10.5194/cp-2019-78","ISSN":"1814-9324","language":"English","page":"1-32","source":"www.clim-past-discuss.net","title":"Reconstructing seasonality through stable isotope and trace element analysis of the Proserpine stalagmite, Han-sur-Lesse Cave, Belgium: indications for climate-driven changes during the last 400 years","title-short":"Reconstructing seasonality through stable isotope and trace element analysis of the Proserpine stalagmite, Han-sur-Lesse Cave, Belgium","author":[{"family":"Vansteenberge","given":"Stef"},{"family":"Winter","given":"Niels","dropping-particle":"de"},{"family":"Sinnesael","given":"Matthias"},{"family":"Verheyden","given":"Sophie"},{"family":"Goderis","given":"Steven"},{"family":"Malderen","given":"Stijn J. M. Van"},{"family":"Vanhaecke","given":"Frank"},{"family":"Claeys","given":"Philippe"}],"issued":{"date-parts":[["2019",7,11]]}}}],"schema":"https://github.com/citation-style-language/schema/raw/master/csl-citation.json"} </w:instrText>
      </w:r>
      <w:r w:rsidR="001F00C1" w:rsidRPr="00256EAA">
        <w:rPr>
          <w:sz w:val="22"/>
          <w:szCs w:val="22"/>
          <w:lang w:val="en-GB"/>
        </w:rPr>
        <w:fldChar w:fldCharType="separate"/>
      </w:r>
      <w:r w:rsidR="001F00C1" w:rsidRPr="00256EAA">
        <w:rPr>
          <w:sz w:val="22"/>
          <w:szCs w:val="22"/>
        </w:rPr>
        <w:t>(Van Rampelbergh et al., 2014b, a; Vansteenberge et al., 2019)</w:t>
      </w:r>
      <w:r w:rsidR="001F00C1" w:rsidRPr="00256EAA">
        <w:rPr>
          <w:sz w:val="22"/>
          <w:szCs w:val="22"/>
          <w:lang w:val="en-GB"/>
        </w:rPr>
        <w:fldChar w:fldCharType="end"/>
      </w:r>
      <w:r w:rsidR="001F00C1" w:rsidRPr="00256EAA">
        <w:rPr>
          <w:sz w:val="22"/>
          <w:szCs w:val="22"/>
          <w:lang w:val="nl-NL"/>
        </w:rPr>
        <w:t xml:space="preserve">, </w:t>
      </w:r>
      <w:proofErr w:type="spellStart"/>
      <w:r w:rsidR="001F00C1" w:rsidRPr="00256EAA">
        <w:rPr>
          <w:sz w:val="22"/>
          <w:szCs w:val="22"/>
          <w:lang w:val="nl-NL"/>
        </w:rPr>
        <w:t>tooth</w:t>
      </w:r>
      <w:proofErr w:type="spellEnd"/>
      <w:r w:rsidR="001F00C1" w:rsidRPr="00256EAA">
        <w:rPr>
          <w:sz w:val="22"/>
          <w:szCs w:val="22"/>
          <w:lang w:val="nl-NL"/>
        </w:rPr>
        <w:t xml:space="preserve"> </w:t>
      </w:r>
      <w:proofErr w:type="spellStart"/>
      <w:r w:rsidR="001F00C1" w:rsidRPr="00256EAA">
        <w:rPr>
          <w:sz w:val="22"/>
          <w:szCs w:val="22"/>
          <w:lang w:val="nl-NL"/>
        </w:rPr>
        <w:t>bioapatite</w:t>
      </w:r>
      <w:proofErr w:type="spellEnd"/>
      <w:r w:rsidR="001F00C1" w:rsidRPr="00256EAA">
        <w:rPr>
          <w:sz w:val="22"/>
          <w:szCs w:val="22"/>
          <w:lang w:val="nl-NL"/>
        </w:rPr>
        <w:t xml:space="preserve"> </w:t>
      </w:r>
      <w:r w:rsidR="001F00C1" w:rsidRPr="00256EAA">
        <w:rPr>
          <w:sz w:val="22"/>
          <w:szCs w:val="22"/>
          <w:lang w:val="nl-NL"/>
        </w:rPr>
        <w:fldChar w:fldCharType="begin"/>
      </w:r>
      <w:r w:rsidR="001F00C1" w:rsidRPr="00256EAA">
        <w:rPr>
          <w:sz w:val="22"/>
          <w:szCs w:val="22"/>
          <w:lang w:val="nl-NL"/>
        </w:rPr>
        <w:instrText xml:space="preserve"> ADDIN ZOTERO_ITEM CSL_CITATION {"citationID":"kOyJz0rr","properties":{"formattedCitation":"(De Winter et al., 2016; Fricke et al., 1998; Sharp and Cerling, 1998)","plainCitation":"(De Winter et al., 2016; Fricke et al., 1998; Sharp and Cerling, 1998)","noteIndex":0},"citationItems":[{"id":1317,"uris":["http://zotero.org/users/2470179/items/VQM24732"],"itemData":{"id":1317,"type":"article-journal","abstract":"The study of stable isotopes in fossil bioapatite has yielded useful results and has shown that bioapatites are able to faithfully record paleo-environmental and paleo-climatic parameters from archeological to geological timescales. In an effort to establish new proxies for the study of bioapatites, intra-tooth records of enamel carbonate stable isotope ratios from modern horses are compared with trace element profiles measured using laboratory micro X-Ray Fluorescence scanning. Using known patterns of tooth eruption and the relationship between stable oxygen isotopes and local temperature seasonality, an age model is constructed that links records from six cheek upper right teeth from the second premolar to the third molar. When plotted on this age model, the trace element ratios from horse tooth enamel show a seasonal pattern with a small shift in phase compared to stable oxygen isotope ratios. While stable oxygen and carbon isotopes in tooth enamel are forced respectively by the state of the hydrological cycle and the animal’s diet, we argue that the seasonal signal in trace elements reflects seasonal changes in dust intake and diet of the animal. The latter explanation is in agreement with seasonal changes observed in carbon isotopes of the same teeth. This external forcing of trace element composition in mammal tooth enamel implies that trace element ratios may be used as proxies for seasonal changes in paleo-environment and paleo-diet.","container-title":"PLoS ONE","DOI":"10.1371/journal.pone.01666</w:instrText>
      </w:r>
      <w:r w:rsidR="001F00C1" w:rsidRPr="00256EAA">
        <w:rPr>
          <w:sz w:val="22"/>
          <w:szCs w:val="22"/>
          <w:lang w:val="en-GB"/>
        </w:rPr>
        <w:instrText xml:space="preserve">78","ISSN":"1932-6203","issue":"11","journalAbbreviation":"PLoS ONE","page":"1","title":"Seasonal cyclicity in trace elements and stable isotopes of modern horse enamel","volume":"11","author":[{"family":"De Winter","given":"Niels"},{"family":"Snoeck","given":"Christophe"},{"family":"Claeys","given":"Philippe"}],"issued":{"date-parts":[["2016",11,22]]}}},{"id":408,"uris":["http://zotero.org/users/2470179/items/R8TC673N"],"itemData":{"id":408,"type":"article-journal","container-title":"Geochimica et Cosmochimica Acta","issue":"11","page":"1839–1850","source":"Google Scholar","title":"Intra-tooth variations in </w:instrText>
      </w:r>
      <w:r w:rsidR="001F00C1" w:rsidRPr="00256EAA">
        <w:rPr>
          <w:sz w:val="22"/>
          <w:szCs w:val="22"/>
          <w:lang w:val="nl-NL"/>
        </w:rPr>
        <w:instrText>δ</w:instrText>
      </w:r>
      <w:r w:rsidR="001F00C1" w:rsidRPr="00256EAA">
        <w:rPr>
          <w:sz w:val="22"/>
          <w:szCs w:val="22"/>
          <w:lang w:val="en-GB"/>
        </w:rPr>
        <w:instrText xml:space="preserve"> 18 O (PO 4) of mammalian tooth enamel as a record of seasonal variations in continental climate variables","volume":"62","author":[{"family":"Fricke","given":"Henry C."},{"family":"Clyde","given":"William C."},{"family":"O’Neil","given":"James R."}],"issued":{"date-parts":[["1998"]]}}},{"id":2622,"uris":["http://zotero.org/users/2470179/items/PKI9VK3F"],"itemData":{"id":2622,"type":"article-journal","container-title":"Geology","issue":"3","page":"219–222","source":"Google Scholar","title":"Fossil isotope records of seasonal climate and ecology: straight from the horse's mouth","title-short":"Fossil isotope records of seasonal climate and ecology","volume":"26","author":[{"family":"Sharp","given":"Z. D."},{"family":"Cerling","given":"T. E."}],"issued":{"date-parts":[["1998"]]}}}],"schema":"https://github.com/citation-style-language/schema/raw/master/csl-citation.json"} </w:instrText>
      </w:r>
      <w:r w:rsidR="001F00C1" w:rsidRPr="00256EAA">
        <w:rPr>
          <w:sz w:val="22"/>
          <w:szCs w:val="22"/>
          <w:lang w:val="nl-NL"/>
        </w:rPr>
        <w:fldChar w:fldCharType="separate"/>
      </w:r>
      <w:r w:rsidR="001F00C1" w:rsidRPr="00256EAA">
        <w:rPr>
          <w:sz w:val="22"/>
          <w:szCs w:val="22"/>
        </w:rPr>
        <w:t>(De Winter et al., 2016; Fricke et al., 1998; Sharp and Cerling, 1998)</w:t>
      </w:r>
      <w:r w:rsidR="001F00C1" w:rsidRPr="00256EAA">
        <w:rPr>
          <w:sz w:val="22"/>
          <w:szCs w:val="22"/>
          <w:lang w:val="nl-NL"/>
        </w:rPr>
        <w:fldChar w:fldCharType="end"/>
      </w:r>
      <w:r w:rsidR="001F00C1" w:rsidRPr="00256EAA">
        <w:rPr>
          <w:sz w:val="22"/>
          <w:szCs w:val="22"/>
          <w:lang w:val="en-GB"/>
        </w:rPr>
        <w:t xml:space="preserve">, brachiopod </w:t>
      </w:r>
      <w:r w:rsidR="001F00C1" w:rsidRPr="00256EAA">
        <w:rPr>
          <w:sz w:val="22"/>
          <w:szCs w:val="22"/>
          <w:lang w:val="en-GB"/>
        </w:rPr>
        <w:fldChar w:fldCharType="begin"/>
      </w:r>
      <w:r w:rsidR="001F00C1" w:rsidRPr="00256EAA">
        <w:rPr>
          <w:sz w:val="22"/>
          <w:szCs w:val="22"/>
          <w:lang w:val="en-GB"/>
        </w:rPr>
        <w:instrText xml:space="preserve"> ADDIN ZOTERO_ITEM CSL_CITATION {"citationID":"uFTEMbqs","properties":{"formattedCitation":"(Garbelli et al., 2022; Mii and Grossman, 1994)","plainCitation":"(Garbelli et al., 2022; Mii and Grossman, 1994)","noteIndex":0},"citationItems":[{"id":1761,"uris":["http://zotero.org/users/2470179/items/76HQRE78"],"itemData":{"id":1761,"type":"article-journal","abstract":"In this paper, we develop a robust palaeo-proxy technique for inferring seasonal fluctuations in Phanerozoic seawater temperature. Specifically, we report δ13C and δ18O values across the columnar layer (inner shell) of Permian brachiopods, including five genera of the Order Spiriferida (Ingellarella, Martinia, Permophricodothyris, Cartorhium, and Trigonotreta) and two genera of the Order Athyridida (Araxathyris and Comelicania). These brachiopod specimens are inferred to have inhabited varied palaeo-depths, based on facies analysis, and were collected from low, middle and high palaeolatitudes. To obtain high-resolution ontogenetic isotopic time-series, a handheld microdrill was used to collect low-magnesium calcite samples along the longitudinal axis of the mid-valve for each specimen. Intrageneric and intergeneric comparison of statistics (mean values, variance, and range) reveals that δ18O values are consistent within and between genera although δ13C values are more variable. In specimens obtained from low palaeolatitudes (Julfa Formation, Iran; Bellerophon Formation, Italy; Late Permian), the range of δ18O values is small and consistent with weak seasonal temperature variations, irrespective of water depth. In specimens obtained from middle palaeolatitudes (Qarari Formation, Oman; Early-Middle Permian), we found a range of δ18O values dependent on inferred water depth, possibly reflecting a change in thermocline structure between warm and cold seasons. In specimens obtained from high palaeolatitudes (Wasp Head and Wandrawandian Siltstone formations, Australia; Early-Middle Permian), brachiopods from glacial and interglacial climate phases show significant variations of δ18O values, probably caused by seasonal changes in the seawater surface temperature. Based on these findings, the technique developed in this paper appears to provide reliable paleoclimate and paleoenvironmental data for Permian sites, and should be also applicable for Phanerozoic studies in general. However, we caution that δ18O values vary dependent on the growth direction, resulting in differences of up to 5 °C in seawater paleotemperature calculations, and emphasise that a consistent sampling strategy accounting for shell structure and growth direction is required.","container-title":"Palaeogeography, Palaeoclimatology, Palaeoecology","DOI":"10.1016/j.palaeo.2022.111264","ISSN":"0031-0182","journalAbbreviation":"Palaeogeography, Palaeoclimatology, Palaeoecology","language":"en","page":"111264","source":"ScienceDirect","title":"Isotopic time-series (δ13C and δ18O) obtained from the columnar layer of Permian brachiopod shells are a reliable archive of seasonal variations","volume":"607","author":[{"family":"Garbelli","given":"Claudio"},{"family":"Angiolini","given":"Lucia"},{"family":"Posenato","given":"Renato"},{"family":"Harper","given":"Elizabeth M."},{"family":"Lamare","given":"Miles D."},{"family":"Shi","given":"Guang R."},{"family":"Shen","given":"Shu-zhong"}],"issued":{"date-parts":[["2022",12,1]]}}},{"id":2713,"uris":["http://zotero.org/users/2470179/items/M7NDP97U"],"itemData":{"id":2713,"type":"article-journal","abstract":"To evaluate the potential for the study of Late Pennsylvanian seasonality, detailed isotopic and elemental analyses were performed on a single specimen of the brachiopod Neospirifer dunbari. Shell preservation was evaluated by petrographic and cathodoluminescence microscopy. Carbonate powders from 112 spots were collected from the sectioned shell for isotopic analyses, and 369 spots on the complementary thin section were analyzed by electron microprobe for chemical composition. In the nonluminescent part of the shell, Mg/Ca ratios were between 0.001 and 0.012, and Na/Ca and S/Ca ratios ranged from 0.003 to 0.012 and 0.003 to 0.021, respectively. Values of δ18O vary between -2.3‰ and -1.1‰. Contours of 18O, Mg, Na, and S concentrations parallel growth bands and reveal a record of 1½ to 2 cycles. Mg, S, and Na contents varied nversely with δ18O. This trend is opposite to the expected diagenetic trend and is consistent with the temperature dependences of Mg content and δ18O, thus implying preservation of shell chemistry. The </w:instrText>
      </w:r>
      <w:r w:rsidR="001F00C1" w:rsidRPr="00256EAA">
        <w:rPr>
          <w:rFonts w:ascii="Cambria Math" w:hAnsi="Cambria Math" w:cs="Cambria Math"/>
          <w:sz w:val="22"/>
          <w:szCs w:val="22"/>
          <w:lang w:val="en-GB"/>
        </w:rPr>
        <w:instrText>∼</w:instrText>
      </w:r>
      <w:r w:rsidR="001F00C1" w:rsidRPr="00256EAA">
        <w:rPr>
          <w:sz w:val="22"/>
          <w:szCs w:val="22"/>
          <w:lang w:val="en-GB"/>
        </w:rPr>
        <w:instrText>1.2</w:instrText>
      </w:r>
      <w:r w:rsidR="001F00C1" w:rsidRPr="00256EAA">
        <w:rPr>
          <w:rFonts w:cs="Aptos"/>
          <w:sz w:val="22"/>
          <w:szCs w:val="22"/>
          <w:lang w:val="en-GB"/>
        </w:rPr>
        <w:instrText>‰</w:instrText>
      </w:r>
      <w:r w:rsidR="001F00C1" w:rsidRPr="00256EAA">
        <w:rPr>
          <w:sz w:val="22"/>
          <w:szCs w:val="22"/>
          <w:lang w:val="en-GB"/>
        </w:rPr>
        <w:instrText xml:space="preserve"> range in </w:instrText>
      </w:r>
      <w:r w:rsidR="001F00C1" w:rsidRPr="00256EAA">
        <w:rPr>
          <w:rFonts w:cs="Aptos"/>
          <w:sz w:val="22"/>
          <w:szCs w:val="22"/>
          <w:lang w:val="en-GB"/>
        </w:rPr>
        <w:instrText>δ</w:instrText>
      </w:r>
      <w:r w:rsidR="001F00C1" w:rsidRPr="00256EAA">
        <w:rPr>
          <w:sz w:val="22"/>
          <w:szCs w:val="22"/>
          <w:lang w:val="en-GB"/>
        </w:rPr>
        <w:instrText xml:space="preserve">18O values suggests a seasonal temperature variation of 5 to 6 </w:instrText>
      </w:r>
      <w:r w:rsidR="001F00C1" w:rsidRPr="00256EAA">
        <w:rPr>
          <w:rFonts w:cs="Aptos"/>
          <w:sz w:val="22"/>
          <w:szCs w:val="22"/>
          <w:lang w:val="en-GB"/>
        </w:rPr>
        <w:instrText>°</w:instrText>
      </w:r>
      <w:r w:rsidR="001F00C1" w:rsidRPr="00256EAA">
        <w:rPr>
          <w:sz w:val="22"/>
          <w:szCs w:val="22"/>
          <w:lang w:val="en-GB"/>
        </w:rPr>
        <w:instrText xml:space="preserve">C (assuming no change in the </w:instrText>
      </w:r>
      <w:r w:rsidR="001F00C1" w:rsidRPr="00256EAA">
        <w:rPr>
          <w:rFonts w:cs="Aptos"/>
          <w:sz w:val="22"/>
          <w:szCs w:val="22"/>
          <w:lang w:val="en-GB"/>
        </w:rPr>
        <w:instrText>δ</w:instrText>
      </w:r>
      <w:r w:rsidR="001F00C1" w:rsidRPr="00256EAA">
        <w:rPr>
          <w:sz w:val="22"/>
          <w:szCs w:val="22"/>
          <w:lang w:val="en-GB"/>
        </w:rPr>
        <w:instrText xml:space="preserve">18O of the water). This high seasonality for the tropical epicontinental sea of Kansas supports climate-model predictions of enhanced continentality in Pangean climate. Detailed stable isotope and element concentration profiles across growth bands of brachiopod shells can provide quantitative records of Paleozoic seasonality.","container-title":"Geology","DOI":"10.1130/0091-7613(1994)022&lt;0661:LPSRIT&gt;2.3.CO;2","ISSN":"0091-7613","issue":"7","journalAbbreviation":"Geology","page":"661-664","source":"Silverchair","title":"Late Pennsylvanian seasonality reflected in the 18O and elemental composition of a brachiopod shell","volume":"22","author":[{"family":"Mii","given":"Horng-Sheng"},{"family":"Grossman","given":"Ethan L."}],"issued":{"date-parts":[["1994",7,1]]}}}],"schema":"https://github.com/citation-style-language/schema/raw/master/csl-citation.json"} </w:instrText>
      </w:r>
      <w:r w:rsidR="001F00C1" w:rsidRPr="00256EAA">
        <w:rPr>
          <w:sz w:val="22"/>
          <w:szCs w:val="22"/>
          <w:lang w:val="en-GB"/>
        </w:rPr>
        <w:fldChar w:fldCharType="separate"/>
      </w:r>
      <w:r w:rsidR="001F00C1" w:rsidRPr="00256EAA">
        <w:rPr>
          <w:sz w:val="22"/>
          <w:szCs w:val="22"/>
        </w:rPr>
        <w:t>(Garbelli et al., 2022; Mii and Grossman, 1994)</w:t>
      </w:r>
      <w:r w:rsidR="001F00C1" w:rsidRPr="00256EAA">
        <w:rPr>
          <w:sz w:val="22"/>
          <w:szCs w:val="22"/>
          <w:lang w:val="en-GB"/>
        </w:rPr>
        <w:fldChar w:fldCharType="end"/>
      </w:r>
      <w:r w:rsidR="001F00C1" w:rsidRPr="00256EAA">
        <w:rPr>
          <w:sz w:val="22"/>
          <w:szCs w:val="22"/>
          <w:lang w:val="en-GB"/>
        </w:rPr>
        <w:t xml:space="preserve"> and mollusc shells </w:t>
      </w:r>
      <w:r w:rsidR="001F00C1" w:rsidRPr="00256EAA">
        <w:rPr>
          <w:sz w:val="22"/>
          <w:szCs w:val="22"/>
          <w:lang w:val="en-GB"/>
        </w:rPr>
        <w:fldChar w:fldCharType="begin"/>
      </w:r>
      <w:r w:rsidR="004019EA" w:rsidRPr="00256EAA">
        <w:rPr>
          <w:sz w:val="22"/>
          <w:szCs w:val="22"/>
          <w:lang w:val="en-GB"/>
        </w:rPr>
        <w:instrText xml:space="preserve"> ADDIN ZOTERO_ITEM CSL_CITATION {"citationID":"YFS3g2ud","properties":{"formattedCitation":"(Caldarescu et al., 2021; Ivany, 2012; de Winter et al., 2020a, 2021)","plainCitation":"(Caldarescu et al., 2021; Ivany, 2012; de Winter et al., 2020a, 2021)","noteIndex":0},"citationItems":[{"id":2059,"uris":["http://zotero.org/users/2470179/items/6WKC9THA"],"itemData":{"id":2059,"type":"article-journal","abstract":"Carbonate clumped isotope thermometry is a powerful tool for reconstructing paleotemperature and paleosalinity. Despite its broad application in biotic and abiotic materials, its use in paleoclimate studies has been limited due to the large amount of material and high precision required for each temperature estimate. In addition, it is still uncertain to what extent the clumped isotope signal is modified during calcification in various organisms. Using an analytical approach that minimizes sample size, we analysed clumped isotopes (Δ47) in two bivalve shells from the upwelling-dominated Gulf of Panama to reconstruct seasonal temperature and salinity variations. Using the high-resolution profiles in δ18Oshell, we grouped Δ47 measurements into several intervals to obtain robust average temperature estimates. The reconstructed temperatures agree with available observational data at the 95% confidence level, reflecting seasonal temperature changes of at least </w:instrText>
      </w:r>
      <w:r w:rsidR="004019EA" w:rsidRPr="00256EAA">
        <w:rPr>
          <w:rFonts w:ascii="Cambria Math" w:hAnsi="Cambria Math" w:cs="Cambria Math"/>
          <w:sz w:val="22"/>
          <w:szCs w:val="22"/>
          <w:lang w:val="en-GB"/>
        </w:rPr>
        <w:instrText>∼</w:instrText>
      </w:r>
      <w:r w:rsidR="004019EA" w:rsidRPr="00256EAA">
        <w:rPr>
          <w:sz w:val="22"/>
          <w:szCs w:val="22"/>
          <w:lang w:val="en-GB"/>
        </w:rPr>
        <w:instrText>6</w:instrText>
      </w:r>
      <w:r w:rsidR="004019EA" w:rsidRPr="00256EAA">
        <w:rPr>
          <w:rFonts w:ascii="Arial" w:hAnsi="Arial" w:cs="Arial"/>
          <w:sz w:val="22"/>
          <w:szCs w:val="22"/>
          <w:lang w:val="en-GB"/>
        </w:rPr>
        <w:instrText> </w:instrText>
      </w:r>
      <w:r w:rsidR="004019EA" w:rsidRPr="00256EAA">
        <w:rPr>
          <w:rFonts w:cs="Aptos"/>
          <w:sz w:val="22"/>
          <w:szCs w:val="22"/>
          <w:lang w:val="en-GB"/>
        </w:rPr>
        <w:instrText>°</w:instrText>
      </w:r>
      <w:r w:rsidR="004019EA" w:rsidRPr="00256EAA">
        <w:rPr>
          <w:sz w:val="22"/>
          <w:szCs w:val="22"/>
          <w:lang w:val="en-GB"/>
        </w:rPr>
        <w:instrText xml:space="preserve">C. By combining bivalve </w:instrText>
      </w:r>
      <w:r w:rsidR="004019EA" w:rsidRPr="00256EAA">
        <w:rPr>
          <w:rFonts w:cs="Aptos"/>
          <w:sz w:val="22"/>
          <w:szCs w:val="22"/>
          <w:lang w:val="en-GB"/>
        </w:rPr>
        <w:instrText>δ</w:instrText>
      </w:r>
      <w:r w:rsidR="004019EA" w:rsidRPr="00256EAA">
        <w:rPr>
          <w:sz w:val="22"/>
          <w:szCs w:val="22"/>
          <w:lang w:val="en-GB"/>
        </w:rPr>
        <w:instrText xml:space="preserve">18Oshell and </w:instrText>
      </w:r>
      <w:r w:rsidR="004019EA" w:rsidRPr="00256EAA">
        <w:rPr>
          <w:rFonts w:cs="Aptos"/>
          <w:sz w:val="22"/>
          <w:szCs w:val="22"/>
          <w:lang w:val="en-GB"/>
        </w:rPr>
        <w:instrText>Δ</w:instrText>
      </w:r>
      <w:r w:rsidR="004019EA" w:rsidRPr="00256EAA">
        <w:rPr>
          <w:sz w:val="22"/>
          <w:szCs w:val="22"/>
          <w:lang w:val="en-GB"/>
        </w:rPr>
        <w:instrText>47-based temperatures, we obtain realistic estimates of seasonal δ18Oseawater and salinity changes. Our results suggest that clumped isotopes in bivalve shells can be used for seasonal temperature reconstructions and for disentangling the temperature and δ18Oseawater signals in δ18Oshell variations.","container-title":"Geochimica et Cosmochimica Acta","DOI":"10.1016/j.gca.2020.11.019","ISSN":"0016-7037","journalAbbreviation":"Geochimica et Cosmochimica Acta","language":"en","page":"174-191","source":"ScienceDirect","title":"Clumped isotope thermometry in bivalve shells: A tool for reconstructing seasonal upwelling","title-short":"Clumped isotope thermometry in bivalve shells","volume":"294","author":[{"family":"Caldarescu","given":"Diana E."},{"family":"Sadatzki","given":"Henrik"},{"family":"Andersson","given":"Carin"},{"family":"Schäfer","given":"Priska"},{"family":"Fortunato","given":"Helena"},{"family":"Meckler","given":"A. Nele"}],"issued":{"date-parts":[["2021",2,1]]}}},{"id":2442,"uris":["http://zotero.org/users/2470179/items/J5FWP5HB"],"itemData":{"id":2442,"type":"article-journal","container-title":"The Paleontological Society Papers","page":"133–166","source":"Google Scholar","title":"Reconstructing paleoseasonality from accretionary skeletal carbonates—challenges and opportunities","volume":"18","author":[{"family":"Ivany","given":"Linda C."}],"issued":{"date-parts":[["2012"]]}}},{"id":2833,"uris":["http://zotero.org/users/2470179/items/JQ7NHX9C"],"itemData":{"id":2833,"type":"article-journal","abstract":"This study presents subdaily resolved chemical records through fossil mollusk shell calcite. Trace element profiles resolve periodic variability across 40-μm-thin daily growth laminae in a Campanian Torreites sanchezi rudist bivalve. These high-resolution records are combined with seasonally resolved stable isotope and trace element records that allow shell-chemical variability to be discussed on both seasonal and daily scale. A combination of layer counting, spectral analysis of chemical cyclicity and chemical layer counting shows that the rudist precipitated 372 daily laminae per year, demonstrating that length of day has increased since the Late Cretaceous, as predicted by astronomical models. This new approach to determine the length of a solar day in geologic history through multiproxy chemical records at subdaily resolution yields considerably more control on the uncertainty of this estimate. Daily chemical variability exceeds seasonal variability in our records, and cannot be explained by diurnal temperature changes. Instead, we postulate that rudist shell chemistry is driven on a daily scale by changes in light intensity. These results together with those of stable isotope analyses provide strong evidence that Torreites rudists had photosymbionts. Bivalve shell calcite generally preserves well. Therefore, this study paves the way for daily-scale reconstructions of paleoenvironment and sunlight intensity on geologic time scales from bivalve shells, potentially allowing researchers to bridge the gap between climate and weather reconstructions. Such reconstructions improve shell chronologies, document environmental change in warm ecosystems, and widen our understanding of the magnitude of short-term changes during greenhouse climates.","container-title":"Paleoceanography and Paleoclimatology","DOI":"10.1029/2019PA003723","ISSN":"2572-4525","issue":"2","language":"en","license":"©2020. American Geophysical Union. All Rights Reserved.","note":"_eprint: https://onlinelibrary.wiley.com/doi/pdf/10.1029/2019PA003723","page":"e2019PA003723","source":"Wiley Online Library","title":"Subdaily-Scale Chemical Variability in a Torreites Sanchezi Rudist Shell: Implications for Rudist Paleobiology and the Cretaceous Day-Night Cycle","title-short":"Subdaily-Scale Chemical Variability in a Torreites Sanchezi Rudist Shell","volume":"35","author":[{"family":"Winter","given":"N. J.","non-dropping-particle":"de"},{"family":"Goderis","given":"Steven"},{"family":"Malderen","given":"Stijn J. M. Van"},{"family":"Sinnesael","given":"Matthias"},{"family":"Vansteenberge","given":"Stef"},{"family":"Snoeck","given":"Christophe"},{"family":"Belza","given":"Joke"},{"family":"Vanhaecke","given":"Frank"},{"family":"Claeys","given":"Philippe"}],"issued":{"date-parts":[["2020"]]}}},{"id":2680,"uris":["http://zotero.org/users/2470179/items/HR649PES"],"itemData":{"id":2680,"type":"article-journal","abstract":"Seasonal variability in sea surface temperatures plays a fundamental role in climate dynamics and species distribution. Seasonal bias can also severely compromise the accuracy of mean annual temperature reconstructions. It is therefore essential to better understand seasonal variability in climates of the past. Many reconstructions of climate in deep time neglect this issue and rely on controversial assumptions, such as estimates of sea water oxygen isotope composition. Here we present absolute seasonal temperature reconstructions based on clumped isotope measurements in bivalve shells which, critically, do not rely on these assumptions. We reconstruct highly precise monthly sea surface temperatures at around 50 °N latitude from individual oyster and rudist shells of the Campanian greenhouse period about 78 million years ago, when the seasonal range at 50 °N comprised 15 to 27</w:instrText>
      </w:r>
      <w:r w:rsidR="004019EA" w:rsidRPr="00256EAA">
        <w:rPr>
          <w:rFonts w:ascii="Arial" w:hAnsi="Arial" w:cs="Arial"/>
          <w:sz w:val="22"/>
          <w:szCs w:val="22"/>
          <w:lang w:val="en-GB"/>
        </w:rPr>
        <w:instrText> </w:instrText>
      </w:r>
      <w:r w:rsidR="004019EA" w:rsidRPr="00256EAA">
        <w:rPr>
          <w:rFonts w:cs="Aptos"/>
          <w:sz w:val="22"/>
          <w:szCs w:val="22"/>
          <w:lang w:val="en-GB"/>
        </w:rPr>
        <w:instrText>°</w:instrText>
      </w:r>
      <w:r w:rsidR="004019EA" w:rsidRPr="00256EAA">
        <w:rPr>
          <w:sz w:val="22"/>
          <w:szCs w:val="22"/>
          <w:lang w:val="en-GB"/>
        </w:rPr>
        <w:instrText xml:space="preserve">C. In agreement with fully coupled climate model simulations, we find that greenhouse climates outside the tropics were warmer and more seasonal than previously thought. We conclude that seasonal bias and assumptions about seawater composition can distort temperature reconstructions and our understanding of past greenhouse climates.","container-title":"Communications Earth &amp; Environment","DOI":"10.1038/s43247-021-00193-9","ISSN":"2662-4435","issue":"1","journalAbbreviation":"Commun Earth Environ","language":"en","license":"2021 The Author(s)","note":"number: 1\npublisher: Nature Publishing Group","page":"1-8","source":"www.nature.com","title":"Absolute seasonal temperature estimates from clumped isotopes in bivalve shells suggest warm and variable greenhouse climate","volume":"2","author":[{"family":"Winter","given":"Niels J.","non-dropping-particle":"de"},{"family":"Müller","given":"Inigo A."},{"family":"Kocken","given":"Ilja J."},{"family":"Thibault","given":"Nicolas"},{"family":"Ullmann","given":"Clemens V."},{"family":"Farnsworth","given":"Alex"},{"family":"Lunt","given":"Daniel J."},{"family":"Claeys","given":"Philippe"},{"family":"Ziegler","given":"Martin"}],"issued":{"date-parts":[["2021",6,10]]}}}],"schema":"https://github.com/citation-style-language/schema/raw/master/csl-citation.json"} </w:instrText>
      </w:r>
      <w:r w:rsidR="001F00C1" w:rsidRPr="00256EAA">
        <w:rPr>
          <w:sz w:val="22"/>
          <w:szCs w:val="22"/>
          <w:lang w:val="en-GB"/>
        </w:rPr>
        <w:fldChar w:fldCharType="separate"/>
      </w:r>
      <w:r w:rsidR="004019EA" w:rsidRPr="00256EAA">
        <w:rPr>
          <w:sz w:val="22"/>
          <w:szCs w:val="22"/>
        </w:rPr>
        <w:t>(Caldarescu et al., 2021; Ivany, 2012; de Winter et al., 2020a, 2021)</w:t>
      </w:r>
      <w:r w:rsidR="001F00C1" w:rsidRPr="00256EAA">
        <w:rPr>
          <w:sz w:val="22"/>
          <w:szCs w:val="22"/>
          <w:lang w:val="en-GB"/>
        </w:rPr>
        <w:fldChar w:fldCharType="end"/>
      </w:r>
      <w:r w:rsidR="001F00C1" w:rsidRPr="00256EAA">
        <w:rPr>
          <w:sz w:val="22"/>
          <w:szCs w:val="22"/>
          <w:lang w:val="en-GB"/>
        </w:rPr>
        <w:t xml:space="preserve">. Brachiopod and mollusc shells are arguably most relevant for overcoming seasonal bias in ancient climates because of their potential to preserve </w:t>
      </w:r>
      <w:r w:rsidR="00093AC9" w:rsidRPr="00256EAA">
        <w:rPr>
          <w:sz w:val="22"/>
          <w:szCs w:val="22"/>
          <w:lang w:val="en-GB"/>
        </w:rPr>
        <w:t>their original chemical composition</w:t>
      </w:r>
      <w:r w:rsidR="003F32EB" w:rsidRPr="00256EAA">
        <w:rPr>
          <w:sz w:val="22"/>
          <w:szCs w:val="22"/>
          <w:lang w:val="en-GB"/>
        </w:rPr>
        <w:t>, and the sub-annual climate information encoded within it,</w:t>
      </w:r>
      <w:r w:rsidR="00093AC9" w:rsidRPr="00256EAA">
        <w:rPr>
          <w:sz w:val="22"/>
          <w:szCs w:val="22"/>
          <w:lang w:val="en-GB"/>
        </w:rPr>
        <w:t xml:space="preserve"> </w:t>
      </w:r>
      <w:r w:rsidR="003F32EB" w:rsidRPr="00256EAA">
        <w:rPr>
          <w:sz w:val="22"/>
          <w:szCs w:val="22"/>
          <w:lang w:val="en-GB"/>
        </w:rPr>
        <w:t xml:space="preserve">on long geological timescales (tens to hundreds of millions of years; e.g. </w:t>
      </w:r>
      <w:r w:rsidR="003F32EB" w:rsidRPr="00256EAA">
        <w:rPr>
          <w:sz w:val="22"/>
          <w:szCs w:val="22"/>
          <w:lang w:val="en-GB"/>
        </w:rPr>
        <w:fldChar w:fldCharType="begin"/>
      </w:r>
      <w:r w:rsidR="00C56E81" w:rsidRPr="00256EAA">
        <w:rPr>
          <w:sz w:val="22"/>
          <w:szCs w:val="22"/>
          <w:lang w:val="en-GB"/>
        </w:rPr>
        <w:instrText xml:space="preserve"> ADDIN ZOTERO_ITEM CSL_CITATION {"citationID":"qvENwxAm","properties":{"formattedCitation":"(Alberti et al., 2017; Henkes et al., 2018; Ivany and Runnegar, 2010; Posenato et al., 2022; de Winter et al., 2017)","plainCitation":"(Alberti et al., 2017; Henkes et al., 2018; Ivany and Runnegar, 2010; Posenato et al., 2022; de Winter et al., 2017)","noteIndex":0},"citationItems":[{"id":1375,"uris":["http://zotero.org/users/2470179/items/H3KWCZIX"],"itemData":{"id":1375,"type":"article-journal","abstract":"Stable isotope (δ18O, δ13C) analyses of brachiopod and oyster shells from the Gebel Maghara, Egypt, were used to reconstruct the first detailed dataset on peri-equatorial water temperatures during the Middle to Late Jurassic. Throughout this time interval, temperatures remained relatively constant around an average of 25.7°C. Slightly warmer conditions existed in the Early Bathonian (~27.0°C), while the Kimmeridgian shows the lowest temperatures (~24.3°C). As expected for a tropical palaeolatitude, the seasonality was very low (&lt;2°C) as reconstructed by high-resolution stable isotope analyses of two oyster shells. Latitudinal temperature gradients in the Middle Jurassic were much steeper than previously expected and comparable to today. During the Kimmeridgian (Late Jurassic), temperatures in Europe were generally warmer leading to weaker latitudinal gradients. On average, water temperatures reconstructed from stable isotopes for Jurassic localities above the thermocline are lower than Recent sea-surface temperatures (based on currently used estimates for the δ18O value of seawater).","container-title":"Palaeogeography, Palaeoclimatology, Palaeoecology","DOI":"10.1016/j.palaeo.2016.11.052","ISSN":"0031-0182","journalAbbreviation":"Palaeogeography, Palaeoclimatology, Palaeoecology","page":"301-313","source":"ScienceDirect","title":"Middle to Late Jurassic equatorial seawater temperatures and latitudinal temperature gradients based on stable isotopes of brachiopods and oysters from Gebel Maghara, Egypt","volume":"468","author":[{"family":"Alberti","given":"Matthias"},{"family":"Fürsich","given":"Franz T."},{"family":"Abdelhady","given":"Ahmed A."},{"family":"Andersen","given":"Nils"}],"issued":{"date-parts":[["2017",2,15]]}}},{"id":2468,"uris":["http://zotero.org/users/2470179/items/HUMCCTPZ"],"itemData":{"id":2468,"type":"article-journal","abstract":"Surface temperature is among the most important parameters describing planetary climate and habitability, and yet there remains considerable debate about the temperature evolution of the Earth's oceans during the Phanerozoic Eon (541 million years ago to present), the time during which complex metazoan life radiated on Earth. Here we critically assess the emerging record of Phanerozoic ocean temperatures based on carbonate clumped isotope thermometry of fossil brachiopod and mollusk shells, and we present new data that fill important gaps in the Late Paleozoic record. We evaluate and reject the hypothesis that solid-state reordering of 13C–18O bonds has destroyed the primary clumped isotope temperature signal of most fossils during sedimentary burial at elevated temperatures. The resulting Phanerozoic record, which shows a general coupling between tropical seawater temperatures and atmospheric carbon dioxide (CO2) levels since the Paleozoic, indicates that tropical temperatures during the icehouse climate of the Carboniferous period were broadly similar to present (</w:instrText>
      </w:r>
      <w:r w:rsidR="00C56E81" w:rsidRPr="00256EAA">
        <w:rPr>
          <w:rFonts w:ascii="Cambria Math" w:hAnsi="Cambria Math" w:cs="Cambria Math"/>
          <w:sz w:val="22"/>
          <w:szCs w:val="22"/>
          <w:lang w:val="en-GB"/>
        </w:rPr>
        <w:instrText>∼</w:instrText>
      </w:r>
      <w:r w:rsidR="00C56E81" w:rsidRPr="00256EAA">
        <w:rPr>
          <w:sz w:val="22"/>
          <w:szCs w:val="22"/>
          <w:lang w:val="en-GB"/>
        </w:rPr>
        <w:instrText>25</w:instrText>
      </w:r>
      <w:r w:rsidR="00C56E81" w:rsidRPr="00256EAA">
        <w:rPr>
          <w:rFonts w:cs="Aptos"/>
          <w:sz w:val="22"/>
          <w:szCs w:val="22"/>
          <w:lang w:val="en-GB"/>
        </w:rPr>
        <w:instrText>–</w:instrText>
      </w:r>
      <w:r w:rsidR="00C56E81" w:rsidRPr="00256EAA">
        <w:rPr>
          <w:sz w:val="22"/>
          <w:szCs w:val="22"/>
          <w:lang w:val="en-GB"/>
        </w:rPr>
        <w:instrText>30</w:instrText>
      </w:r>
      <w:r w:rsidR="00C56E81" w:rsidRPr="00256EAA">
        <w:rPr>
          <w:rFonts w:ascii="Arial" w:hAnsi="Arial" w:cs="Arial"/>
          <w:sz w:val="22"/>
          <w:szCs w:val="22"/>
          <w:lang w:val="en-GB"/>
        </w:rPr>
        <w:instrText> </w:instrText>
      </w:r>
      <w:r w:rsidR="00C56E81" w:rsidRPr="00256EAA">
        <w:rPr>
          <w:rFonts w:cs="Aptos"/>
          <w:sz w:val="22"/>
          <w:szCs w:val="22"/>
          <w:lang w:val="en-GB"/>
        </w:rPr>
        <w:instrText>°</w:instrText>
      </w:r>
      <w:r w:rsidR="00C56E81" w:rsidRPr="00256EAA">
        <w:rPr>
          <w:sz w:val="22"/>
          <w:szCs w:val="22"/>
          <w:lang w:val="en-GB"/>
        </w:rPr>
        <w:instrText>C), and suggests that benthic metazoans were able to thrive at temperatures of 35</w:instrText>
      </w:r>
      <w:r w:rsidR="00C56E81" w:rsidRPr="00256EAA">
        <w:rPr>
          <w:rFonts w:cs="Aptos"/>
          <w:sz w:val="22"/>
          <w:szCs w:val="22"/>
          <w:lang w:val="en-GB"/>
        </w:rPr>
        <w:instrText>–</w:instrText>
      </w:r>
      <w:r w:rsidR="00C56E81" w:rsidRPr="00256EAA">
        <w:rPr>
          <w:sz w:val="22"/>
          <w:szCs w:val="22"/>
          <w:lang w:val="en-GB"/>
        </w:rPr>
        <w:instrText>40</w:instrText>
      </w:r>
      <w:r w:rsidR="00C56E81" w:rsidRPr="00256EAA">
        <w:rPr>
          <w:rFonts w:ascii="Arial" w:hAnsi="Arial" w:cs="Arial"/>
          <w:sz w:val="22"/>
          <w:szCs w:val="22"/>
          <w:lang w:val="en-GB"/>
        </w:rPr>
        <w:instrText> </w:instrText>
      </w:r>
      <w:r w:rsidR="00C56E81" w:rsidRPr="00256EAA">
        <w:rPr>
          <w:rFonts w:cs="Aptos"/>
          <w:sz w:val="22"/>
          <w:szCs w:val="22"/>
          <w:lang w:val="en-GB"/>
        </w:rPr>
        <w:instrText>°</w:instrText>
      </w:r>
      <w:r w:rsidR="00C56E81" w:rsidRPr="00256EAA">
        <w:rPr>
          <w:sz w:val="22"/>
          <w:szCs w:val="22"/>
          <w:lang w:val="en-GB"/>
        </w:rPr>
        <w:instrText>C during intervals of the early and possibly the latest Paleozoic when CO2 levels were likely 5</w:instrText>
      </w:r>
      <w:r w:rsidR="00C56E81" w:rsidRPr="00256EAA">
        <w:rPr>
          <w:rFonts w:cs="Aptos"/>
          <w:sz w:val="22"/>
          <w:szCs w:val="22"/>
          <w:lang w:val="en-GB"/>
        </w:rPr>
        <w:instrText>–</w:instrText>
      </w:r>
      <w:r w:rsidR="00C56E81" w:rsidRPr="00256EAA">
        <w:rPr>
          <w:sz w:val="22"/>
          <w:szCs w:val="22"/>
          <w:lang w:val="en-GB"/>
        </w:rPr>
        <w:instrText>10</w:instrText>
      </w:r>
      <w:r w:rsidR="00C56E81" w:rsidRPr="00256EAA">
        <w:rPr>
          <w:rFonts w:cs="Aptos"/>
          <w:sz w:val="22"/>
          <w:szCs w:val="22"/>
          <w:lang w:val="en-GB"/>
        </w:rPr>
        <w:instrText>×</w:instrText>
      </w:r>
      <w:r w:rsidR="00C56E81" w:rsidRPr="00256EAA">
        <w:rPr>
          <w:sz w:val="22"/>
          <w:szCs w:val="22"/>
          <w:lang w:val="en-GB"/>
        </w:rPr>
        <w:instrText xml:space="preserve"> higher than present-day values. Equally important, there is no resolvable trend in seawater oxygen isotope ratios (</w:instrText>
      </w:r>
      <w:r w:rsidR="00C56E81" w:rsidRPr="00256EAA">
        <w:rPr>
          <w:rFonts w:cs="Aptos"/>
          <w:sz w:val="22"/>
          <w:szCs w:val="22"/>
          <w:lang w:val="en-GB"/>
        </w:rPr>
        <w:instrText>δ</w:instrText>
      </w:r>
      <w:r w:rsidR="00C56E81" w:rsidRPr="00256EAA">
        <w:rPr>
          <w:sz w:val="22"/>
          <w:szCs w:val="22"/>
          <w:lang w:val="en-GB"/>
        </w:rPr>
        <w:instrText xml:space="preserve">18O) over the past </w:instrText>
      </w:r>
      <w:r w:rsidR="00C56E81" w:rsidRPr="00256EAA">
        <w:rPr>
          <w:rFonts w:ascii="Cambria Math" w:hAnsi="Cambria Math" w:cs="Cambria Math"/>
          <w:sz w:val="22"/>
          <w:szCs w:val="22"/>
          <w:lang w:val="en-GB"/>
        </w:rPr>
        <w:instrText>∼</w:instrText>
      </w:r>
      <w:r w:rsidR="00C56E81" w:rsidRPr="00256EAA">
        <w:rPr>
          <w:sz w:val="22"/>
          <w:szCs w:val="22"/>
          <w:lang w:val="en-GB"/>
        </w:rPr>
        <w:instrText>500 million years, indicating that the average temperature of oxygen exchange between seawater and the oceanic crust has been high (</w:instrText>
      </w:r>
      <w:r w:rsidR="00C56E81" w:rsidRPr="00256EAA">
        <w:rPr>
          <w:rFonts w:ascii="Cambria Math" w:hAnsi="Cambria Math" w:cs="Cambria Math"/>
          <w:sz w:val="22"/>
          <w:szCs w:val="22"/>
          <w:lang w:val="en-GB"/>
        </w:rPr>
        <w:instrText>∼</w:instrText>
      </w:r>
      <w:r w:rsidR="00C56E81" w:rsidRPr="00256EAA">
        <w:rPr>
          <w:sz w:val="22"/>
          <w:szCs w:val="22"/>
          <w:lang w:val="en-GB"/>
        </w:rPr>
        <w:instrText>270</w:instrText>
      </w:r>
      <w:r w:rsidR="00C56E81" w:rsidRPr="00256EAA">
        <w:rPr>
          <w:rFonts w:ascii="Arial" w:hAnsi="Arial" w:cs="Arial"/>
          <w:sz w:val="22"/>
          <w:szCs w:val="22"/>
          <w:lang w:val="en-GB"/>
        </w:rPr>
        <w:instrText> </w:instrText>
      </w:r>
      <w:r w:rsidR="00C56E81" w:rsidRPr="00256EAA">
        <w:rPr>
          <w:rFonts w:cs="Aptos"/>
          <w:sz w:val="22"/>
          <w:szCs w:val="22"/>
          <w:lang w:val="en-GB"/>
        </w:rPr>
        <w:instrText>°</w:instrText>
      </w:r>
      <w:r w:rsidR="00C56E81" w:rsidRPr="00256EAA">
        <w:rPr>
          <w:sz w:val="22"/>
          <w:szCs w:val="22"/>
          <w:lang w:val="en-GB"/>
        </w:rPr>
        <w:instrText>C) since at least the early Paleozoic, which points to mid-ocean ridges as the dominant locus of water</w:instrText>
      </w:r>
      <w:r w:rsidR="00C56E81" w:rsidRPr="00256EAA">
        <w:rPr>
          <w:rFonts w:cs="Aptos"/>
          <w:sz w:val="22"/>
          <w:szCs w:val="22"/>
          <w:lang w:val="en-GB"/>
        </w:rPr>
        <w:instrText>–</w:instrText>
      </w:r>
      <w:r w:rsidR="00C56E81" w:rsidRPr="00256EAA">
        <w:rPr>
          <w:sz w:val="22"/>
          <w:szCs w:val="22"/>
          <w:lang w:val="en-GB"/>
        </w:rPr>
        <w:instrText xml:space="preserve">rock interaction over the past half-billion years.","container-title":"Earth and Planetary Science Letters","DOI":"10.1016/j.epsl.2018.02.001","ISSN":"0012-821X","journalAbbreviation":"Earth and Planetary Science Letters","page":"40-50","source":"ScienceDirect","title":"Temperature evolution and the oxygen isotope composition of Phanerozoic oceans from carbonate clumped isotope thermometry","volume":"490","author":[{"family":"Henkes","given":"Gregory A."},{"family":"Passey","given":"Benjamin H."},{"family":"Grossman","given":"Ethan L."},{"family":"Shenton","given":"Brock J."},{"family":"Yancey","given":"Thomas E."},{"family":"Pérez-Huerta","given":"Alberto"}],"issued":{"date-parts":[["2018",5,15]]}}},{"id":2443,"uris":["http://zotero.org/users/2470179/items/V98FHD25"],"itemData":{"id":2443,"type":"article-journal","container-title":"Geology","issue":"11","page":"1027–1030","source":"Google Scholar","title":"Early Permian seasonality from bivalve δ18O and implications for the oxygen isotopic composition of seawater","volume":"38","author":[{"family":"Ivany","given":"L. C."},{"family":"Runnegar","given":"B."}],"issued":{"date-parts":[["2010"]]}}},{"id":1795,"uris":["http://zotero.org/users/2470179/items/3UJUSEXC"],"itemData":{"id":1795,"type":"article-journal","abstract":"Lithiotids are enigmatic, large-sized bivalves that formed an important biotic component of tropical shallow marine environments during the Early Jurassic. Lithiotis problematica and Cochlearites loppianus are the most peculiar lithiotids, characterized by stick-like shells of predominantly aragonite which is generally calcitized or replaced by sparry calcite. Uniquely preserved specimens of these two species from the upper Sinemurian-Pliensbachian (Lower Jurassic) Rotzo Formation (Trento Platform, northern Italy), containing large parts of pristine shell (based on SEM, cathodoluminescence, and μXRF analysis), were selected for a sclerochronological and sclerochemical study, allowing to describe in detail the lithiotid microstructures, to decipher seasonal patterns and to investigate their functional and paleoenvironmental significance. We show that the outer shell layer of lithiotids, rarely preserved, consists of a calcitic simple prismatic microstructure with an asymmetrical thickness between the two valves, whereas the inner layer is aragonitic and is mainly composed of a fibrous irregular spherulitic prismatic fabric, which allowed a very fast shell growth. The latter microstructure is currently unknown in other mollusc shells. We recognized diurnal, fortnightly and annual growth increments, documenting a maximum annual growth of about 25 mm/yr in ventral direction. Stable isotopes show a clear annual periodicity suggesting seasonal changes in the paleoenvironment, which also affected the shell microstructures. During the warm season, first-order prisms are very elongated and show a massive structure without growth breaks, whereas during the cold season prisms are short and with growth cessations. Our results highlight the unique adaptation of lithiotid bivalves that allowed them to dominate the tropical shelf seas during the Early Jurassic.","container-title":"Palaeogeography, Palaeoclimatology, Palaeoecology","DOI":"10.1016/j.palaeo.2022.111162","ISSN":"0031-0182","journalAbbreviation":"Palaeogeography, Palaeoclimatology, Palaeoecology","language":"en","page":"111162","source":"ScienceDirect","title":"Microstructures and sclerochronology of exquisitely preserved Lower Jurassic lithiotid bivalves: Paleobiological and paleoclimatic significance","title-short":"Microstructures and sclerochronology of exquisitely preserved Lower Jurassic lithiotid bivalves","volume":"602","author":[{"family":"Posenato","given":"Renato"},{"family":"Crippa","given":"Gaia"},{"family":"Winter","given":"Niels J.","non-dropping-particle":"de"},{"family":"Frijia","given":"Gianluca"},{"family":"Kaskes","given":"Pim"}],"issued":{"date-parts":[["2022",9,15]]}}},{"id":2676,"uris":["http://zotero.org/users/2470179/items/X23LPNQ7"],"itemData":{"id":2676,"type":"article-journal","abstract":"Geochemical proxy records from calcite shells of bivalves constitute an important archive for the reconstruction of palaeoenvironmental conditions on sub-annual timescales. However, the incorporation of these trace element and stable isotope proxies into the shell is influenced by a multitude of physiological and environmental factors that need to be disentangled to enable reliable reconstruction of palaeoclimate and palaeoenvironment. In this study, records of multiple proxies in three bivalve taxa from the same late Campanian locality in Oman are used to study the expression of various geochemical proxies in relation to each other and to the palaeoenvironment. Micro-X-Ray Fluorescence mapping allows the localization, discussion and evasion of diagenetically altered parts of the fossil shells. X-Ray Fluorescence line scanning calibrated with Laser Ablation Inductively Coupled Plasma Mass Spectrometry is used to measure trace element profiles through well-preserved calcitic parts of the shells. Records of stable carbon and oxygen isotope ratios of shell calcite are combined with these high-resolution trace element concentration profiles to study sub-annual variations in shell chemistry and reconstruct changes in the palaeoenvironment of the bivalves on a seasonal scale. Spectral analysis routines are used to detect cyclicity in stable isotope (δ18O and δ13C) and trace element (Mg/Ca, Sr/Ca, S/Ca and Zn/Ca) records. Differences in seasonal expression between these chemical proxies and between individual shells are discussed in terms of the relative influence of palaeoenvironment and potential species-specific physiological effects. Stable oxygen isotope ratios between shells suggest a local palaeotemperature seasonality of 8°C around an annual mean of 28°C, with the shell of the rudistid Torreites sanchezi milovanovici yielding slightly higher average temperatures. The discussion of the application of various Mg/Ca palaeotemperature calibrations on Mg/Ca records in these bivalve species emphasizes the complexity of using trace element proxies in extinct bivalve species. It shows that long-term changes in Mg/Ca ratios in ocean water need to be taken into account and that Mg/Ca ratios in bivalves might be influenced by vital effects. Sr/Ca and S/Ca ratios in these fossil taxa are likely controlled by growth and metabolic rates of the shell, although an influence of local salinity on strontium-to-calcium ratios cannot be excluded. Sub-annual variations in zinc concentrations in shell calcite may reflect seasonal variations in palaeoproductivity and redox conditions in the water column.","container-title":"Palaeogeography, Palaeoclimatology, Palaeoecology","DOI":"10.1016/j.palaeo.2017.07.031","ISSN":"0031-0182","journalAbbreviation":"Palaeogeography, Palaeoclimatology, Palaeoecology","page":"740-760","source":"ScienceDirect","title":"Tropical seasonality in the late Campanian (late Cretaceous): Comparison between multiproxy records from three bivalve taxa from Oman","title-short":"Tropical seasonality in the late Campanian (late Cretaceous)","volume":"485","author":[{"family":"Winter","given":"Niels J.","non-dropping-particle":"de"},{"family":"Goderis","given":"Steven"},{"family":"Dehairs","given":"Frank"},{"family":"Jagt","given":"John W. M."},{"family":"Fraaije","given":"René H. B."},{"family":"Van Malderen","given":"Stijn J. M."},{"family":"Vanhaecke","given":"Frank"},{"family":"Claeys","given":"Philippe"}],"issued":{"date-parts":[["2017",11,1]]}}}],"schema":"https://github.com/citation-style-language/schema/raw/master/csl-citation.json"} </w:instrText>
      </w:r>
      <w:r w:rsidR="003F32EB" w:rsidRPr="00256EAA">
        <w:rPr>
          <w:sz w:val="22"/>
          <w:szCs w:val="22"/>
          <w:lang w:val="en-GB"/>
        </w:rPr>
        <w:fldChar w:fldCharType="separate"/>
      </w:r>
      <w:r w:rsidR="00C56E81" w:rsidRPr="00256EAA">
        <w:rPr>
          <w:sz w:val="22"/>
          <w:szCs w:val="22"/>
        </w:rPr>
        <w:t>(Alberti et al., 2017; Henkes et al., 2018; Ivany and Runnegar, 2010; Posenato et al., 2022; de Winter et al., 2017)</w:t>
      </w:r>
      <w:r w:rsidR="003F32EB" w:rsidRPr="00256EAA">
        <w:rPr>
          <w:sz w:val="22"/>
          <w:szCs w:val="22"/>
          <w:lang w:val="en-GB"/>
        </w:rPr>
        <w:fldChar w:fldCharType="end"/>
      </w:r>
      <w:r w:rsidR="003F32EB" w:rsidRPr="00256EAA">
        <w:rPr>
          <w:sz w:val="22"/>
          <w:szCs w:val="22"/>
          <w:lang w:val="en-GB"/>
        </w:rPr>
        <w:t>.</w:t>
      </w:r>
      <w:r w:rsidR="007A06F2" w:rsidRPr="00256EAA">
        <w:rPr>
          <w:sz w:val="22"/>
          <w:szCs w:val="22"/>
          <w:lang w:val="en-GB"/>
        </w:rPr>
        <w:t xml:space="preserve"> As such, the application of </w:t>
      </w:r>
      <w:proofErr w:type="spellStart"/>
      <w:r w:rsidR="007A06F2" w:rsidRPr="00256EAA">
        <w:rPr>
          <w:sz w:val="22"/>
          <w:szCs w:val="22"/>
          <w:lang w:val="en-GB"/>
        </w:rPr>
        <w:t>sclerochronology</w:t>
      </w:r>
      <w:proofErr w:type="spellEnd"/>
      <w:r w:rsidR="007A06F2" w:rsidRPr="00256EAA">
        <w:rPr>
          <w:sz w:val="22"/>
          <w:szCs w:val="22"/>
          <w:lang w:val="en-GB"/>
        </w:rPr>
        <w:t>, the study of incrementally growing carbonate archives, on deep time fossils has gained increased attention in recent years.</w:t>
      </w:r>
      <w:r w:rsidR="00C56E81" w:rsidRPr="00256EAA">
        <w:rPr>
          <w:sz w:val="22"/>
          <w:szCs w:val="22"/>
          <w:lang w:val="en-GB"/>
        </w:rPr>
        <w:t xml:space="preserve"> Additionally, development of the “clumped isotope” proxy on fossil mollusc shells overcomes inherent bias in carbonate-based temperature reconstructions, which predominantly rely on oxygen isotope </w:t>
      </w:r>
      <w:proofErr w:type="spellStart"/>
      <w:r w:rsidR="00C56E81" w:rsidRPr="00256EAA">
        <w:rPr>
          <w:sz w:val="22"/>
          <w:szCs w:val="22"/>
          <w:lang w:val="en-GB"/>
        </w:rPr>
        <w:t>paleothermometry</w:t>
      </w:r>
      <w:proofErr w:type="spellEnd"/>
      <w:r w:rsidR="00C56E81" w:rsidRPr="00256EAA">
        <w:rPr>
          <w:sz w:val="22"/>
          <w:szCs w:val="22"/>
          <w:lang w:val="en-GB"/>
        </w:rPr>
        <w:t xml:space="preserve">, by resolving seasonal temperature variability independent from assumptions of the isotopic composition of water in ancient oceans </w:t>
      </w:r>
      <w:r w:rsidR="00C56E81" w:rsidRPr="00256EAA">
        <w:rPr>
          <w:sz w:val="22"/>
          <w:szCs w:val="22"/>
          <w:lang w:val="en-GB"/>
        </w:rPr>
        <w:fldChar w:fldCharType="begin"/>
      </w:r>
      <w:r w:rsidR="00C56E81" w:rsidRPr="00256EAA">
        <w:rPr>
          <w:sz w:val="22"/>
          <w:szCs w:val="22"/>
          <w:lang w:val="en-GB"/>
        </w:rPr>
        <w:instrText xml:space="preserve"> ADDIN ZOTERO_ITEM CSL_CITATION {"citationID":"uUA400CU","properties":{"formattedCitation":"(Caldarescu et al., 2021; Henkes et al., 2018; Meckler et al., 2022; de Winter et al., 2021, 2022)","plainCitation":"(Caldarescu et al., 2021; Henkes et al., 2018; Meckler et al., 2022; de Winter et al., 2021, 2022)","noteIndex":0},"citationItems":[{"id":2059,"uris":["http://zotero.org/users/2470179/items/6WKC9THA"],"itemData":{"id":2059,"type":"article-journal","abstract":"Carbonate clumped isotope thermometry is a powerful tool for reconstructing paleotemperature and paleosalinity. Despite its broad application in biotic and abiotic materials, its use in paleoclimate studies has been limited due to the large amount of material and high precision required for each temperature estimate. In addition, it is still uncertain to what extent the clumped isotope signal is modified during calcification in various organisms. Using an analytical approach that minimizes sample size, we analysed clumped isotopes (Δ47) in two bivalve shells from the upwelling-dominated Gulf of Panama to reconstruct seasonal temperature and salinity variations. Using the high-resolution profiles in δ18Oshell, we grouped Δ47 measurements into several intervals to obtain robust average temperature estimates. The reconstructed temperatures agree with available observational data at the 95% confidence level, reflecting seasonal temperature changes of at least </w:instrText>
      </w:r>
      <w:r w:rsidR="00C56E81" w:rsidRPr="00256EAA">
        <w:rPr>
          <w:rFonts w:ascii="Cambria Math" w:hAnsi="Cambria Math" w:cs="Cambria Math"/>
          <w:sz w:val="22"/>
          <w:szCs w:val="22"/>
          <w:lang w:val="en-GB"/>
        </w:rPr>
        <w:instrText>∼</w:instrText>
      </w:r>
      <w:r w:rsidR="00C56E81" w:rsidRPr="00256EAA">
        <w:rPr>
          <w:sz w:val="22"/>
          <w:szCs w:val="22"/>
          <w:lang w:val="en-GB"/>
        </w:rPr>
        <w:instrText>6</w:instrText>
      </w:r>
      <w:r w:rsidR="00C56E81" w:rsidRPr="00256EAA">
        <w:rPr>
          <w:rFonts w:ascii="Arial" w:hAnsi="Arial" w:cs="Arial"/>
          <w:sz w:val="22"/>
          <w:szCs w:val="22"/>
          <w:lang w:val="en-GB"/>
        </w:rPr>
        <w:instrText> </w:instrText>
      </w:r>
      <w:r w:rsidR="00C56E81" w:rsidRPr="00256EAA">
        <w:rPr>
          <w:rFonts w:cs="Aptos"/>
          <w:sz w:val="22"/>
          <w:szCs w:val="22"/>
          <w:lang w:val="en-GB"/>
        </w:rPr>
        <w:instrText>°</w:instrText>
      </w:r>
      <w:r w:rsidR="00C56E81" w:rsidRPr="00256EAA">
        <w:rPr>
          <w:sz w:val="22"/>
          <w:szCs w:val="22"/>
          <w:lang w:val="en-GB"/>
        </w:rPr>
        <w:instrText xml:space="preserve">C. By combining bivalve </w:instrText>
      </w:r>
      <w:r w:rsidR="00C56E81" w:rsidRPr="00256EAA">
        <w:rPr>
          <w:rFonts w:cs="Aptos"/>
          <w:sz w:val="22"/>
          <w:szCs w:val="22"/>
          <w:lang w:val="en-GB"/>
        </w:rPr>
        <w:instrText>δ</w:instrText>
      </w:r>
      <w:r w:rsidR="00C56E81" w:rsidRPr="00256EAA">
        <w:rPr>
          <w:sz w:val="22"/>
          <w:szCs w:val="22"/>
          <w:lang w:val="en-GB"/>
        </w:rPr>
        <w:instrText xml:space="preserve">18Oshell and </w:instrText>
      </w:r>
      <w:r w:rsidR="00C56E81" w:rsidRPr="00256EAA">
        <w:rPr>
          <w:rFonts w:cs="Aptos"/>
          <w:sz w:val="22"/>
          <w:szCs w:val="22"/>
          <w:lang w:val="en-GB"/>
        </w:rPr>
        <w:instrText>Δ</w:instrText>
      </w:r>
      <w:r w:rsidR="00C56E81" w:rsidRPr="00256EAA">
        <w:rPr>
          <w:sz w:val="22"/>
          <w:szCs w:val="22"/>
          <w:lang w:val="en-GB"/>
        </w:rPr>
        <w:instrText xml:space="preserve">47-based temperatures, we obtain realistic estimates of seasonal </w:instrText>
      </w:r>
      <w:r w:rsidR="00C56E81" w:rsidRPr="00256EAA">
        <w:rPr>
          <w:rFonts w:cs="Aptos"/>
          <w:sz w:val="22"/>
          <w:szCs w:val="22"/>
          <w:lang w:val="en-GB"/>
        </w:rPr>
        <w:instrText>δ</w:instrText>
      </w:r>
      <w:r w:rsidR="00C56E81" w:rsidRPr="00256EAA">
        <w:rPr>
          <w:sz w:val="22"/>
          <w:szCs w:val="22"/>
          <w:lang w:val="en-GB"/>
        </w:rPr>
        <w:instrText>18Oseawater and salinity changes. Our results suggest that clumped isotopes in bivalve shells can be used for seasonal temperature reconstructions and for disentangling the temperature and δ18Oseawater signals in δ18Oshell variations.","container-title":"Geochimica et Cosmochimica Acta","DOI":"10.1016/j.gca.2020.11.019","ISSN":"0016-7037","journalAbbreviation":"Geochimica et Cosmochimica Acta","language":"en","page":"174-191","source":"ScienceDirect","title":"Clumped isotope thermometry in bivalve shells: A tool for reconstructing seasonal upwelling","title-short":"Clumped isotope thermometry in bivalve shells","volume":"294","author":[{"family":"Caldarescu","given":"Diana E."},{"family":"Sadatzki","given":"Henrik"},{"family":"Andersson","given":"Carin"},{"family":"Schäfer","given":"Priska"},{"family":"Fortunato","given":"Helena"},{"family":"Meckler","given":"A. Nele"}],"issued":{"date-parts":[["2021",2,1]]}}},{"id":2468,"uris":["http://zotero.org/users/2470179/items/HUMCCTPZ"],"itemData":{"id":2468,"type":"article-journal","abstract":"Surface temperature is among the most important parameters describing planetary climate and habitability, and yet there remains considerable debate about the temperature evolution of the Earth's oceans during the Phanerozoic Eon (541 million years ago to present), the time during which complex metazoan life radiated on Earth. Here we critically assess the emerging record of Phanerozoic ocean temperatures based on carbonate clumped isotope thermometry of fossil brachiopod and mollusk shells, and we present new data that fill important gaps in the Late Paleozoic record. We evaluate and reject the hypothesis that solid-state reordering of 13C–18O bonds has destroyed the primary clumped isotope temperature signal of most fossils during sedimentary burial at elevated temperatures. The resulting Phanerozoic record, which shows a general coupling between tropical seawater temperatures and atmospheric carbon dioxide (CO2) levels since the Paleozoic, indicates that tropical temperatures during the icehouse climate of the Carboniferous period were broadly similar to present (</w:instrText>
      </w:r>
      <w:r w:rsidR="00C56E81" w:rsidRPr="00256EAA">
        <w:rPr>
          <w:rFonts w:ascii="Cambria Math" w:hAnsi="Cambria Math" w:cs="Cambria Math"/>
          <w:sz w:val="22"/>
          <w:szCs w:val="22"/>
          <w:lang w:val="en-GB"/>
        </w:rPr>
        <w:instrText>∼</w:instrText>
      </w:r>
      <w:r w:rsidR="00C56E81" w:rsidRPr="00256EAA">
        <w:rPr>
          <w:sz w:val="22"/>
          <w:szCs w:val="22"/>
          <w:lang w:val="en-GB"/>
        </w:rPr>
        <w:instrText>25</w:instrText>
      </w:r>
      <w:r w:rsidR="00C56E81" w:rsidRPr="00256EAA">
        <w:rPr>
          <w:rFonts w:cs="Aptos"/>
          <w:sz w:val="22"/>
          <w:szCs w:val="22"/>
          <w:lang w:val="en-GB"/>
        </w:rPr>
        <w:instrText>–</w:instrText>
      </w:r>
      <w:r w:rsidR="00C56E81" w:rsidRPr="00256EAA">
        <w:rPr>
          <w:sz w:val="22"/>
          <w:szCs w:val="22"/>
          <w:lang w:val="en-GB"/>
        </w:rPr>
        <w:instrText>30</w:instrText>
      </w:r>
      <w:r w:rsidR="00C56E81" w:rsidRPr="00256EAA">
        <w:rPr>
          <w:rFonts w:ascii="Arial" w:hAnsi="Arial" w:cs="Arial"/>
          <w:sz w:val="22"/>
          <w:szCs w:val="22"/>
          <w:lang w:val="en-GB"/>
        </w:rPr>
        <w:instrText> </w:instrText>
      </w:r>
      <w:r w:rsidR="00C56E81" w:rsidRPr="00256EAA">
        <w:rPr>
          <w:rFonts w:cs="Aptos"/>
          <w:sz w:val="22"/>
          <w:szCs w:val="22"/>
          <w:lang w:val="en-GB"/>
        </w:rPr>
        <w:instrText>°</w:instrText>
      </w:r>
      <w:r w:rsidR="00C56E81" w:rsidRPr="00256EAA">
        <w:rPr>
          <w:sz w:val="22"/>
          <w:szCs w:val="22"/>
          <w:lang w:val="en-GB"/>
        </w:rPr>
        <w:instrText>C), and suggests that benthic metazoans were able to thrive at temperatures of 35–40</w:instrText>
      </w:r>
      <w:r w:rsidR="00C56E81" w:rsidRPr="00256EAA">
        <w:rPr>
          <w:rFonts w:ascii="Arial" w:hAnsi="Arial" w:cs="Arial"/>
          <w:sz w:val="22"/>
          <w:szCs w:val="22"/>
          <w:lang w:val="en-GB"/>
        </w:rPr>
        <w:instrText> </w:instrText>
      </w:r>
      <w:r w:rsidR="00C56E81" w:rsidRPr="00256EAA">
        <w:rPr>
          <w:rFonts w:cs="Aptos"/>
          <w:sz w:val="22"/>
          <w:szCs w:val="22"/>
          <w:lang w:val="en-GB"/>
        </w:rPr>
        <w:instrText>°</w:instrText>
      </w:r>
      <w:r w:rsidR="00C56E81" w:rsidRPr="00256EAA">
        <w:rPr>
          <w:sz w:val="22"/>
          <w:szCs w:val="22"/>
          <w:lang w:val="en-GB"/>
        </w:rPr>
        <w:instrText>C during intervals of the early and possibly the latest Paleozoic when CO2 levels were likely 5</w:instrText>
      </w:r>
      <w:r w:rsidR="00C56E81" w:rsidRPr="00256EAA">
        <w:rPr>
          <w:rFonts w:cs="Aptos"/>
          <w:sz w:val="22"/>
          <w:szCs w:val="22"/>
          <w:lang w:val="en-GB"/>
        </w:rPr>
        <w:instrText>–</w:instrText>
      </w:r>
      <w:r w:rsidR="00C56E81" w:rsidRPr="00256EAA">
        <w:rPr>
          <w:sz w:val="22"/>
          <w:szCs w:val="22"/>
          <w:lang w:val="en-GB"/>
        </w:rPr>
        <w:instrText>10</w:instrText>
      </w:r>
      <w:r w:rsidR="00C56E81" w:rsidRPr="00256EAA">
        <w:rPr>
          <w:rFonts w:cs="Aptos"/>
          <w:sz w:val="22"/>
          <w:szCs w:val="22"/>
          <w:lang w:val="en-GB"/>
        </w:rPr>
        <w:instrText>×</w:instrText>
      </w:r>
      <w:r w:rsidR="00C56E81" w:rsidRPr="00256EAA">
        <w:rPr>
          <w:sz w:val="22"/>
          <w:szCs w:val="22"/>
          <w:lang w:val="en-GB"/>
        </w:rPr>
        <w:instrText xml:space="preserve"> higher than present-day values. Equally important, there is no resolvable trend in seawater oxygen isotope ratios (</w:instrText>
      </w:r>
      <w:r w:rsidR="00C56E81" w:rsidRPr="00256EAA">
        <w:rPr>
          <w:rFonts w:cs="Aptos"/>
          <w:sz w:val="22"/>
          <w:szCs w:val="22"/>
          <w:lang w:val="en-GB"/>
        </w:rPr>
        <w:instrText>δ</w:instrText>
      </w:r>
      <w:r w:rsidR="00C56E81" w:rsidRPr="00256EAA">
        <w:rPr>
          <w:sz w:val="22"/>
          <w:szCs w:val="22"/>
          <w:lang w:val="en-GB"/>
        </w:rPr>
        <w:instrText xml:space="preserve">18O) over the past </w:instrText>
      </w:r>
      <w:r w:rsidR="00C56E81" w:rsidRPr="00256EAA">
        <w:rPr>
          <w:rFonts w:ascii="Cambria Math" w:hAnsi="Cambria Math" w:cs="Cambria Math"/>
          <w:sz w:val="22"/>
          <w:szCs w:val="22"/>
          <w:lang w:val="en-GB"/>
        </w:rPr>
        <w:instrText>∼</w:instrText>
      </w:r>
      <w:r w:rsidR="00C56E81" w:rsidRPr="00256EAA">
        <w:rPr>
          <w:sz w:val="22"/>
          <w:szCs w:val="22"/>
          <w:lang w:val="en-GB"/>
        </w:rPr>
        <w:instrText>500 million years, indicating that the average temperature of oxygen exchange between seawater and the oceanic crust has been high (</w:instrText>
      </w:r>
      <w:r w:rsidR="00C56E81" w:rsidRPr="00256EAA">
        <w:rPr>
          <w:rFonts w:ascii="Cambria Math" w:hAnsi="Cambria Math" w:cs="Cambria Math"/>
          <w:sz w:val="22"/>
          <w:szCs w:val="22"/>
          <w:lang w:val="en-GB"/>
        </w:rPr>
        <w:instrText>∼</w:instrText>
      </w:r>
      <w:r w:rsidR="00C56E81" w:rsidRPr="00256EAA">
        <w:rPr>
          <w:sz w:val="22"/>
          <w:szCs w:val="22"/>
          <w:lang w:val="en-GB"/>
        </w:rPr>
        <w:instrText>270</w:instrText>
      </w:r>
      <w:r w:rsidR="00C56E81" w:rsidRPr="00256EAA">
        <w:rPr>
          <w:rFonts w:ascii="Arial" w:hAnsi="Arial" w:cs="Arial"/>
          <w:sz w:val="22"/>
          <w:szCs w:val="22"/>
          <w:lang w:val="en-GB"/>
        </w:rPr>
        <w:instrText> </w:instrText>
      </w:r>
      <w:r w:rsidR="00C56E81" w:rsidRPr="00256EAA">
        <w:rPr>
          <w:rFonts w:cs="Aptos"/>
          <w:sz w:val="22"/>
          <w:szCs w:val="22"/>
          <w:lang w:val="en-GB"/>
        </w:rPr>
        <w:instrText>°</w:instrText>
      </w:r>
      <w:r w:rsidR="00C56E81" w:rsidRPr="00256EAA">
        <w:rPr>
          <w:sz w:val="22"/>
          <w:szCs w:val="22"/>
          <w:lang w:val="en-GB"/>
        </w:rPr>
        <w:instrText>C) since at least the early Paleozoic, which points to mid-ocean ridges as the dominant locus of water–rock interaction over the past half-billion years.","container-title":"Earth and Planetary Science Letters","DOI":"10.1016/j.epsl.2018.02.001","ISSN":"0012-821X","journalAbbreviation":"Earth and Planetary Science Letters","page":"40-50","source":"ScienceDirect","title":"Temperature evolution and the oxygen isotope composition of Phanerozoic oceans from carbonate clumped isotope thermometry","volume":"490","author":[{"family":"Henkes","given":"Gregory A."},{"family":"Passey","given":"Benjamin H."},{"family":"Grossman","given":"Ethan L."},{"family":"Shenton","given":"Brock J."},{"family":"Yancey","given":"Thomas E."},{"family":"Pérez-Huerta","given":"Alberto"}],"issued":{"date-parts":[["2018",5,15]]}}},{"id":1827,"uris":["http://zotero.org/users/2470179/items/JI3AB9CT"],"itemData":{"id":1827,"type":"article-journal","container-title":"Science","DOI":"10.1126/science.abk0604","issue":"6601","note":"publisher: American Association for the Advancement of Science","page":"86-90","source":"science.org (Atypon)","title":"Cenozoic evolution of deep ocean temperature from clumped isotope thermometry","volume":"377","author":[{"family":"Meckler","given":"A. N."},{"family":"Sexton","given":"P. F."},{"family":"Piasecki","given":"A. M."},{"family":"Leutert","given":"T. J."},{"family":"Marquardt","given":"J."},{"family":"Ziegler","given":"M."},{"family":"Agterhuis","given":"T."},{"family":"Lourens","given":"L. J."},{"family":"Rae","given":"J. W. B."},{"family":"Barnet","given":"J."},{"family":"Tripati","given":"A."},{"family":"Bernasconi","given":"S. M."}],"issued":{"date-parts":[["2022",7]]}}},{"id":2680,"uris":["http://zotero.org/users/2470179/items/HR649PES"],"itemData":{"id":2680,"type":"article-journal","abstract":"Seasonal variability in sea surface temperatures plays a fundamental role in climate dynamics and species distribution. Seasonal bias can also severely compromise the accuracy of mean annual temperature reconstructions. It is therefore essential to better understand seasonal variability in climates of the past. Many reconstructions of climate in deep time neglect this issue and rely on controversial assumptions, such as estimates of sea water oxygen isotope composition. Here we present absolute seasonal temperature reconstructions based on clumped isotope measurements in bivalve shells which, critically, do not rely on these assumptions. We reconstruct highly precise monthly sea surface temperatures at around 50 °N latitude from individual oyster and rudist shells of the Campanian greenhouse period about 78 million years ago, when the seasonal range at 50 °N comprised 15 to 27</w:instrText>
      </w:r>
      <w:r w:rsidR="00C56E81" w:rsidRPr="00256EAA">
        <w:rPr>
          <w:rFonts w:ascii="Arial" w:hAnsi="Arial" w:cs="Arial"/>
          <w:sz w:val="22"/>
          <w:szCs w:val="22"/>
          <w:lang w:val="en-GB"/>
        </w:rPr>
        <w:instrText> </w:instrText>
      </w:r>
      <w:r w:rsidR="00C56E81" w:rsidRPr="00256EAA">
        <w:rPr>
          <w:rFonts w:cs="Aptos"/>
          <w:sz w:val="22"/>
          <w:szCs w:val="22"/>
          <w:lang w:val="en-GB"/>
        </w:rPr>
        <w:instrText>°</w:instrText>
      </w:r>
      <w:r w:rsidR="00C56E81" w:rsidRPr="00256EAA">
        <w:rPr>
          <w:sz w:val="22"/>
          <w:szCs w:val="22"/>
          <w:lang w:val="en-GB"/>
        </w:rPr>
        <w:instrText>C. In agreement with fully coupled climate model simulations, we find that greenhouse climates outside the tropics were warmer and more seasonal than previously thought. We conclude that seasonal bias and assumptions about seawater composition can distort temperature reconstructions and our understanding of past greenhouse climates.","container-title":"Communications Earth &amp; Environment","DOI":"10.1038/s43247-021-00193-9","ISSN":"2662-4435","issue":"1","journalAbbreviation":"Commun Earth Environ","language":"en","license":"2021 The Author(s)","note":"number: 1\npublisher: Nature Publishing Group","page":"1-8","source":"www.nature.com","title":"Absolute seasonal temperature estimates from clumped isotopes in bivalve shells suggest warm and variable greenhouse climate","volume":"2","author":[{"family":"Winter","given":"Niels J.","non-dropping-particle":"de"},{"family":"Müller","given":"Inigo A."},{"family":"Kocken","given":"Ilja J."},{"family":"Thibault","given":"Nicolas"},{"family":"Ullmann","given":"Clemens V."},{"family":"Farnsworth","given":"Alex"},{"family":"Lunt","given":"Daniel J."},{"family":"Claeys","given":"Philippe"},{"family":"Ziegler","given":"Martin"}],"issued":{"date-parts":[["2021",6,10]]}}},{"id":2533,"uris":["http://zotero.org/users/2470179/items/J9HGW7NP"],"itemData":{"id":2533,"type":"article-journal","abstract":"Clumped isotope thermometry can independently constrain the formation temperatures of carbonates, but a lack of precisely temperature-controlled calibration samples limits its application on aragonites. To address this issue, we present clumped isotope compositions of aragonitic bivalve shells grown under highly controlled temperatures (1–18°C), which we combine with clumped isotope data from natural and synthetic aragonites from a wide range</w:instrText>
      </w:r>
      <w:r w:rsidR="00C56E81" w:rsidRPr="00256EAA">
        <w:rPr>
          <w:sz w:val="22"/>
          <w:szCs w:val="22"/>
          <w:lang w:val="nl-NL"/>
        </w:rPr>
        <w:instrText xml:space="preserve"> of temperatures (1–850°C). We observe no discernible offset in clumped isotope values between aragonitic foraminifera, mollusks, and abiogenic aragonites or between aragonites and calcites, eliminating the need for a mineral-specific calibration or acid fractionation factor. However, due to non-linear behavior of the clumped isotope thermometer, including high-temperature (&gt;100°C) datapoints in linear clumped isotope calibrations causes them to underestimate temperatures of cold (1–18°C) carbonates by 2.7 ± 2.0°C (95% confidence level). Therefore, clumped isotope-based paleoclimate reconstructions should be calibrated using samples with well constrained formation temperatures close to those of the samples.","container-title":"Geophysical Research Letters","DOI":"10.1029/2022GL099479","ISSN":"1944-8007","issue":"20","language":"en","note":"_eprint: https://onlinelibrary.wiley.com/doi/pdf/10.1029/2022GL099479","page":"e2022GL099479","source":"Wiley Online Library","title":"Temperature Dependence of Clumped Isotopes (∆47) in Aragonite","volume":"49","author":[{"family":"Winter","given":"Niels J.","non-dropping-particle":"de"},{"family":"Witbaard","given":"Rob"},{"family":"Kocken","given":"Ilja J."},{"family":"Müller","given":"Inigo A."},{"family":"Guo","given":"Jingjing"},{"family":"Goudsmit","given":"Barbara"},{"family":"Ziegler","given":"Martin"}],"issued":{"date-parts":[["2022"]]}}}],"schema":"https://github.com/citation-style-language/schema/raw/master/csl-citation.json"} </w:instrText>
      </w:r>
      <w:r w:rsidR="00C56E81" w:rsidRPr="00256EAA">
        <w:rPr>
          <w:sz w:val="22"/>
          <w:szCs w:val="22"/>
          <w:lang w:val="en-GB"/>
        </w:rPr>
        <w:fldChar w:fldCharType="separate"/>
      </w:r>
      <w:r w:rsidR="00C56E81" w:rsidRPr="00256EAA">
        <w:rPr>
          <w:sz w:val="22"/>
          <w:szCs w:val="22"/>
        </w:rPr>
        <w:t>(Caldarescu et al., 2021; Henkes et al., 2018; Meckler et al., 2022; de Winter et al., 2021, 2022)</w:t>
      </w:r>
      <w:r w:rsidR="00C56E81" w:rsidRPr="00256EAA">
        <w:rPr>
          <w:sz w:val="22"/>
          <w:szCs w:val="22"/>
          <w:lang w:val="en-GB"/>
        </w:rPr>
        <w:fldChar w:fldCharType="end"/>
      </w:r>
      <w:r w:rsidR="00C56E81" w:rsidRPr="00256EAA">
        <w:rPr>
          <w:sz w:val="22"/>
          <w:szCs w:val="22"/>
          <w:lang w:val="nl-NL"/>
        </w:rPr>
        <w:t>.</w:t>
      </w:r>
    </w:p>
    <w:p w14:paraId="35A5C3DB" w14:textId="3B7AB872" w:rsidR="00C56E81" w:rsidRPr="00256EAA" w:rsidRDefault="003F32EB" w:rsidP="00F4367D">
      <w:pPr>
        <w:jc w:val="both"/>
        <w:rPr>
          <w:sz w:val="22"/>
          <w:szCs w:val="22"/>
          <w:lang w:val="en-GB"/>
        </w:rPr>
      </w:pPr>
      <w:r w:rsidRPr="00256EAA">
        <w:rPr>
          <w:sz w:val="22"/>
          <w:szCs w:val="22"/>
          <w:lang w:val="en-GB"/>
        </w:rPr>
        <w:t xml:space="preserve">While </w:t>
      </w:r>
      <w:r w:rsidR="002E575F" w:rsidRPr="00256EAA">
        <w:rPr>
          <w:sz w:val="22"/>
          <w:szCs w:val="22"/>
          <w:lang w:val="en-GB"/>
        </w:rPr>
        <w:t>recent</w:t>
      </w:r>
      <w:r w:rsidRPr="00256EAA">
        <w:rPr>
          <w:sz w:val="22"/>
          <w:szCs w:val="22"/>
          <w:lang w:val="en-GB"/>
        </w:rPr>
        <w:t xml:space="preserve"> </w:t>
      </w:r>
      <w:proofErr w:type="spellStart"/>
      <w:r w:rsidRPr="00256EAA">
        <w:rPr>
          <w:sz w:val="22"/>
          <w:szCs w:val="22"/>
          <w:lang w:val="en-GB"/>
        </w:rPr>
        <w:t>paleoDA</w:t>
      </w:r>
      <w:proofErr w:type="spellEnd"/>
      <w:r w:rsidRPr="00256EAA">
        <w:rPr>
          <w:sz w:val="22"/>
          <w:szCs w:val="22"/>
          <w:lang w:val="en-GB"/>
        </w:rPr>
        <w:t xml:space="preserve"> studies ass</w:t>
      </w:r>
      <w:r w:rsidR="003E7FF0">
        <w:rPr>
          <w:sz w:val="22"/>
          <w:szCs w:val="22"/>
          <w:lang w:val="en-GB"/>
        </w:rPr>
        <w:t>imilate</w:t>
      </w:r>
      <w:r w:rsidRPr="00256EAA">
        <w:rPr>
          <w:sz w:val="22"/>
          <w:szCs w:val="22"/>
          <w:lang w:val="en-GB"/>
        </w:rPr>
        <w:t xml:space="preserve"> proxy and model information on seasonal to monthly scales </w:t>
      </w:r>
      <w:r w:rsidRPr="00256EAA">
        <w:rPr>
          <w:sz w:val="22"/>
          <w:szCs w:val="22"/>
          <w:lang w:val="en-GB"/>
        </w:rPr>
        <w:fldChar w:fldCharType="begin"/>
      </w:r>
      <w:r w:rsidR="002E575F" w:rsidRPr="00256EAA">
        <w:rPr>
          <w:sz w:val="22"/>
          <w:szCs w:val="22"/>
          <w:lang w:val="en-GB"/>
        </w:rPr>
        <w:instrText xml:space="preserve"> ADDIN ZOTERO_ITEM CSL_CITATION {"citationID":"NxjkMWqo","properties":{"formattedCitation":"(Franke et al., 2017; King et al., 2021)","plainCitation":"(Franke et al., 2017; King et al., 2021)","noteIndex":0},"citationItems":[{"id":11763,"uris":["http://zotero.org/users/2470179/items/3LWIR8FH"],"itemData":{"id":11763,"type":"article-journal","abstract":"Climatic variations at decadal scales such as phases of accelerated warming or weak monsoons have profound effects on society and economy. Studying these variations requires insights from the past. However, most current reconstructions provide either time series or fields of regional surface climate, which limit our understanding of the underlying dynamics. Here, we present the first monthly paleo-reanalysis covering the period 1600 to 2005. Over land, instrumental temperature and surface pressure observations, temperature indices derived from historical documents and climate sensitive tree-ring measurements were assimilated into an atmospheric general circulation model ensemble using a Kalman filtering technique. This data set combines the advantage of traditional reconstruction methods of being as close as possible to observations with the advantage of climate models of being physically consistent and having 3-dimensional information about the state of the atmosphere for various variables and at all points in time. In contrast to most statistical reconstructions, centennial variability stems from the climate model and its forcings, no stationarity assumptions are made and error estimates are provided.","container-title":"Scientific Data","DOI":"10.1038/sdata.2017.76","ISSN":"2052-4463","issue":"1","journalAbbreviation":"Sci Data","language":"en","license":"2017 The Author(s)","note":"publisher: Nature Publishing Group","page":"170076","source":"www-nature-com.vu-nl.idm.oclc.org","title":"A monthly global paleo-reanalysis of the atmosphere from 1600 to 2005 for studying past climatic variations","volume":"4","author":[{"family":"Franke","given":"Jörg"},{"family":"Brönnimann","given":"Stefan"},{"family":"Bhend","given":"Jonas"},{"family":"Brugnara","given":"Yuri"}],"issued":{"date-parts":[["2017",6,6]]}}},{"id":11761,"uris":["http://zotero.org/users/2470179/items/67YSVPHU"],"itemData":{"id":11761,"type":"article-journal","abstract":"We use the Northern Hemisphere Tree-Ring Network Development (NTREND) tree-ring database to examine the effects of using a small, highly sensitive proxy network for paleotemperature data assimilation over the last millennium. We first evaluate our methods using pseudoproxy experiments. These indicate that spatial assimilations using this network are skillful in the extratropical Northern Hemisphere and improve on previous NTREND reconstructions based on point-by-point regression. We also find our method is sensitive to climate model biases when the number of sites becomes small. Based on these experiments, we then assimilate the real NTREND network. To quantify model prior uncertainty, we produce 10 separate reconstructions, each assimilating a different climate model. These reconstructions are most dissimilar prior to 1100 CE, when the network becomes sparse, but show greater consistency as the network grows. Temporal variability is also underestimated before 1100 CE. Our assimilation method produces spatial uncertainty estimates, and these identify tree-line North America and eastern Siberia as regions that would most benefit from development of new millennial-length temperature-sensitive tree-ring records. We compare our multimodel mean reconstruction to five existing paleotemperature products to examine the range of reconstructed responses to radiative forcing. We find substantial differences in the spatial patterns and magnitudes of reconstructed responses to volcanic eruptions and in the transition between the Medieval epoch and Little Ice Age. These extant uncertainties call for the development of a paleoclimate reconstruction intercomparison framework for systematically examining the consequences of proxy network composition and reconstruction methodology and for continued expansion of tree-ring proxy networks.","DOI":"10.1175/JCLI-D-20-0661.1","language":"en","note":"section: Journal of Climate","source":"journals.ametsoc.org","title":"A Data Assimilation Approach to Last Millennium Temperature Field Reconstruction Using a Limited High-Sensitivity Proxy Network","URL":"https://journals.ametsoc.org/view/journals/clim/34/17/JCLI-D-20-0661.1.xml","author":[{"family":"King","given":"Jonathan M."},{"family":"Anchukaitis","given":"Kevin J."},{"family":"Tierney","given":"Jessica E."},{"family":"Hakim","given":"Gregory J."},{"family":"Emile-Geay","given":"Julien"},{"family":"Zhu","given":"Feng"},{"family":"Wilson","given":"Rob"}],"accessed":{"date-parts":[["2025",10,10]]},"issued":{"date-parts":[["2021",9,1]]}}}],"schema":"https://github.com/citation-style-language/schema/raw/master/csl-citation.json"} </w:instrText>
      </w:r>
      <w:r w:rsidRPr="00256EAA">
        <w:rPr>
          <w:sz w:val="22"/>
          <w:szCs w:val="22"/>
          <w:lang w:val="en-GB"/>
        </w:rPr>
        <w:fldChar w:fldCharType="separate"/>
      </w:r>
      <w:r w:rsidR="002E575F" w:rsidRPr="00256EAA">
        <w:rPr>
          <w:sz w:val="22"/>
          <w:szCs w:val="22"/>
        </w:rPr>
        <w:t>(Franke et al., 2017; King et al., 2021)</w:t>
      </w:r>
      <w:r w:rsidRPr="00256EAA">
        <w:rPr>
          <w:sz w:val="22"/>
          <w:szCs w:val="22"/>
          <w:lang w:val="en-GB"/>
        </w:rPr>
        <w:fldChar w:fldCharType="end"/>
      </w:r>
      <w:r w:rsidR="002E575F" w:rsidRPr="00256EAA">
        <w:rPr>
          <w:sz w:val="22"/>
          <w:szCs w:val="22"/>
          <w:lang w:val="en-GB"/>
        </w:rPr>
        <w:t xml:space="preserve">, seasonally-resolved proxy records have, to our knowledge, not yet been included in </w:t>
      </w:r>
      <w:proofErr w:type="spellStart"/>
      <w:r w:rsidR="002E575F" w:rsidRPr="00256EAA">
        <w:rPr>
          <w:sz w:val="22"/>
          <w:szCs w:val="22"/>
          <w:lang w:val="en-GB"/>
        </w:rPr>
        <w:t>paleoDA</w:t>
      </w:r>
      <w:proofErr w:type="spellEnd"/>
      <w:r w:rsidR="002E575F" w:rsidRPr="00256EAA">
        <w:rPr>
          <w:sz w:val="22"/>
          <w:szCs w:val="22"/>
          <w:lang w:val="en-GB"/>
        </w:rPr>
        <w:t xml:space="preserve"> studies. As a consequence, sub-annual scale variability in climate parameters is either not included in </w:t>
      </w:r>
      <w:proofErr w:type="spellStart"/>
      <w:r w:rsidR="002E575F" w:rsidRPr="00256EAA">
        <w:rPr>
          <w:sz w:val="22"/>
          <w:szCs w:val="22"/>
          <w:lang w:val="en-GB"/>
        </w:rPr>
        <w:t>paleoDA</w:t>
      </w:r>
      <w:proofErr w:type="spellEnd"/>
      <w:r w:rsidR="002E575F" w:rsidRPr="00256EAA">
        <w:rPr>
          <w:sz w:val="22"/>
          <w:szCs w:val="22"/>
          <w:lang w:val="en-GB"/>
        </w:rPr>
        <w:t xml:space="preserve"> products (e.g. </w:t>
      </w:r>
      <w:r w:rsidR="002E575F" w:rsidRPr="00256EAA">
        <w:rPr>
          <w:sz w:val="22"/>
          <w:szCs w:val="22"/>
          <w:lang w:val="en-GB"/>
        </w:rPr>
        <w:fldChar w:fldCharType="begin"/>
      </w:r>
      <w:r w:rsidR="002E575F" w:rsidRPr="00256EAA">
        <w:rPr>
          <w:sz w:val="22"/>
          <w:szCs w:val="22"/>
          <w:lang w:val="en-GB"/>
        </w:rPr>
        <w:instrText xml:space="preserve"> ADDIN ZOTERO_ITEM CSL_CITATION {"citationID":"L39mV1Ye","properties":{"formattedCitation":"(Judd et al., 2024; Osman et al., 2021)","plainCitation":"(Judd et al., 2024; Osman et al., 2021)","noteIndex":0},"citationItems":[{"id":7701,"uris":["http://zotero.org/users/2470179/items/M7EKCRHN"],"itemData":{"id":7701,"type":"article-journal","abstract":"A long-term record of global mean surface temperature (GMST) provides critical insight into the dynamical limits of Earth’s climate and the complex feedbacks between temperature and the broader Earth system. Here, we present PhanDA, a reconstruction of GMST over the past 485 million years, generated by statistically integrating proxy data with climate model simulations. PhanDA exhibits a large range of GMST, spanning 11° to 36°C. Partitioning the reconstruction into climate states indicates that more time was spent in warmer rather than colder climates and reveals consistent latitudinal temperature gradients within each state. There is a strong correlation between atmospheric carbon dioxide (CO2) concentrations and GMST, identifying CO2 as the dominant control on variations in Phanerozoic global climate and suggesting an apparent Earth system sensitivity of ~8°C.","container-title":"Science","DOI":"10.1126/science.adk3705","issue":"6715","note":"publisher: American Association for the Advancement of Science","page":"eadk3705","source":"science.org (Atypon)","title":"A 485-million-year history of Earth’s surface temperature","volume":"385","author":[{"family":"Judd","given":"Emily J."},{"family":"Tierney","given":"Jessica E."},{"family":"Lunt","given":"Daniel J."},{"family":"Montañez","given":"Isabel P."},{"family":"Huber","given":"Brian T."},{"family":"Wing","given":"Scott L."},{"family":"Valdes","given":"Paul J."}],"issued":{"date-parts":[["2024",9,20]]}}},{"id":2106,"uris":["http://zotero.org/users/2470179/items/PZFTZJ3P"],"itemData":{"id":2106,"type":"article-journal","abstract":"Climate changes across the past 24,000 years provide key insights into Earth system responses to external forcing. Climate model simulations1,2 and proxy data3–8 have independently allowed for study of this crucial interval; however, they have at times yielded disparate conclusions. Here, we leverage both types of information using paleoclimate data assimilation9,10 to produce the first proxy-constrained, full-field reanalysis of surface temperature change spanning the Last Glacial Maximum to present at 200-year resolution. We demonstrate that temperature variability across the past 24</w:instrText>
      </w:r>
      <w:r w:rsidR="002E575F" w:rsidRPr="00256EAA">
        <w:rPr>
          <w:rFonts w:ascii="Arial" w:hAnsi="Arial" w:cs="Arial"/>
          <w:sz w:val="22"/>
          <w:szCs w:val="22"/>
          <w:lang w:val="en-GB"/>
        </w:rPr>
        <w:instrText> </w:instrText>
      </w:r>
      <w:r w:rsidR="002E575F" w:rsidRPr="00256EAA">
        <w:rPr>
          <w:sz w:val="22"/>
          <w:szCs w:val="22"/>
          <w:lang w:val="en-GB"/>
        </w:rPr>
        <w:instrText>thousand years was linked to two primary climatic mechanisms: radiative forcing from ice sheets and greenhouse gases; and a superposition of changes in the ocean overturning circulation and seasonal insolation. In contrast with previous proxy-based reconstructions6,7 our results show that global mean temperature has slightly but steadily warmed, by ~0.5</w:instrText>
      </w:r>
      <w:r w:rsidR="002E575F" w:rsidRPr="00256EAA">
        <w:rPr>
          <w:rFonts w:ascii="Arial" w:hAnsi="Arial" w:cs="Arial"/>
          <w:sz w:val="22"/>
          <w:szCs w:val="22"/>
          <w:lang w:val="en-GB"/>
        </w:rPr>
        <w:instrText> </w:instrText>
      </w:r>
      <w:r w:rsidR="002E575F" w:rsidRPr="00256EAA">
        <w:rPr>
          <w:rFonts w:cs="Aptos"/>
          <w:sz w:val="22"/>
          <w:szCs w:val="22"/>
          <w:lang w:val="en-GB"/>
        </w:rPr>
        <w:instrText>°</w:instrText>
      </w:r>
      <w:r w:rsidR="002E575F" w:rsidRPr="00256EAA">
        <w:rPr>
          <w:sz w:val="22"/>
          <w:szCs w:val="22"/>
          <w:lang w:val="en-GB"/>
        </w:rPr>
        <w:instrText>C, since the early Holocene (around 9</w:instrText>
      </w:r>
      <w:r w:rsidR="002E575F" w:rsidRPr="00256EAA">
        <w:rPr>
          <w:rFonts w:cs="Aptos"/>
          <w:sz w:val="22"/>
          <w:szCs w:val="22"/>
          <w:lang w:val="en-GB"/>
        </w:rPr>
        <w:instrText> </w:instrText>
      </w:r>
      <w:r w:rsidR="002E575F" w:rsidRPr="00256EAA">
        <w:rPr>
          <w:sz w:val="22"/>
          <w:szCs w:val="22"/>
          <w:lang w:val="en-GB"/>
        </w:rPr>
        <w:instrText>thousand years ago). When compared with recent temperature changes11, our reanalysis indicates that both the rate and magnitude of modern warming are unusual relative to the changes of the past 24</w:instrText>
      </w:r>
      <w:r w:rsidR="002E575F" w:rsidRPr="00256EAA">
        <w:rPr>
          <w:rFonts w:cs="Aptos"/>
          <w:sz w:val="22"/>
          <w:szCs w:val="22"/>
          <w:lang w:val="en-GB"/>
        </w:rPr>
        <w:instrText> </w:instrText>
      </w:r>
      <w:r w:rsidR="002E575F" w:rsidRPr="00256EAA">
        <w:rPr>
          <w:sz w:val="22"/>
          <w:szCs w:val="22"/>
          <w:lang w:val="en-GB"/>
        </w:rPr>
        <w:instrText xml:space="preserve">thousand years.","container-title":"Nature","DOI":"10.1038/s41586-021-03984-4","ISSN":"1476-4687","issue":"7884","language":"en","license":"2021 The Author(s), under exclusive licence to Springer Nature Limited","note":"number: 7884\npublisher: Nature Publishing Group","page":"239-244","source":"www-nature-com.vu-nl.idm.oclc.org","title":"Globally resolved surface temperatures since the Last Glacial Maximum","volume":"599","author":[{"family":"Osman","given":"Matthew B."},{"family":"Tierney","given":"Jessica E."},{"family":"Zhu","given":"Jiang"},{"family":"Tardif","given":"Robert"},{"family":"Hakim","given":"Gregory J."},{"family":"King","given":"Jonathan"},{"family":"Poulsen","given":"Christopher J."}],"issued":{"date-parts":[["2021",11]]}}}],"schema":"https://github.com/citation-style-language/schema/raw/master/csl-citation.json"} </w:instrText>
      </w:r>
      <w:r w:rsidR="002E575F" w:rsidRPr="00256EAA">
        <w:rPr>
          <w:sz w:val="22"/>
          <w:szCs w:val="22"/>
          <w:lang w:val="en-GB"/>
        </w:rPr>
        <w:fldChar w:fldCharType="separate"/>
      </w:r>
      <w:r w:rsidR="002E575F" w:rsidRPr="00256EAA">
        <w:rPr>
          <w:sz w:val="22"/>
          <w:szCs w:val="22"/>
        </w:rPr>
        <w:t>(Judd et al., 2024; Osman et al., 2021)</w:t>
      </w:r>
      <w:r w:rsidR="002E575F" w:rsidRPr="00256EAA">
        <w:rPr>
          <w:sz w:val="22"/>
          <w:szCs w:val="22"/>
          <w:lang w:val="en-GB"/>
        </w:rPr>
        <w:fldChar w:fldCharType="end"/>
      </w:r>
      <w:r w:rsidR="002E575F" w:rsidRPr="00256EAA">
        <w:rPr>
          <w:sz w:val="22"/>
          <w:szCs w:val="22"/>
          <w:lang w:val="en-GB"/>
        </w:rPr>
        <w:t xml:space="preserve">) or indirectly included in proxy-system models through estimates of the growing seasons of organisms producing proxy records </w:t>
      </w:r>
      <w:r w:rsidR="002E575F" w:rsidRPr="00256EAA">
        <w:rPr>
          <w:sz w:val="22"/>
          <w:szCs w:val="22"/>
          <w:lang w:val="en-GB"/>
        </w:rPr>
        <w:fldChar w:fldCharType="begin"/>
      </w:r>
      <w:r w:rsidR="002E575F" w:rsidRPr="00256EAA">
        <w:rPr>
          <w:sz w:val="22"/>
          <w:szCs w:val="22"/>
          <w:lang w:val="en-GB"/>
        </w:rPr>
        <w:instrText xml:space="preserve"> ADDIN ZOTERO_ITEM CSL_CITATION {"citationID":"US2Cmyp3","properties":{"formattedCitation":"(Evans et al., 2013; King et al., 2021)","plainCitation":"(Evans et al., 2013; King et al., 2021)","noteIndex":0},"citationItems":[{"id":11675,"uris":["http://zotero.org/users/2470179/items/IV4Z9UTG"],"itemData":{"id":11675,"type":"article-journal","abstract":"A proxy system model may be defined as the complete set of forward and mechanistic processes by which the response of a sensor to environmental forcing is recorded and subsequently observed in a material archive. Proxy system modeling complements and sharpens signal interpretations based solely on statistical analyses and transformations; provides the basis for observing network optimization, hypothesis testing, and data-model comparisons for uncertainty estimation; and may be incorporated as weak but mechanistically-plausible constraints into paleoclimatic reconstruction algorithms. Following a review illustrating these applications, we recommend future research pathways, including development of intermediate proxy system models for important sensors, archives, and observations; linking proxy system models to climate system models; hypothesis development and evaluation; more realistic multi-archive, multi-observation network design; examination of proxy system behavior under extreme conditions; and generalized modeling of the total uncertainty in paleoclimate reconstructions derived from paleo-observations.","container-title":"Quaternary Science Reviews","DOI":"10.1016/j.quascirev.2013.05.024","ISSN":"0277-3791","journalAbbreviation":"Quaternary Science Reviews","page":"16-28","source":"ScienceDirect","title":"Applications of proxy system modeling in high resolution paleoclimatology","volume":"76","author":[{"family":"Evans","given":"M. N."},{"family":"Tolwinski-Ward","given":"S. E."},{"family":"Thompson","given":"D. M."},{"family":"Anchukaitis","given":"K. J."}],"issued":{"date-parts":[["2013",9,15]]}}},{"id":11761,"uris":["http://zotero.org/users/2470179/items/67YSVPHU"],"itemData":{"id":11761,"type":"article-journal","abstract":"We use the Northern Hemisphere Tree-Ring Network Development (NTREND) tree-ring database to examine the effects of using a small, highly sensitive proxy network for paleotemperature data assimilation over the last millennium. We first evaluate our methods using pseudoproxy experiments. These indicate that spatial assimilations using this network are skillful in the extratropical Northern Hemisphere and improve on previous NTREND reconstructions based on point-by-point regression. We also find our method is sensitive to climate model biases when the number of sites becomes small. Based on these experiments, we then assimilate the real NTREND network. To quantify model prior uncertainty, we produce 10 separate reconstructions, each assimilating a different climate model. These reconstructions are most dissimilar prior to 1100 CE, when the network becomes sparse, but show greater consistency as the network grows. Temporal variability is also underestimated before 1100 CE. Our assimilation method produces spatial uncertainty estimates, and these identify tree-line North America and eastern Siberia as regions that would most benefit from development of new millennial-length temperature-sensitive tree-ring records. We compare our multimodel mean reconstruction to five existing paleotemperature products to examine the range of reconstructed responses to radiative forcing. We find substantial differences in the spatial patterns and magnitudes of reconstructed responses to volcanic eruptions and in the transition between the Medieval epoch and Little Ice Age. These extant uncertainties call for the development of a paleoclimate reconstruction intercomparison framework for systematically examining the consequences of proxy network composition and reconstruction methodology and for continued expansion of tree-ring proxy networks.","DOI":"10.1175/JCLI-D-20-0661.1","language":"en","note":"section: Journal of Climate","source":"journals.ametsoc.org","title":"A Data Assimilation Approach to Last Millennium Temperature Field Reconstruction Using a Limited High-Sensitivity Proxy Network","URL":"https://journals.ametsoc.org/view/journals/clim/34/17/JCLI-D-20-0661.1.xml","author":[{"family":"King","given":"Jonathan M."},{"family":"Anchukaitis","given":"Kevin J."},{"family":"Tierney","given":"Jessica E."},{"family":"Hakim","given":"Gregory J."},{"family":"Emile-Geay","given":"Julien"},{"family":"Zhu","given":"Feng"},{"family":"Wilson","given":"Rob"}],"accessed":{"date-parts":[["2025",10,10]]},"issued":{"date-parts":[["2021",9,1]]}}}],"schema":"https://github.com/citation-style-language/schema/raw/master/csl-citation.json"} </w:instrText>
      </w:r>
      <w:r w:rsidR="002E575F" w:rsidRPr="00256EAA">
        <w:rPr>
          <w:sz w:val="22"/>
          <w:szCs w:val="22"/>
          <w:lang w:val="en-GB"/>
        </w:rPr>
        <w:fldChar w:fldCharType="separate"/>
      </w:r>
      <w:r w:rsidR="002E575F" w:rsidRPr="00256EAA">
        <w:rPr>
          <w:sz w:val="22"/>
          <w:szCs w:val="22"/>
        </w:rPr>
        <w:t>(Evans et al., 2013; King et al., 2021)</w:t>
      </w:r>
      <w:r w:rsidR="002E575F" w:rsidRPr="00256EAA">
        <w:rPr>
          <w:sz w:val="22"/>
          <w:szCs w:val="22"/>
          <w:lang w:val="en-GB"/>
        </w:rPr>
        <w:fldChar w:fldCharType="end"/>
      </w:r>
      <w:r w:rsidR="002E575F" w:rsidRPr="00256EAA">
        <w:rPr>
          <w:sz w:val="22"/>
          <w:szCs w:val="22"/>
          <w:lang w:val="en-GB"/>
        </w:rPr>
        <w:t>.</w:t>
      </w:r>
    </w:p>
    <w:p w14:paraId="28A79D65" w14:textId="028405A0" w:rsidR="008F4501" w:rsidRPr="00256EAA" w:rsidRDefault="00C56E81" w:rsidP="007A06F2">
      <w:pPr>
        <w:jc w:val="both"/>
        <w:rPr>
          <w:sz w:val="22"/>
          <w:szCs w:val="22"/>
          <w:lang w:val="en-GB"/>
        </w:rPr>
      </w:pPr>
      <w:r w:rsidRPr="00256EAA">
        <w:rPr>
          <w:sz w:val="22"/>
          <w:szCs w:val="22"/>
          <w:lang w:val="en-GB"/>
        </w:rPr>
        <w:t>Here, we present a data assimilation framework for combining sub-annually resolved</w:t>
      </w:r>
      <w:r w:rsidR="000D1EFE">
        <w:rPr>
          <w:sz w:val="22"/>
          <w:szCs w:val="22"/>
          <w:lang w:val="en-GB"/>
        </w:rPr>
        <w:t xml:space="preserve"> carbonate clumped (Δ</w:t>
      </w:r>
      <w:r w:rsidR="000D1EFE" w:rsidRPr="000D1EFE">
        <w:rPr>
          <w:sz w:val="22"/>
          <w:szCs w:val="22"/>
          <w:vertAlign w:val="subscript"/>
          <w:lang w:val="en-GB"/>
        </w:rPr>
        <w:t>47</w:t>
      </w:r>
      <w:r w:rsidR="000D1EFE">
        <w:rPr>
          <w:sz w:val="22"/>
          <w:szCs w:val="22"/>
          <w:lang w:val="en-GB"/>
        </w:rPr>
        <w:t>) and stable oxygen isotope (δ</w:t>
      </w:r>
      <w:r w:rsidR="000D1EFE">
        <w:rPr>
          <w:sz w:val="22"/>
          <w:szCs w:val="22"/>
          <w:vertAlign w:val="superscript"/>
          <w:lang w:val="en-GB"/>
        </w:rPr>
        <w:t>18</w:t>
      </w:r>
      <w:r w:rsidR="000D1EFE">
        <w:rPr>
          <w:sz w:val="22"/>
          <w:szCs w:val="22"/>
          <w:lang w:val="en-GB"/>
        </w:rPr>
        <w:t>O</w:t>
      </w:r>
      <w:r w:rsidR="000D1EFE">
        <w:rPr>
          <w:sz w:val="22"/>
          <w:szCs w:val="22"/>
          <w:vertAlign w:val="subscript"/>
          <w:lang w:val="en-GB"/>
        </w:rPr>
        <w:t>c</w:t>
      </w:r>
      <w:r w:rsidR="000D1EFE">
        <w:rPr>
          <w:sz w:val="22"/>
          <w:szCs w:val="22"/>
          <w:lang w:val="en-GB"/>
        </w:rPr>
        <w:t>)</w:t>
      </w:r>
      <w:r w:rsidRPr="00256EAA">
        <w:rPr>
          <w:sz w:val="22"/>
          <w:szCs w:val="22"/>
          <w:lang w:val="en-GB"/>
        </w:rPr>
        <w:t xml:space="preserve"> proxy data with model outcomes on the monthly </w:t>
      </w:r>
      <w:r w:rsidRPr="00256EAA">
        <w:rPr>
          <w:sz w:val="22"/>
          <w:szCs w:val="22"/>
          <w:lang w:val="en-GB"/>
        </w:rPr>
        <w:lastRenderedPageBreak/>
        <w:t xml:space="preserve">and seasonal scale. The aim of this contribution is </w:t>
      </w:r>
      <w:r w:rsidR="00203C6E" w:rsidRPr="00256EAA">
        <w:rPr>
          <w:sz w:val="22"/>
          <w:szCs w:val="22"/>
          <w:lang w:val="en-GB"/>
        </w:rPr>
        <w:t xml:space="preserve">twofold: Firstly, we provide a detailed methodology for data assimilation </w:t>
      </w:r>
      <w:r w:rsidR="007A06F2" w:rsidRPr="00256EAA">
        <w:rPr>
          <w:sz w:val="22"/>
          <w:szCs w:val="22"/>
          <w:lang w:val="en-GB"/>
        </w:rPr>
        <w:t xml:space="preserve">at the sub-annual scale to make the </w:t>
      </w:r>
      <w:proofErr w:type="spellStart"/>
      <w:r w:rsidR="007A06F2" w:rsidRPr="00256EAA">
        <w:rPr>
          <w:sz w:val="22"/>
          <w:szCs w:val="22"/>
          <w:lang w:val="en-GB"/>
        </w:rPr>
        <w:t>paleoDA</w:t>
      </w:r>
      <w:proofErr w:type="spellEnd"/>
      <w:r w:rsidR="007A06F2" w:rsidRPr="00256EAA">
        <w:rPr>
          <w:sz w:val="22"/>
          <w:szCs w:val="22"/>
          <w:lang w:val="en-GB"/>
        </w:rPr>
        <w:t xml:space="preserve"> workflow accessible for researchers in the field of </w:t>
      </w:r>
      <w:proofErr w:type="spellStart"/>
      <w:r w:rsidR="007A06F2" w:rsidRPr="00256EAA">
        <w:rPr>
          <w:sz w:val="22"/>
          <w:szCs w:val="22"/>
          <w:lang w:val="en-GB"/>
        </w:rPr>
        <w:t>sclerochronology</w:t>
      </w:r>
      <w:proofErr w:type="spellEnd"/>
      <w:r w:rsidR="007A06F2" w:rsidRPr="00256EAA">
        <w:rPr>
          <w:sz w:val="22"/>
          <w:szCs w:val="22"/>
          <w:lang w:val="en-GB"/>
        </w:rPr>
        <w:t xml:space="preserve">. Secondly, we apply our </w:t>
      </w:r>
      <w:proofErr w:type="spellStart"/>
      <w:r w:rsidR="007A06F2" w:rsidRPr="00256EAA">
        <w:rPr>
          <w:sz w:val="22"/>
          <w:szCs w:val="22"/>
          <w:lang w:val="en-GB"/>
        </w:rPr>
        <w:t>paleoDA</w:t>
      </w:r>
      <w:proofErr w:type="spellEnd"/>
      <w:r w:rsidR="007A06F2" w:rsidRPr="00256EAA">
        <w:rPr>
          <w:sz w:val="22"/>
          <w:szCs w:val="22"/>
          <w:lang w:val="en-GB"/>
        </w:rPr>
        <w:t xml:space="preserve"> framework to modern and ancient seasonal proxy datasets to test the sensitivity of the </w:t>
      </w:r>
      <w:proofErr w:type="spellStart"/>
      <w:r w:rsidR="007A06F2" w:rsidRPr="00256EAA">
        <w:rPr>
          <w:sz w:val="22"/>
          <w:szCs w:val="22"/>
          <w:lang w:val="en-GB"/>
        </w:rPr>
        <w:t>paleoDA</w:t>
      </w:r>
      <w:proofErr w:type="spellEnd"/>
      <w:r w:rsidR="007A06F2" w:rsidRPr="00256EAA">
        <w:rPr>
          <w:sz w:val="22"/>
          <w:szCs w:val="22"/>
          <w:lang w:val="en-GB"/>
        </w:rPr>
        <w:t xml:space="preserve"> “posterior” to proxy data characteristics and choices made in the assimilation routine.</w:t>
      </w:r>
    </w:p>
    <w:p w14:paraId="2CED7C3C" w14:textId="15961551" w:rsidR="002F3751" w:rsidRPr="00256EAA" w:rsidRDefault="003334B1" w:rsidP="001E293D">
      <w:pPr>
        <w:pStyle w:val="ListParagraph"/>
        <w:numPr>
          <w:ilvl w:val="0"/>
          <w:numId w:val="2"/>
        </w:numPr>
        <w:jc w:val="both"/>
        <w:rPr>
          <w:b/>
          <w:bCs/>
          <w:sz w:val="22"/>
          <w:szCs w:val="22"/>
          <w:lang w:val="en-GB"/>
        </w:rPr>
      </w:pPr>
      <w:r w:rsidRPr="00256EAA">
        <w:rPr>
          <w:b/>
          <w:bCs/>
          <w:sz w:val="22"/>
          <w:szCs w:val="22"/>
          <w:lang w:val="en-GB"/>
        </w:rPr>
        <w:t>Data and m</w:t>
      </w:r>
      <w:r w:rsidR="002F3751" w:rsidRPr="00256EAA">
        <w:rPr>
          <w:b/>
          <w:bCs/>
          <w:sz w:val="22"/>
          <w:szCs w:val="22"/>
          <w:lang w:val="en-GB"/>
        </w:rPr>
        <w:t>ethods</w:t>
      </w:r>
    </w:p>
    <w:p w14:paraId="5723BA86" w14:textId="4330E78D" w:rsidR="003334B1" w:rsidRPr="00256EAA" w:rsidRDefault="00953791" w:rsidP="00505760">
      <w:pPr>
        <w:jc w:val="both"/>
        <w:rPr>
          <w:sz w:val="22"/>
          <w:szCs w:val="22"/>
          <w:lang w:val="en-GB"/>
        </w:rPr>
      </w:pPr>
      <w:r>
        <w:rPr>
          <w:sz w:val="22"/>
          <w:szCs w:val="22"/>
          <w:lang w:val="en-GB"/>
        </w:rPr>
        <w:t>2</w:t>
      </w:r>
      <w:r w:rsidR="001E293D" w:rsidRPr="00256EAA">
        <w:rPr>
          <w:sz w:val="22"/>
          <w:szCs w:val="22"/>
          <w:lang w:val="en-GB"/>
        </w:rPr>
        <w:t>.1 Input data</w:t>
      </w:r>
    </w:p>
    <w:p w14:paraId="2035A76B" w14:textId="171A919B" w:rsidR="006E638A" w:rsidRPr="00256EAA" w:rsidRDefault="003334B1" w:rsidP="00505760">
      <w:pPr>
        <w:jc w:val="both"/>
        <w:rPr>
          <w:sz w:val="22"/>
          <w:szCs w:val="22"/>
          <w:lang w:val="en-GB"/>
        </w:rPr>
      </w:pPr>
      <w:r w:rsidRPr="00256EAA">
        <w:rPr>
          <w:sz w:val="22"/>
          <w:szCs w:val="22"/>
          <w:lang w:val="en-GB"/>
        </w:rPr>
        <w:t xml:space="preserve">We assimilated General Circulation Model (GCM) outcomes with proxy data for </w:t>
      </w:r>
      <w:r w:rsidR="006E638A" w:rsidRPr="00256EAA">
        <w:rPr>
          <w:sz w:val="22"/>
          <w:szCs w:val="22"/>
          <w:lang w:val="en-GB"/>
        </w:rPr>
        <w:t>four</w:t>
      </w:r>
      <w:r w:rsidRPr="00256EAA">
        <w:rPr>
          <w:sz w:val="22"/>
          <w:szCs w:val="22"/>
          <w:lang w:val="en-GB"/>
        </w:rPr>
        <w:t xml:space="preserve"> case studies</w:t>
      </w:r>
      <w:r w:rsidR="006E638A" w:rsidRPr="00256EAA">
        <w:rPr>
          <w:sz w:val="22"/>
          <w:szCs w:val="22"/>
          <w:lang w:val="en-GB"/>
        </w:rPr>
        <w:t xml:space="preserve">: One modern dataset and three datasets consisting of paleoclimate reconstructions on the </w:t>
      </w:r>
      <w:r w:rsidR="00062C73">
        <w:rPr>
          <w:sz w:val="22"/>
          <w:szCs w:val="22"/>
          <w:lang w:val="en-GB"/>
        </w:rPr>
        <w:t>monthly or seasonal</w:t>
      </w:r>
      <w:r w:rsidR="006E638A" w:rsidRPr="00256EAA">
        <w:rPr>
          <w:sz w:val="22"/>
          <w:szCs w:val="22"/>
          <w:lang w:val="en-GB"/>
        </w:rPr>
        <w:t xml:space="preserve"> scale.</w:t>
      </w:r>
    </w:p>
    <w:p w14:paraId="10509C52" w14:textId="38295382" w:rsidR="001E293D" w:rsidRPr="00256EAA" w:rsidRDefault="00953791" w:rsidP="00505760">
      <w:pPr>
        <w:jc w:val="both"/>
        <w:rPr>
          <w:sz w:val="22"/>
          <w:szCs w:val="22"/>
          <w:lang w:val="en-GB"/>
        </w:rPr>
      </w:pPr>
      <w:r>
        <w:rPr>
          <w:sz w:val="22"/>
          <w:szCs w:val="22"/>
          <w:lang w:val="en-GB"/>
        </w:rPr>
        <w:t>2</w:t>
      </w:r>
      <w:r w:rsidR="001E293D" w:rsidRPr="00256EAA">
        <w:rPr>
          <w:sz w:val="22"/>
          <w:szCs w:val="22"/>
          <w:lang w:val="en-GB"/>
        </w:rPr>
        <w:t>.1.1 Modern case study</w:t>
      </w:r>
    </w:p>
    <w:p w14:paraId="77F835C5" w14:textId="325A0024" w:rsidR="00953791" w:rsidRPr="001C3757" w:rsidRDefault="003334B1" w:rsidP="00505760">
      <w:pPr>
        <w:jc w:val="both"/>
        <w:rPr>
          <w:sz w:val="22"/>
          <w:szCs w:val="22"/>
          <w:lang w:val="en-GB"/>
        </w:rPr>
      </w:pPr>
      <w:r w:rsidRPr="00256EAA">
        <w:rPr>
          <w:sz w:val="22"/>
          <w:szCs w:val="22"/>
          <w:lang w:val="en-GB"/>
        </w:rPr>
        <w:t>A modern case study was ass</w:t>
      </w:r>
      <w:r w:rsidR="003E7FF0">
        <w:rPr>
          <w:sz w:val="22"/>
          <w:szCs w:val="22"/>
          <w:lang w:val="en-GB"/>
        </w:rPr>
        <w:t>imilated</w:t>
      </w:r>
      <w:r w:rsidRPr="00256EAA">
        <w:rPr>
          <w:sz w:val="22"/>
          <w:szCs w:val="22"/>
          <w:lang w:val="en-GB"/>
        </w:rPr>
        <w:t xml:space="preserve"> based on the seasonal-scale clumped isotope dataset obtained from two bivalve shells</w:t>
      </w:r>
      <w:r w:rsidR="00062C73">
        <w:rPr>
          <w:sz w:val="22"/>
          <w:szCs w:val="22"/>
          <w:lang w:val="en-GB"/>
        </w:rPr>
        <w:t xml:space="preserve"> (</w:t>
      </w:r>
      <w:proofErr w:type="spellStart"/>
      <w:r w:rsidR="00062C73">
        <w:rPr>
          <w:i/>
          <w:iCs/>
          <w:sz w:val="22"/>
          <w:szCs w:val="22"/>
          <w:lang w:val="en-GB"/>
        </w:rPr>
        <w:t>Megapitaria</w:t>
      </w:r>
      <w:proofErr w:type="spellEnd"/>
      <w:r w:rsidR="00062C73">
        <w:rPr>
          <w:i/>
          <w:iCs/>
          <w:sz w:val="22"/>
          <w:szCs w:val="22"/>
          <w:lang w:val="en-GB"/>
        </w:rPr>
        <w:t xml:space="preserve"> </w:t>
      </w:r>
      <w:proofErr w:type="spellStart"/>
      <w:r w:rsidR="00062C73">
        <w:rPr>
          <w:i/>
          <w:iCs/>
          <w:sz w:val="22"/>
          <w:szCs w:val="22"/>
          <w:lang w:val="en-GB"/>
        </w:rPr>
        <w:t>aurantiaca</w:t>
      </w:r>
      <w:proofErr w:type="spellEnd"/>
      <w:r w:rsidR="00062C73">
        <w:rPr>
          <w:sz w:val="22"/>
          <w:szCs w:val="22"/>
          <w:lang w:val="en-GB"/>
        </w:rPr>
        <w:t xml:space="preserve"> and</w:t>
      </w:r>
      <w:r w:rsidR="00062C73">
        <w:rPr>
          <w:i/>
          <w:iCs/>
          <w:sz w:val="22"/>
          <w:szCs w:val="22"/>
          <w:lang w:val="en-GB"/>
        </w:rPr>
        <w:t xml:space="preserve"> </w:t>
      </w:r>
      <w:proofErr w:type="spellStart"/>
      <w:r w:rsidR="00062C73">
        <w:rPr>
          <w:i/>
          <w:iCs/>
          <w:sz w:val="22"/>
          <w:szCs w:val="22"/>
          <w:lang w:val="en-GB"/>
        </w:rPr>
        <w:t>Argopecten</w:t>
      </w:r>
      <w:proofErr w:type="spellEnd"/>
      <w:r w:rsidR="00062C73">
        <w:rPr>
          <w:i/>
          <w:iCs/>
          <w:sz w:val="22"/>
          <w:szCs w:val="22"/>
          <w:lang w:val="en-GB"/>
        </w:rPr>
        <w:t xml:space="preserve"> </w:t>
      </w:r>
      <w:proofErr w:type="spellStart"/>
      <w:r w:rsidR="00062C73">
        <w:rPr>
          <w:i/>
          <w:iCs/>
          <w:sz w:val="22"/>
          <w:szCs w:val="22"/>
          <w:lang w:val="en-GB"/>
        </w:rPr>
        <w:t>ventricosus</w:t>
      </w:r>
      <w:proofErr w:type="spellEnd"/>
      <w:r w:rsidR="00062C73">
        <w:rPr>
          <w:sz w:val="22"/>
          <w:szCs w:val="22"/>
          <w:lang w:val="en-GB"/>
        </w:rPr>
        <w:t>)</w:t>
      </w:r>
      <w:r w:rsidRPr="00256EAA">
        <w:rPr>
          <w:sz w:val="22"/>
          <w:szCs w:val="22"/>
          <w:lang w:val="en-GB"/>
        </w:rPr>
        <w:t xml:space="preserve"> from the Gulf of Panama</w:t>
      </w:r>
      <w:r w:rsidR="0036247F" w:rsidRPr="00256EAA">
        <w:rPr>
          <w:sz w:val="22"/>
          <w:szCs w:val="22"/>
          <w:lang w:val="en-GB"/>
        </w:rPr>
        <w:t xml:space="preserve"> (7°30’ - 9°01’ N, 78°10’ - 80°40’ W)</w:t>
      </w:r>
      <w:r w:rsidRPr="00256EAA">
        <w:rPr>
          <w:sz w:val="22"/>
          <w:szCs w:val="22"/>
          <w:lang w:val="en-GB"/>
        </w:rPr>
        <w:t xml:space="preserve"> originally presented in </w:t>
      </w:r>
      <w:r w:rsidRPr="00256EAA">
        <w:rPr>
          <w:sz w:val="22"/>
          <w:szCs w:val="22"/>
          <w:lang w:val="en-GB"/>
        </w:rPr>
        <w:fldChar w:fldCharType="begin"/>
      </w:r>
      <w:r w:rsidRPr="00256EAA">
        <w:rPr>
          <w:sz w:val="22"/>
          <w:szCs w:val="22"/>
          <w:lang w:val="en-GB"/>
        </w:rPr>
        <w:instrText xml:space="preserve"> ADDIN ZOTERO_ITEM CSL_CITATION {"citationID":"EqC9hLVj","properties":{"formattedCitation":"(Caldarescu et al., 2021)","plainCitation":"(Caldarescu et al., 2021)","noteIndex":0},"citationItems":[{"id":2059,"uris":["http://zotero.org/users/2470179/items/6WKC9THA"],"itemData":{"id":2059,"type":"article-journal","abstract":"Carbonate clumped isotope thermometry is a powerful tool for reconstructing paleotemperature and paleosalinity. Despite its broad application in biotic and abiotic materials, its use in paleoclimate studies has been limited due to the large amount of material and high precision required for each temperature estimate. In addition, it is still uncertain to what extent the clumped isotope signal is modified during calcification in various organisms. Using an analytical approach that minimizes sample size, we analysed clumped isotopes (Δ47) in two bivalve shells from the upwelling-dominated Gulf of Panama to reconstruct seasonal temperature and salinity variations. Using the high-resolution profiles in δ18Oshell, we grouped Δ47 measurements into several intervals to obtain robust average temperature estimates. The reconstructed temperatures agree with available observational data at the 95% confidence level, reflecting seasonal temperature changes of at least </w:instrText>
      </w:r>
      <w:r w:rsidRPr="00256EAA">
        <w:rPr>
          <w:rFonts w:ascii="Cambria Math" w:hAnsi="Cambria Math" w:cs="Cambria Math"/>
          <w:sz w:val="22"/>
          <w:szCs w:val="22"/>
          <w:lang w:val="en-GB"/>
        </w:rPr>
        <w:instrText>∼</w:instrText>
      </w:r>
      <w:r w:rsidRPr="00256EAA">
        <w:rPr>
          <w:sz w:val="22"/>
          <w:szCs w:val="22"/>
          <w:lang w:val="en-GB"/>
        </w:rPr>
        <w:instrText>6</w:instrText>
      </w:r>
      <w:r w:rsidRPr="00256EAA">
        <w:rPr>
          <w:rFonts w:ascii="Arial" w:hAnsi="Arial" w:cs="Arial"/>
          <w:sz w:val="22"/>
          <w:szCs w:val="22"/>
          <w:lang w:val="en-GB"/>
        </w:rPr>
        <w:instrText> </w:instrText>
      </w:r>
      <w:r w:rsidRPr="00256EAA">
        <w:rPr>
          <w:rFonts w:cs="Aptos"/>
          <w:sz w:val="22"/>
          <w:szCs w:val="22"/>
          <w:lang w:val="en-GB"/>
        </w:rPr>
        <w:instrText>°</w:instrText>
      </w:r>
      <w:r w:rsidRPr="00256EAA">
        <w:rPr>
          <w:sz w:val="22"/>
          <w:szCs w:val="22"/>
          <w:lang w:val="en-GB"/>
        </w:rPr>
        <w:instrText xml:space="preserve">C. By combining bivalve </w:instrText>
      </w:r>
      <w:r w:rsidRPr="00256EAA">
        <w:rPr>
          <w:rFonts w:cs="Aptos"/>
          <w:sz w:val="22"/>
          <w:szCs w:val="22"/>
          <w:lang w:val="en-GB"/>
        </w:rPr>
        <w:instrText>δ</w:instrText>
      </w:r>
      <w:r w:rsidRPr="00256EAA">
        <w:rPr>
          <w:sz w:val="22"/>
          <w:szCs w:val="22"/>
          <w:lang w:val="en-GB"/>
        </w:rPr>
        <w:instrText xml:space="preserve">18Oshell and </w:instrText>
      </w:r>
      <w:r w:rsidRPr="00256EAA">
        <w:rPr>
          <w:rFonts w:cs="Aptos"/>
          <w:sz w:val="22"/>
          <w:szCs w:val="22"/>
          <w:lang w:val="en-GB"/>
        </w:rPr>
        <w:instrText>Δ</w:instrText>
      </w:r>
      <w:r w:rsidRPr="00256EAA">
        <w:rPr>
          <w:sz w:val="22"/>
          <w:szCs w:val="22"/>
          <w:lang w:val="en-GB"/>
        </w:rPr>
        <w:instrText xml:space="preserve">47-based temperatures, we obtain realistic estimates of seasonal </w:instrText>
      </w:r>
      <w:r w:rsidRPr="00256EAA">
        <w:rPr>
          <w:rFonts w:cs="Aptos"/>
          <w:sz w:val="22"/>
          <w:szCs w:val="22"/>
          <w:lang w:val="en-GB"/>
        </w:rPr>
        <w:instrText>δ</w:instrText>
      </w:r>
      <w:r w:rsidRPr="00256EAA">
        <w:rPr>
          <w:sz w:val="22"/>
          <w:szCs w:val="22"/>
          <w:lang w:val="en-GB"/>
        </w:rPr>
        <w:instrText xml:space="preserve">18Oseawater and salinity changes. Our results suggest that clumped isotopes in bivalve shells can be used for seasonal temperature reconstructions and for disentangling the temperature and δ18Oseawater signals in δ18Oshell variations.","container-title":"Geochimica et Cosmochimica Acta","DOI":"10.1016/j.gca.2020.11.019","ISSN":"0016-7037","journalAbbreviation":"Geochimica et Cosmochimica Acta","language":"en","page":"174-191","source":"ScienceDirect","title":"Clumped isotope thermometry in bivalve shells: A tool for reconstructing seasonal upwelling","title-short":"Clumped isotope thermometry in bivalve shells","volume":"294","author":[{"family":"Caldarescu","given":"Diana E."},{"family":"Sadatzki","given":"Henrik"},{"family":"Andersson","given":"Carin"},{"family":"Schäfer","given":"Priska"},{"family":"Fortunato","given":"Helena"},{"family":"Meckler","given":"A. Nele"}],"issued":{"date-parts":[["2021",2,1]]}}}],"schema":"https://github.com/citation-style-language/schema/raw/master/csl-citation.json"} </w:instrText>
      </w:r>
      <w:r w:rsidRPr="00256EAA">
        <w:rPr>
          <w:sz w:val="22"/>
          <w:szCs w:val="22"/>
          <w:lang w:val="en-GB"/>
        </w:rPr>
        <w:fldChar w:fldCharType="separate"/>
      </w:r>
      <w:r w:rsidRPr="00256EAA">
        <w:rPr>
          <w:sz w:val="22"/>
          <w:szCs w:val="22"/>
        </w:rPr>
        <w:t>(Caldarescu et al., 2021)</w:t>
      </w:r>
      <w:r w:rsidRPr="00256EAA">
        <w:rPr>
          <w:sz w:val="22"/>
          <w:szCs w:val="22"/>
          <w:lang w:val="en-GB"/>
        </w:rPr>
        <w:fldChar w:fldCharType="end"/>
      </w:r>
      <w:r w:rsidRPr="00256EAA">
        <w:rPr>
          <w:sz w:val="22"/>
          <w:szCs w:val="22"/>
          <w:lang w:val="en-GB"/>
        </w:rPr>
        <w:t xml:space="preserve">. We used the original clumped isotope dataset as published in the </w:t>
      </w:r>
      <w:proofErr w:type="spellStart"/>
      <w:r w:rsidRPr="00256EAA">
        <w:rPr>
          <w:sz w:val="22"/>
          <w:szCs w:val="22"/>
          <w:lang w:val="en-GB"/>
        </w:rPr>
        <w:t>EarthChem</w:t>
      </w:r>
      <w:proofErr w:type="spellEnd"/>
      <w:r w:rsidRPr="00256EAA">
        <w:rPr>
          <w:sz w:val="22"/>
          <w:szCs w:val="22"/>
          <w:lang w:val="en-GB"/>
        </w:rPr>
        <w:t xml:space="preserve"> database </w:t>
      </w:r>
      <w:r w:rsidR="006E638A" w:rsidRPr="00256EAA">
        <w:rPr>
          <w:sz w:val="22"/>
          <w:szCs w:val="22"/>
          <w:lang w:val="en-GB"/>
        </w:rPr>
        <w:fldChar w:fldCharType="begin"/>
      </w:r>
      <w:r w:rsidR="006E638A" w:rsidRPr="00256EAA">
        <w:rPr>
          <w:sz w:val="22"/>
          <w:szCs w:val="22"/>
          <w:lang w:val="en-GB"/>
        </w:rPr>
        <w:instrText xml:space="preserve"> ADDIN ZOTERO_ITEM CSL_CITATION {"citationID":"dG7x9tvP","properties":{"formattedCitation":"(Caldarescu et al., 2020)","plainCitation":"(Caldarescu et al., 2020)","noteIndex":0},"citationItems":[{"id":11769,"uris":["http://zotero.org/users/2470179/items/ZH58SEJ2"],"itemData":{"id":11769,"type":"dataset","abstract":"Earthchem","publisher":"EarthChem database","title":"Clumped Isotope Data from Caldarescu et al 2020 Geochimica et Cosmochimica Acta","URL":"https://ecl.earthchem.org/view.php?id=1744","author":[{"family":"Caldarescu","given":"Diana"},{"family":"Sadatzki","given":"Henrik"},{"family":"Andersson","given":"Carin"},{"family":"Schäfer","given":"Priska"},{"family":"Fortunato","given":"Helena"},{"family":"Meckler","given":"Anna Nele"}],"accessed":{"date-parts":[["2025",10,22]]},"issued":{"date-parts":[["2020",11,9]]}}}],"schema":"https://github.com/citation-style-language/schema/raw/master/csl-citation.json"} </w:instrText>
      </w:r>
      <w:r w:rsidR="006E638A" w:rsidRPr="00256EAA">
        <w:rPr>
          <w:sz w:val="22"/>
          <w:szCs w:val="22"/>
          <w:lang w:val="en-GB"/>
        </w:rPr>
        <w:fldChar w:fldCharType="separate"/>
      </w:r>
      <w:r w:rsidR="006E638A" w:rsidRPr="00256EAA">
        <w:rPr>
          <w:sz w:val="22"/>
          <w:szCs w:val="22"/>
        </w:rPr>
        <w:t>(Caldarescu et al., 2020)</w:t>
      </w:r>
      <w:r w:rsidR="006E638A" w:rsidRPr="00256EAA">
        <w:rPr>
          <w:sz w:val="22"/>
          <w:szCs w:val="22"/>
          <w:lang w:val="en-GB"/>
        </w:rPr>
        <w:fldChar w:fldCharType="end"/>
      </w:r>
      <w:r w:rsidR="006E638A" w:rsidRPr="00256EAA">
        <w:rPr>
          <w:sz w:val="22"/>
          <w:szCs w:val="22"/>
          <w:lang w:val="en-GB"/>
        </w:rPr>
        <w:t xml:space="preserve"> as our likelihood for this assimilation.</w:t>
      </w:r>
      <w:r w:rsidR="00062C73">
        <w:rPr>
          <w:sz w:val="22"/>
          <w:szCs w:val="22"/>
          <w:lang w:val="en-GB"/>
        </w:rPr>
        <w:t xml:space="preserve"> This data is presented only against sample number, but the study mentions that daily increments are visible and counted in the shells. We therefore reconstructed the estimated date of shell formation by linking the number of counted increments to </w:t>
      </w:r>
      <w:r w:rsidR="001A621E">
        <w:rPr>
          <w:sz w:val="22"/>
          <w:szCs w:val="22"/>
          <w:lang w:val="en-GB"/>
        </w:rPr>
        <w:t>the sample number for each interval of counted increments in the shells based on the information in section 3.2, Table 1 and Figure 3 in the study</w:t>
      </w:r>
      <w:r w:rsidR="001C3757">
        <w:rPr>
          <w:sz w:val="22"/>
          <w:szCs w:val="22"/>
          <w:lang w:val="en-GB"/>
        </w:rPr>
        <w:t xml:space="preserve">. </w:t>
      </w:r>
      <w:r w:rsidR="001A621E">
        <w:rPr>
          <w:sz w:val="22"/>
          <w:szCs w:val="22"/>
          <w:lang w:val="en-GB"/>
        </w:rPr>
        <w:t xml:space="preserve">For the </w:t>
      </w:r>
      <w:proofErr w:type="spellStart"/>
      <w:r w:rsidR="001A621E">
        <w:rPr>
          <w:i/>
          <w:iCs/>
          <w:sz w:val="22"/>
          <w:szCs w:val="22"/>
          <w:lang w:val="en-GB"/>
        </w:rPr>
        <w:t>Megapitaria</w:t>
      </w:r>
      <w:proofErr w:type="spellEnd"/>
      <w:r w:rsidR="001A621E">
        <w:rPr>
          <w:i/>
          <w:iCs/>
          <w:sz w:val="22"/>
          <w:szCs w:val="22"/>
          <w:lang w:val="en-GB"/>
        </w:rPr>
        <w:t xml:space="preserve"> </w:t>
      </w:r>
      <w:proofErr w:type="spellStart"/>
      <w:r w:rsidR="001A621E">
        <w:rPr>
          <w:i/>
          <w:iCs/>
          <w:sz w:val="22"/>
          <w:szCs w:val="22"/>
          <w:lang w:val="en-GB"/>
        </w:rPr>
        <w:t>aurantiaca</w:t>
      </w:r>
      <w:proofErr w:type="spellEnd"/>
      <w:r w:rsidR="001A621E">
        <w:rPr>
          <w:sz w:val="22"/>
          <w:szCs w:val="22"/>
          <w:lang w:val="en-GB"/>
        </w:rPr>
        <w:t xml:space="preserve"> specimen, we assumed the last-grown sample (</w:t>
      </w:r>
      <w:r w:rsidR="00BB31C9">
        <w:rPr>
          <w:sz w:val="22"/>
          <w:szCs w:val="22"/>
          <w:lang w:val="en-GB"/>
        </w:rPr>
        <w:t xml:space="preserve">ontogenetically oldest </w:t>
      </w:r>
      <w:r w:rsidR="001A621E">
        <w:rPr>
          <w:sz w:val="22"/>
          <w:szCs w:val="22"/>
          <w:lang w:val="en-GB"/>
        </w:rPr>
        <w:t>sample</w:t>
      </w:r>
      <w:r w:rsidR="00BB31C9">
        <w:rPr>
          <w:sz w:val="22"/>
          <w:szCs w:val="22"/>
          <w:lang w:val="en-GB"/>
        </w:rPr>
        <w:t>:</w:t>
      </w:r>
      <w:r w:rsidR="001A621E">
        <w:rPr>
          <w:sz w:val="22"/>
          <w:szCs w:val="22"/>
          <w:lang w:val="en-GB"/>
        </w:rPr>
        <w:t xml:space="preserve"> #115) to represent shell growth on October 1</w:t>
      </w:r>
      <w:r w:rsidR="001A621E" w:rsidRPr="001A621E">
        <w:rPr>
          <w:sz w:val="22"/>
          <w:szCs w:val="22"/>
          <w:vertAlign w:val="superscript"/>
          <w:lang w:val="en-GB"/>
        </w:rPr>
        <w:t>st</w:t>
      </w:r>
      <w:r w:rsidR="001A621E">
        <w:rPr>
          <w:sz w:val="22"/>
          <w:szCs w:val="22"/>
          <w:lang w:val="en-GB"/>
        </w:rPr>
        <w:t xml:space="preserve">. For </w:t>
      </w:r>
      <w:proofErr w:type="spellStart"/>
      <w:r w:rsidR="001A621E">
        <w:rPr>
          <w:i/>
          <w:iCs/>
          <w:sz w:val="22"/>
          <w:szCs w:val="22"/>
          <w:lang w:val="en-GB"/>
        </w:rPr>
        <w:t>Argopecten</w:t>
      </w:r>
      <w:proofErr w:type="spellEnd"/>
      <w:r w:rsidR="001A621E">
        <w:rPr>
          <w:i/>
          <w:iCs/>
          <w:sz w:val="22"/>
          <w:szCs w:val="22"/>
          <w:lang w:val="en-GB"/>
        </w:rPr>
        <w:t xml:space="preserve"> </w:t>
      </w:r>
      <w:proofErr w:type="spellStart"/>
      <w:r w:rsidR="001A621E">
        <w:rPr>
          <w:i/>
          <w:iCs/>
          <w:sz w:val="22"/>
          <w:szCs w:val="22"/>
          <w:lang w:val="en-GB"/>
        </w:rPr>
        <w:t>ventricosus</w:t>
      </w:r>
      <w:proofErr w:type="spellEnd"/>
      <w:r w:rsidR="001A621E">
        <w:rPr>
          <w:sz w:val="22"/>
          <w:szCs w:val="22"/>
          <w:lang w:val="en-GB"/>
        </w:rPr>
        <w:t>, the outermost sample (</w:t>
      </w:r>
      <w:r w:rsidR="00BB31C9">
        <w:rPr>
          <w:sz w:val="22"/>
          <w:szCs w:val="22"/>
          <w:lang w:val="en-GB"/>
        </w:rPr>
        <w:t xml:space="preserve">ontogenetically oldest </w:t>
      </w:r>
      <w:r w:rsidR="001A621E">
        <w:rPr>
          <w:sz w:val="22"/>
          <w:szCs w:val="22"/>
          <w:lang w:val="en-GB"/>
        </w:rPr>
        <w:t>sample</w:t>
      </w:r>
      <w:r w:rsidR="00BB31C9">
        <w:rPr>
          <w:sz w:val="22"/>
          <w:szCs w:val="22"/>
          <w:lang w:val="en-GB"/>
        </w:rPr>
        <w:t>:</w:t>
      </w:r>
      <w:r w:rsidR="001A621E">
        <w:rPr>
          <w:sz w:val="22"/>
          <w:szCs w:val="22"/>
          <w:lang w:val="en-GB"/>
        </w:rPr>
        <w:t xml:space="preserve"> #2) was assumed to have grown on June 1</w:t>
      </w:r>
      <w:r w:rsidR="001A621E" w:rsidRPr="001A621E">
        <w:rPr>
          <w:sz w:val="22"/>
          <w:szCs w:val="22"/>
          <w:vertAlign w:val="superscript"/>
          <w:lang w:val="en-GB"/>
        </w:rPr>
        <w:t>st</w:t>
      </w:r>
      <w:r w:rsidR="001A621E">
        <w:rPr>
          <w:sz w:val="22"/>
          <w:szCs w:val="22"/>
          <w:lang w:val="en-GB"/>
        </w:rPr>
        <w:t>.</w:t>
      </w:r>
      <w:r w:rsidR="00BB31C9">
        <w:rPr>
          <w:sz w:val="22"/>
          <w:szCs w:val="22"/>
          <w:lang w:val="en-GB"/>
        </w:rPr>
        <w:t xml:space="preserve"> For both specimens, these ontogenetically oldest samples are assumed to have mineralized in 2004 (during the last year before the collection date in February 2005). While this is far from certain, it does not influence the data assimilation outcome, as all data is processed relative to the annual cycle</w:t>
      </w:r>
      <w:r w:rsidR="001C3757">
        <w:rPr>
          <w:sz w:val="22"/>
          <w:szCs w:val="22"/>
          <w:lang w:val="en-GB"/>
        </w:rPr>
        <w:t>.</w:t>
      </w:r>
      <w:r w:rsidR="00BB31C9">
        <w:rPr>
          <w:sz w:val="22"/>
          <w:szCs w:val="22"/>
          <w:lang w:val="en-GB"/>
        </w:rPr>
        <w:t xml:space="preserve"> </w:t>
      </w:r>
      <w:r w:rsidR="001A621E">
        <w:rPr>
          <w:sz w:val="22"/>
          <w:szCs w:val="22"/>
          <w:lang w:val="en-GB"/>
        </w:rPr>
        <w:t xml:space="preserve">From these dates, using the numbers of daily growth increments, we were able estimate the day of growth for each </w:t>
      </w:r>
      <w:r w:rsidR="001C3757">
        <w:rPr>
          <w:sz w:val="22"/>
          <w:szCs w:val="22"/>
          <w:lang w:val="en-GB"/>
        </w:rPr>
        <w:t xml:space="preserve">sample in both shells by counting back the days. All calculations associated with this data pre-processing step are provided in </w:t>
      </w:r>
      <w:commentRangeStart w:id="0"/>
      <w:proofErr w:type="spellStart"/>
      <w:r w:rsidR="001C3757">
        <w:rPr>
          <w:b/>
          <w:bCs/>
          <w:sz w:val="22"/>
          <w:szCs w:val="22"/>
          <w:lang w:val="en-GB"/>
        </w:rPr>
        <w:t>S</w:t>
      </w:r>
      <w:r w:rsidR="008E3D79">
        <w:rPr>
          <w:b/>
          <w:bCs/>
          <w:sz w:val="22"/>
          <w:szCs w:val="22"/>
          <w:lang w:val="en-GB"/>
        </w:rPr>
        <w:t>I</w:t>
      </w:r>
      <w:r w:rsidR="001C3757">
        <w:rPr>
          <w:b/>
          <w:bCs/>
          <w:sz w:val="22"/>
          <w:szCs w:val="22"/>
          <w:lang w:val="en-GB"/>
        </w:rPr>
        <w:t>_Caldarescu_preprocessing</w:t>
      </w:r>
      <w:commentRangeEnd w:id="0"/>
      <w:proofErr w:type="spellEnd"/>
      <w:r w:rsidR="001C3757">
        <w:rPr>
          <w:rStyle w:val="CommentReference"/>
        </w:rPr>
        <w:commentReference w:id="0"/>
      </w:r>
      <w:r w:rsidR="001C3757">
        <w:rPr>
          <w:sz w:val="22"/>
          <w:szCs w:val="22"/>
          <w:lang w:val="en-GB"/>
        </w:rPr>
        <w:t>.</w:t>
      </w:r>
    </w:p>
    <w:p w14:paraId="181E00C2" w14:textId="4C5BC743" w:rsidR="003334B1" w:rsidRDefault="006E638A" w:rsidP="00505760">
      <w:pPr>
        <w:jc w:val="both"/>
        <w:rPr>
          <w:sz w:val="22"/>
          <w:szCs w:val="22"/>
          <w:lang w:val="en-GB"/>
        </w:rPr>
      </w:pPr>
      <w:r w:rsidRPr="00256EAA">
        <w:rPr>
          <w:sz w:val="22"/>
          <w:szCs w:val="22"/>
          <w:lang w:val="en-GB"/>
        </w:rPr>
        <w:t xml:space="preserve">We used mean monthly outcomes for the </w:t>
      </w:r>
      <w:r w:rsidR="0036247F" w:rsidRPr="00256EAA">
        <w:rPr>
          <w:sz w:val="22"/>
          <w:szCs w:val="22"/>
          <w:lang w:val="en-GB"/>
        </w:rPr>
        <w:t>period</w:t>
      </w:r>
      <w:r w:rsidRPr="00256EAA">
        <w:rPr>
          <w:sz w:val="22"/>
          <w:szCs w:val="22"/>
          <w:lang w:val="en-GB"/>
        </w:rPr>
        <w:t xml:space="preserve"> 1995</w:t>
      </w:r>
      <w:r w:rsidR="0036247F" w:rsidRPr="00256EAA">
        <w:rPr>
          <w:sz w:val="22"/>
          <w:szCs w:val="22"/>
          <w:lang w:val="en-GB"/>
        </w:rPr>
        <w:t xml:space="preserve"> </w:t>
      </w:r>
      <w:r w:rsidRPr="00256EAA">
        <w:rPr>
          <w:sz w:val="22"/>
          <w:szCs w:val="22"/>
          <w:lang w:val="en-GB"/>
        </w:rPr>
        <w:t>2014</w:t>
      </w:r>
      <w:r w:rsidR="0036247F" w:rsidRPr="00256EAA">
        <w:rPr>
          <w:sz w:val="22"/>
          <w:szCs w:val="22"/>
          <w:lang w:val="en-GB"/>
        </w:rPr>
        <w:t xml:space="preserve"> CE</w:t>
      </w:r>
      <w:r w:rsidRPr="00256EAA">
        <w:rPr>
          <w:sz w:val="22"/>
          <w:szCs w:val="22"/>
          <w:lang w:val="en-GB"/>
        </w:rPr>
        <w:t xml:space="preserve"> from the ensemble of CMIP6</w:t>
      </w:r>
      <w:r w:rsidR="00F534D5" w:rsidRPr="00256EAA">
        <w:rPr>
          <w:sz w:val="22"/>
          <w:szCs w:val="22"/>
          <w:lang w:val="en-GB"/>
        </w:rPr>
        <w:t xml:space="preserve"> </w:t>
      </w:r>
      <w:r w:rsidR="00F534D5" w:rsidRPr="00256EAA">
        <w:rPr>
          <w:sz w:val="22"/>
          <w:szCs w:val="22"/>
          <w:lang w:val="en-GB"/>
        </w:rPr>
        <w:fldChar w:fldCharType="begin"/>
      </w:r>
      <w:r w:rsidR="00F534D5" w:rsidRPr="00256EAA">
        <w:rPr>
          <w:sz w:val="22"/>
          <w:szCs w:val="22"/>
          <w:lang w:val="en-GB"/>
        </w:rPr>
        <w:instrText xml:space="preserve"> ADDIN ZOTERO_ITEM CSL_CITATION {"citationID":"NaoHuo5t","properties":{"formattedCitation":"(Eyring et al., 2016)","plainCitation":"(Eyring et al., 2016)","noteIndex":0},"citationItems":[{"id":11771,"uris":["http://zotero.org/users/2470179/items/Y8U7PYCX"],"itemData":{"id":11771,"type":"article-journal","abstract":"By coordinating the design and distribution of global climate model simulations of the past, current, and future climate, the Coupled Model Intercomparison Project (CMIP) has become one of the foundational elements of climate science. However, the need to address an ever-expanding range of scientific questions arising from more and more research communities has made it necessary to revise the organization of CMIP. After a long and wide community consultation, a new and more federated structure has been put in place. It consists of three major elements: (1) a handful of common experiments, the DECK (Diagnostic, Evaluation and Characterization of Klima) and CMIP historical simulations (1850–near present) that will maintain continuity and help document basic characteristics of models across different phases of CMIP; (2) common standards, coordination, infrastructure, and documentation that will facilitate the distribution of model outputs and the characterization of the model ensemble; and (3) an ensemble of CMIP-Endorsed Model Intercomparison Projects (MIPs) that will be specific to a particular phase of CMIP (now CMIP6) and that will build on the DECK and CMIP historical simulations to address a large range of specific questions and fill the scientific gaps of the previous CMIP phases. The DECK and CMIP historical simulations, together with the use of CMIP data standards, will be the entry cards for models participating in CMIP. Participation in CMIP6-Endorsed MIPs by individual modelling groups will be at their own discretion and will depend on their scientific interests and priorities. With the Grand Science Challenges of the World Climate Research Programme (WCRP) as its scientific backdrop, CMIP6 will address three broad questions: \n\n &amp;ndash; How does the Earth system respond to forcing?\n\n &amp;ndash; What are the origins and consequences of systematic model biases? \n\n &amp;ndash; How can we assess future climate changes given internal climate variability, predictability, and uncertainties in scenarios?\n\n This CMIP6 overview paper presents the background and rationale for the new structure of CMIP, provides a detailed description of the DECK and CMIP6 historical simulations, and includes a brief introduction to the 21 CMIP6-Endorsed MIPs.","container-title":"Geoscientific Model Development","DOI":"10.5194/gmd-9-1937-2016","ISSN":"1991-959X","issue":"5","language":"English","note":"publisher: Copernicus GmbH","page":"1937-1958","source":"Copernicus Online Journals","title":"Overview of the Coupled Model Intercomparison Project Phase 6 (CMIP6) experimental design and organization","volume":"9","author":[{"family":"Eyring","given":"Veronika"},{"family":"Bony","given":"Sandrine"},{"family":"Meehl","given":"Gerald A."},{"family":"Senior","given":"Catherine A."},{"family":"Stevens","given":"Bjorn"},{"family":"Stouffer","given":"Ronald J."},{"family":"Taylor","given":"Karl E."}],"issued":{"date-parts":[["2016",5,26]]}}}],"schema":"https://github.com/citation-style-language/schema/raw/master/csl-citation.json"} </w:instrText>
      </w:r>
      <w:r w:rsidR="00F534D5" w:rsidRPr="00256EAA">
        <w:rPr>
          <w:sz w:val="22"/>
          <w:szCs w:val="22"/>
          <w:lang w:val="en-GB"/>
        </w:rPr>
        <w:fldChar w:fldCharType="separate"/>
      </w:r>
      <w:r w:rsidR="00F534D5" w:rsidRPr="00256EAA">
        <w:rPr>
          <w:sz w:val="22"/>
          <w:szCs w:val="22"/>
        </w:rPr>
        <w:t>(Eyring et al., 2016)</w:t>
      </w:r>
      <w:r w:rsidR="00F534D5" w:rsidRPr="00256EAA">
        <w:rPr>
          <w:sz w:val="22"/>
          <w:szCs w:val="22"/>
          <w:lang w:val="en-GB"/>
        </w:rPr>
        <w:fldChar w:fldCharType="end"/>
      </w:r>
      <w:r w:rsidRPr="00256EAA">
        <w:rPr>
          <w:sz w:val="22"/>
          <w:szCs w:val="22"/>
          <w:lang w:val="en-GB"/>
        </w:rPr>
        <w:t xml:space="preserve"> GCM simulations for sea surface temperature (SST; 28 models), surface air temperature (SAT; 35 models) and precipitation (34 models), </w:t>
      </w:r>
      <w:r w:rsidR="00A8482D" w:rsidRPr="00256EAA">
        <w:rPr>
          <w:sz w:val="22"/>
          <w:szCs w:val="22"/>
          <w:lang w:val="en-GB"/>
        </w:rPr>
        <w:t xml:space="preserve">obtained through the IPCC Interactive Atlas </w:t>
      </w:r>
      <w:r w:rsidR="00A8482D" w:rsidRPr="00256EAA">
        <w:rPr>
          <w:sz w:val="22"/>
          <w:szCs w:val="22"/>
          <w:lang w:val="en-GB"/>
        </w:rPr>
        <w:fldChar w:fldCharType="begin"/>
      </w:r>
      <w:r w:rsidR="00A8482D" w:rsidRPr="00256EAA">
        <w:rPr>
          <w:sz w:val="22"/>
          <w:szCs w:val="22"/>
          <w:lang w:val="en-GB"/>
        </w:rPr>
        <w:instrText xml:space="preserve"> ADDIN ZOTERO_ITEM CSL_CITATION {"citationID":"iUPewqrp","properties":{"formattedCitation":"(Iturbide et al., 2022)","plainCitation":"(Iturbide et al., 2022)","noteIndex":0},"citationItems":[{"id":2161,"uris":["http://zotero.org/users/2470179/items/ZKGD3URA"],"itemData":{"id":2161,"type":"article-journal","abstract":"The Sixth Assessment Report (AR6) of the Intergovernmental Panel on Climate Change (IPCC) has adopted the FAIR Guiding Principles. We present the Atlas chapter of Working Group I (WGI) as a test case. We describe the application of the FAIR principles in the Atlas, the challenges faced during its implementation, and those that remain for the future. We introduce the open source repository resulting from this process, including coding (e.g., annotated Jupyter notebooks), data provenance, and some aggregated datasets used in some figures in the Atlas chapter and its interactive companion (the Interactive Atlas), open to scrutiny by the scientific community and the general public. We describe the informal pilot review conducted on this repository to gather recommendations that led to significant improvements. Finally, a working example illustrates the re-use of the repository resources to produce customized regional information, extending the Interactive Atlas products and running the code interactively in a web browser using Jupyter notebooks.","container-title":"Scientific Data","DOI":"10.1038/s41597-022-01739-y","ISSN":"2052-4463","issue":"1","journalAbbreviation":"Sci Data","language":"en","license":"2022 The Author(s)","note":"number: 1\npublisher: Nature Publishing Group","page":"629","source":"www-nature-com.vu-nl.idm.oclc.org","title":"Implementation of FAIR principles in the IPCC: the WGI AR6 Atlas repository","title-short":"Implementation of FAIR principles in the IPCC","volume":"9","author":[{"family":"Iturbide","given":"Maialen"},{"family":"Fernández","given":"Jesús"},{"family":"Gutiérrez","given":"José M."},{"family":"Pirani","given":"Anna"},{"family":"Huard","given":"David"},{"family":"Al Khourdajie","given":"Alaa"},{"family":"Baño-Medina","given":"Jorge"},{"family":"Bedia","given":"Joaquin"},{"family":"Casanueva","given":"Ana"},{"family":"Cimadevilla","given":"Ezequiel"},{"family":"Cofiño","given":"Antonio S."},{"family":"De Felice","given":"Matteo"},{"family":"Diez-Sierra","given":"Javier"},{"family":"García-Díez","given":"Markel"},{"family":"Goldie","given":"James"},{"family":"Herrera","given":"Dimitris A."},{"family":"Herrera","given":"Sixto"},{"family":"Manzanas","given":"Rodrigo"},{"family":"Milovac","given":"Josipa"},{"family":"Radhakrishnan","given":"Aparna"},{"family":"San-Martín","given":"Daniel"},{"family":"Spinuso","given":"Alessandro"},{"family":"Thyng","given":"Kristen M."},{"family":"Trenham","given":"Claire"},{"family":"Yelekçi","given":"Özge"}],"issued":{"date-parts":[["2022",10,15]]}}}],"schema":"https://github.com/citation-style-language/schema/raw/master/csl-citation.json"} </w:instrText>
      </w:r>
      <w:r w:rsidR="00A8482D" w:rsidRPr="00256EAA">
        <w:rPr>
          <w:sz w:val="22"/>
          <w:szCs w:val="22"/>
          <w:lang w:val="en-GB"/>
        </w:rPr>
        <w:fldChar w:fldCharType="separate"/>
      </w:r>
      <w:r w:rsidR="00A8482D" w:rsidRPr="00256EAA">
        <w:rPr>
          <w:sz w:val="22"/>
          <w:szCs w:val="22"/>
        </w:rPr>
        <w:t>(Iturbide et al., 2022)</w:t>
      </w:r>
      <w:r w:rsidR="00A8482D" w:rsidRPr="00256EAA">
        <w:rPr>
          <w:sz w:val="22"/>
          <w:szCs w:val="22"/>
          <w:lang w:val="en-GB"/>
        </w:rPr>
        <w:fldChar w:fldCharType="end"/>
      </w:r>
      <w:r w:rsidR="00495FA3" w:rsidRPr="00256EAA">
        <w:rPr>
          <w:sz w:val="22"/>
          <w:szCs w:val="22"/>
          <w:lang w:val="en-GB"/>
        </w:rPr>
        <w:t xml:space="preserve"> as prior estimates for these climate variables</w:t>
      </w:r>
      <w:r w:rsidR="00A8482D" w:rsidRPr="00256EAA">
        <w:rPr>
          <w:sz w:val="22"/>
          <w:szCs w:val="22"/>
          <w:lang w:val="en-GB"/>
        </w:rPr>
        <w:t xml:space="preserve">. </w:t>
      </w:r>
      <w:r w:rsidR="00F534D5" w:rsidRPr="00256EAA">
        <w:rPr>
          <w:sz w:val="22"/>
          <w:szCs w:val="22"/>
          <w:lang w:val="en-GB"/>
        </w:rPr>
        <w:t xml:space="preserve">Sea surface salinity (SSS) was not available for the CMIP6 ensemble through the Interactive Atlas and was therefore obtained from the calibrated global Soil Moisture and Ocean Salinity (SMOS) L-band radiometer measurements by the European Space Agency (ESA; </w:t>
      </w:r>
      <w:r w:rsidR="004F30F0" w:rsidRPr="00256EAA">
        <w:rPr>
          <w:sz w:val="22"/>
          <w:szCs w:val="22"/>
          <w:lang w:val="en-GB"/>
        </w:rPr>
        <w:fldChar w:fldCharType="begin"/>
      </w:r>
      <w:r w:rsidR="004F30F0" w:rsidRPr="00256EAA">
        <w:rPr>
          <w:sz w:val="22"/>
          <w:szCs w:val="22"/>
          <w:lang w:val="en-GB"/>
        </w:rPr>
        <w:instrText xml:space="preserve"> ADDIN ZOTERO_ITEM CSL_CITATION {"citationID":"p7a9hLkW","properties":{"formattedCitation":"(Font et al., 2013)","plainCitation":"(Font et al., 2013)","noteIndex":0},"citationItems":[{"id":11773,"uris":["http://zotero.org/users/2470179/items/BK66KGQA"],"itemData":{"id":11773,"type":"article-journal","abstract":"Soil Moisture and Ocean Salinity (SMOS), launched on 2 November 2009, is the first satellite mission addressing sea surface salinity (SSS) measurement from space. Its unique payload is the Microwave Imaging Radiometer using Aperture Synthesis (MIRAS), a new two-dimensional interferometer designed by the European Space Agency (ESA) and operating at the L-band frequency. This article presents a summary of SSS retrieval from SMOS observations and shows initial results obtained one year after launch. These results are encouraging, but also indicate that further improvements at various data processing levels are needed and hence are currently under investigation.","container-title":"International Journal of Remote Sensing","DOI":"10.1080/01431161.2012.716541","ISSN":"0143-1161","issue":"9-10","note":"publisher: Taylor &amp; Francis\n_eprint: https://doi.org/10.1080/01431161.2012.716541","page":"3654-3670","source":"Taylor and Francis+NEJM","title":"SMOS first data analysis for sea surface salinity determination","volume":"34","author":[{"family":"Font","given":"Jordi"},{"family":"Boutin","given":"Jacqueline"},{"family":"Reul","given":"Nicolas"},{"family":"Spurgeon","given":"Paul"},{"family":"Ballabrera-Poy","given":"Joaquim"},{"family":"Chuprin","given":"Andrei"},{"family":"Gabarró","given":"Carolina"},{"family":"Gourrion","given":"Jérôme"},{"family":"Guimbard","given":"Sébastien"},{"family":"Hénocq","given":"Claire"},{"family":"Lavender","given":"Samantha"},{"family":"Martin","given":"Nicolas"},{"family":"Martínez","given":"Justino"},{"family":"McCulloch","given":"Michael"},{"family":"Meirold-Mautner","given":"Ingo"},{"family":"Mugerin","given":"César"},{"family":"Petitcolin","given":"François"},{"family":"Portabella","given":"Marcos"},{"family":"Sabia","given":"Roberto"},{"family":"Talone","given":"Marco"},{"family":"Tenerelli","given":"Joseph"},{"family":"Turiel","given":"Antonio"},{"family":"Vergely","given":"Jean-Luc"},{"family":"Waldteufel","given":"Philippe"},{"family":"Yin","given":"Xiaobin"},{"family":"Zine","given":"Sonia"},{"family":"Delwart","given":"Steven"}],"issued":{"date-parts":[["2013",5,1]]}}}],"schema":"https://github.com/citation-style-language/schema/raw/master/csl-citation.json"} </w:instrText>
      </w:r>
      <w:r w:rsidR="004F30F0" w:rsidRPr="00256EAA">
        <w:rPr>
          <w:sz w:val="22"/>
          <w:szCs w:val="22"/>
          <w:lang w:val="en-GB"/>
        </w:rPr>
        <w:fldChar w:fldCharType="separate"/>
      </w:r>
      <w:r w:rsidR="004F30F0" w:rsidRPr="00256EAA">
        <w:rPr>
          <w:sz w:val="22"/>
          <w:szCs w:val="22"/>
        </w:rPr>
        <w:t>(Font et al., 2013)</w:t>
      </w:r>
      <w:r w:rsidR="004F30F0" w:rsidRPr="00256EAA">
        <w:rPr>
          <w:sz w:val="22"/>
          <w:szCs w:val="22"/>
          <w:lang w:val="en-GB"/>
        </w:rPr>
        <w:fldChar w:fldCharType="end"/>
      </w:r>
      <w:r w:rsidR="004F30F0" w:rsidRPr="00256EAA">
        <w:rPr>
          <w:sz w:val="22"/>
          <w:szCs w:val="22"/>
          <w:lang w:val="en-GB"/>
        </w:rPr>
        <w:t>) for the period between 2010 and 2018 CE.</w:t>
      </w:r>
      <w:r w:rsidR="0036247F" w:rsidRPr="00256EAA">
        <w:rPr>
          <w:sz w:val="22"/>
          <w:szCs w:val="22"/>
          <w:lang w:val="en-GB"/>
        </w:rPr>
        <w:t xml:space="preserve"> To validate the outcome of the data assimilation for this modern case study, we used data from the nearby Isla Senorita and Punta Culebra marine monitoring stations obtained through the Smithsonian Tropical Research Institute </w:t>
      </w:r>
      <w:r w:rsidR="007D34B4" w:rsidRPr="00256EAA">
        <w:rPr>
          <w:sz w:val="22"/>
          <w:szCs w:val="22"/>
          <w:lang w:val="en-GB"/>
        </w:rPr>
        <w:fldChar w:fldCharType="begin"/>
      </w:r>
      <w:r w:rsidR="007D34B4" w:rsidRPr="00256EAA">
        <w:rPr>
          <w:sz w:val="22"/>
          <w:szCs w:val="22"/>
          <w:lang w:val="en-GB"/>
        </w:rPr>
        <w:instrText xml:space="preserve"> ADDIN ZOTERO_ITEM CSL_CITATION {"citationID":"BXd3PTx4","properties":{"formattedCitation":"(Smithsonian Tropical Research Institute, 2025)","plainCitation":"(Smithsonian Tropical Research Institute, 2025)","noteIndex":0},"citationItems":[{"id":8136,"uris":["http://zotero.org/users/2470179/items/82XBVZBH"],"itemData":{"id":8136,"type":"dataset","abstract":"Summary Since 1995 STRI has maintained an array of underwater temperature sensors in the Caribbean and Pacific sides of Panama. At present, we are measuring underwater temperature at 25 locations. Water temperature is measured using Hobo U22 Water Temperature Pro v2, Campbell Sci. CS107 temperature sensors, and YSI Professional Plus multi-parameter probe. The Hobo sensors … Continued","language":"en-US","title":"SST Monitoring - Physical Monitoring | Smithsonian Tropical Research Institute","URL":"https://striresearch.si.edu/physical-monitoring/sst-monitoring/","author":[{"family":"Smithsonian Tropical Research Institute","given":""}],"accessed":{"date-parts":[["2025",7,11]]},"issued":{"date-parts":[["2025",10,22]]}}}],"schema":"https://github.com/citation-style-language/schema/raw/master/csl-citation.json"} </w:instrText>
      </w:r>
      <w:r w:rsidR="007D34B4" w:rsidRPr="00256EAA">
        <w:rPr>
          <w:sz w:val="22"/>
          <w:szCs w:val="22"/>
          <w:lang w:val="en-GB"/>
        </w:rPr>
        <w:fldChar w:fldCharType="separate"/>
      </w:r>
      <w:r w:rsidR="007D34B4" w:rsidRPr="00256EAA">
        <w:rPr>
          <w:sz w:val="22"/>
          <w:szCs w:val="22"/>
        </w:rPr>
        <w:t>(Smithsonian Tropical Research Institute, 2025)</w:t>
      </w:r>
      <w:r w:rsidR="007D34B4" w:rsidRPr="00256EAA">
        <w:rPr>
          <w:sz w:val="22"/>
          <w:szCs w:val="22"/>
          <w:lang w:val="en-GB"/>
        </w:rPr>
        <w:fldChar w:fldCharType="end"/>
      </w:r>
      <w:r w:rsidR="0036247F" w:rsidRPr="00256EAA">
        <w:rPr>
          <w:sz w:val="22"/>
          <w:szCs w:val="22"/>
          <w:lang w:val="en-GB"/>
        </w:rPr>
        <w:t xml:space="preserve"> and the World Ocean Atlas</w:t>
      </w:r>
      <w:r w:rsidR="007D34B4" w:rsidRPr="00256EAA">
        <w:rPr>
          <w:sz w:val="22"/>
          <w:szCs w:val="22"/>
          <w:lang w:val="en-GB"/>
        </w:rPr>
        <w:t xml:space="preserve"> version 2023 </w:t>
      </w:r>
      <w:r w:rsidR="007D34B4" w:rsidRPr="00256EAA">
        <w:rPr>
          <w:sz w:val="22"/>
          <w:szCs w:val="22"/>
          <w:lang w:val="en-GB"/>
        </w:rPr>
        <w:fldChar w:fldCharType="begin"/>
      </w:r>
      <w:r w:rsidR="001E293D" w:rsidRPr="00256EAA">
        <w:rPr>
          <w:sz w:val="22"/>
          <w:szCs w:val="22"/>
          <w:lang w:val="en-GB"/>
        </w:rPr>
        <w:instrText xml:space="preserve"> ADDIN ZOTERO_ITEM CSL_CITATION {"citationID":"fgRMwRgX","properties":{"formattedCitation":"(Locarnini et al., 2013; Reagan et al., 2024)","plainCitation":"(Locarnini et al., 2013; Reagan et al., 2024)","noteIndex":0},"citationItems":[{"id":1232,"uris":["http://zotero.org/users/2470179/items/9VJN986C"],"itemData":{"id":1232,"type":"article-journal","abstract":"The oceanographic analyses described by this atlas series expand on earlier works, e.g., the World Ocean Atlas 2009 (WOA09), World Ocean Atlas 2005 (WOA05), World Ocean Atlas 2001 (WOA01), World Ocean Atlas 1998 (WOA98), World Ocean Atlas 1994 (WOA94) and Climatological Atlas of the World Ocean (Levitus, 1982). Previously published oceanographic objective analyses have proven to be of great utility to the oceanographic, climate research, geophysical, and operational environmental forecasting communities. Such analyses are used as boundary and/or initial conditions in numerical ocean circulation models and atmosphere-ocean models, for verification of numerical simulations of the ocean, as a form of 'sea truth' for satellite measurements such as altimetric observations of sea surface height, for computation of nutrient fluxes by Ekman transport, and for planning oceanographic expeditions among others. WOA13 includes analyses on both one-degree and quarter-degree grids. We continue preparing climatological analyses on a one-degree grid. This is because higher resolution analyses are not justified for all the variables we are working with and we wish to produce a set of analyses for which all variables have been analyzed in the same manner. High-resolution analyses as typified by the work of Boyer et al. (2005) will be published separately. We now generate and make available what we term 'Extended Vertical Resolution' (EVR) analyses. Analyses are now produced at 102 depth levels between the surface and 5500 m depth in contrast to 33 depth levels that we have produced in the past. This is made possible by the increased amount of high-resolution data available. Ocean data and analyses of such data at higher vertical resolution than previously available are needed to document the variability of the ocean, including improving diagnostics, understanding, and modeling of the physics of the ocean.","container-title":"U.S. Department of Commerce, National Oceanic and Atmospheric Administration, National Environmental Satellite, Data and Information Service","DOI":"10.7289/v55x26vd","source":"DataCite","title":"World ocean atlas 2013. Volume 1, Temperature","URL":"https://repository.library.noaa.gov/view/noaa/1295","author":[{"family":"Locarnini","given":"Ricardo A."},{"family":"Mishonov","given":"Alexey V."},{"family":"Antonov","given":"John I."},{"family":"Boyer","given":"Timothy P."},{"family":"Garcia","given":"Hernan E."},{"family":"Baranova","given":"Olga K."},{"family":"Zweng","given":"Melissa M."},{"family":"Paver","given":"Christoper R."},{"family":"Reagan","given":"James R."},{"family":"Johnson","given":"Daphne R."},{"family":"Hamilton","given":"Melanie"},{"family":"Seidov","given":"Dan"}],"accessed":{"date-parts":[["2019",1,21]]},"issued":{"date-parts":[["2013"]]}}},{"id":11778,"uris":["http://zotero.org/users/2470179/items/7K7HGQNN"],"itemData":{"id":11778,"type":"article-journal","source":"Google Scholar","title":"World ocean atlas 2023, volume 2: salinity","title-short":"World ocean atlas 2023, volume 2","URL":"https://repository.library.noaa.gov/view/noaa/60600/noaa_60600_DS1.pdf","author":[{"family":"Reagan","given":"James R."},{"family":"Seidov","given":"Dan"},{"family":"Wang","given":"Zhankun"},{"family":"Dukhovskoy","given":"Dmitry"},{"family":"Boyer","given":"Timothy P."},{"family":"Locarnini","given":"Ricardo A."},{"family":"Baranova","given":"Olga K."},{"family":"Mishonov","given":"Alexey V."},{"family":"Garcia","given":"Hernan E."},{"family":"Bouchard","given":"Courtney"}],"accessed":{"date-parts":[["2025",10,22]]},"issued":{"date-parts":[["2024"]]}}}],"schema":"https://github.com/citation-style-language/schema/raw/master/csl-citation.json"} </w:instrText>
      </w:r>
      <w:r w:rsidR="007D34B4" w:rsidRPr="00256EAA">
        <w:rPr>
          <w:sz w:val="22"/>
          <w:szCs w:val="22"/>
          <w:lang w:val="en-GB"/>
        </w:rPr>
        <w:fldChar w:fldCharType="separate"/>
      </w:r>
      <w:r w:rsidR="001E293D" w:rsidRPr="00256EAA">
        <w:rPr>
          <w:sz w:val="22"/>
          <w:szCs w:val="22"/>
        </w:rPr>
        <w:t>(Locarnini et al., 2013; Reagan et al., 2024)</w:t>
      </w:r>
      <w:r w:rsidR="007D34B4" w:rsidRPr="00256EAA">
        <w:rPr>
          <w:sz w:val="22"/>
          <w:szCs w:val="22"/>
          <w:lang w:val="en-GB"/>
        </w:rPr>
        <w:fldChar w:fldCharType="end"/>
      </w:r>
      <w:r w:rsidR="007D34B4" w:rsidRPr="00256EAA">
        <w:rPr>
          <w:sz w:val="22"/>
          <w:szCs w:val="22"/>
          <w:lang w:val="en-GB"/>
        </w:rPr>
        <w:t>.</w:t>
      </w:r>
    </w:p>
    <w:p w14:paraId="6B516555" w14:textId="461BEBF5" w:rsidR="00F557E7" w:rsidRDefault="00F557E7" w:rsidP="00505760">
      <w:pPr>
        <w:jc w:val="both"/>
        <w:rPr>
          <w:b/>
          <w:bCs/>
          <w:sz w:val="22"/>
          <w:szCs w:val="22"/>
          <w:lang w:val="en-GB"/>
        </w:rPr>
      </w:pPr>
      <w:r>
        <w:rPr>
          <w:b/>
          <w:bCs/>
          <w:noProof/>
          <w:sz w:val="22"/>
          <w:szCs w:val="22"/>
          <w:lang w:val="en-GB"/>
        </w:rPr>
        <w:lastRenderedPageBreak/>
        <w:drawing>
          <wp:inline distT="0" distB="0" distL="0" distR="0" wp14:anchorId="3837F41D" wp14:editId="2570E611">
            <wp:extent cx="5731412" cy="1889125"/>
            <wp:effectExtent l="0" t="0" r="3175" b="0"/>
            <wp:docPr id="47283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36208"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412" cy="1889125"/>
                    </a:xfrm>
                    <a:prstGeom prst="rect">
                      <a:avLst/>
                    </a:prstGeom>
                  </pic:spPr>
                </pic:pic>
              </a:graphicData>
            </a:graphic>
          </wp:inline>
        </w:drawing>
      </w:r>
    </w:p>
    <w:p w14:paraId="3A9B9D5A" w14:textId="07D0AB89" w:rsidR="00953791" w:rsidRPr="00256EAA" w:rsidRDefault="00A2177C" w:rsidP="00505760">
      <w:pPr>
        <w:jc w:val="both"/>
        <w:rPr>
          <w:sz w:val="22"/>
          <w:szCs w:val="22"/>
          <w:lang w:val="en-GB"/>
        </w:rPr>
      </w:pPr>
      <w:commentRangeStart w:id="1"/>
      <w:r>
        <w:rPr>
          <w:b/>
          <w:bCs/>
          <w:sz w:val="22"/>
          <w:szCs w:val="22"/>
          <w:lang w:val="en-GB"/>
        </w:rPr>
        <w:t xml:space="preserve">Figure </w:t>
      </w:r>
      <w:commentRangeEnd w:id="1"/>
      <w:r w:rsidR="0006186A">
        <w:rPr>
          <w:rStyle w:val="CommentReference"/>
        </w:rPr>
        <w:commentReference w:id="1"/>
      </w:r>
      <w:r>
        <w:rPr>
          <w:b/>
          <w:bCs/>
          <w:sz w:val="22"/>
          <w:szCs w:val="22"/>
          <w:lang w:val="en-GB"/>
        </w:rPr>
        <w:t>1</w:t>
      </w:r>
      <w:r w:rsidR="00953791">
        <w:rPr>
          <w:sz w:val="22"/>
          <w:szCs w:val="22"/>
          <w:lang w:val="en-GB"/>
        </w:rPr>
        <w:t>: Modern PRIOR (monthly model) and LIKELIHOOD (individual D47 and d18Oc data)</w:t>
      </w:r>
    </w:p>
    <w:p w14:paraId="4818415C" w14:textId="77777777" w:rsidR="00FD10E6" w:rsidRPr="00256EAA" w:rsidRDefault="00FD10E6" w:rsidP="00FD10E6">
      <w:pPr>
        <w:jc w:val="both"/>
        <w:rPr>
          <w:sz w:val="22"/>
          <w:szCs w:val="22"/>
          <w:lang w:val="en-GB"/>
        </w:rPr>
      </w:pPr>
      <w:r w:rsidRPr="00256EAA">
        <w:rPr>
          <w:sz w:val="22"/>
          <w:szCs w:val="22"/>
          <w:lang w:val="en-GB"/>
        </w:rPr>
        <w:t>2.1.2 Pliocene case study</w:t>
      </w:r>
    </w:p>
    <w:p w14:paraId="19ACA35B" w14:textId="5E93D24C" w:rsidR="001E50D0" w:rsidRPr="00256EAA" w:rsidRDefault="00FD10E6" w:rsidP="00FD10E6">
      <w:pPr>
        <w:jc w:val="both"/>
        <w:rPr>
          <w:sz w:val="22"/>
          <w:szCs w:val="22"/>
          <w:lang w:val="en-GB"/>
        </w:rPr>
      </w:pPr>
      <w:r w:rsidRPr="00256EAA">
        <w:rPr>
          <w:sz w:val="22"/>
          <w:szCs w:val="22"/>
          <w:lang w:val="en-GB"/>
        </w:rPr>
        <w:t>A case study focused on the Pliocene Warm Period (PWP) was ass</w:t>
      </w:r>
      <w:r w:rsidR="003E7FF0">
        <w:rPr>
          <w:sz w:val="22"/>
          <w:szCs w:val="22"/>
          <w:lang w:val="en-GB"/>
        </w:rPr>
        <w:t>imilated</w:t>
      </w:r>
      <w:r w:rsidRPr="00256EAA">
        <w:rPr>
          <w:sz w:val="22"/>
          <w:szCs w:val="22"/>
          <w:lang w:val="en-GB"/>
        </w:rPr>
        <w:t xml:space="preserve"> based on Δ</w:t>
      </w:r>
      <w:r w:rsidRPr="00256EAA">
        <w:rPr>
          <w:sz w:val="22"/>
          <w:szCs w:val="22"/>
          <w:vertAlign w:val="subscript"/>
          <w:lang w:val="en-GB"/>
        </w:rPr>
        <w:t>47</w:t>
      </w:r>
      <w:r w:rsidRPr="00256EAA">
        <w:rPr>
          <w:sz w:val="22"/>
          <w:szCs w:val="22"/>
          <w:lang w:val="en-GB"/>
        </w:rPr>
        <w:t xml:space="preserve"> and δ</w:t>
      </w:r>
      <w:r w:rsidRPr="00256EAA">
        <w:rPr>
          <w:sz w:val="22"/>
          <w:szCs w:val="22"/>
          <w:vertAlign w:val="superscript"/>
          <w:lang w:val="en-GB"/>
        </w:rPr>
        <w:t>18</w:t>
      </w:r>
      <w:r w:rsidRPr="00256EAA">
        <w:rPr>
          <w:sz w:val="22"/>
          <w:szCs w:val="22"/>
          <w:lang w:val="en-GB"/>
        </w:rPr>
        <w:t>O data from 7 shells from 6 different bivalve species dated to within the mid-</w:t>
      </w:r>
      <w:proofErr w:type="spellStart"/>
      <w:r w:rsidRPr="00256EAA">
        <w:rPr>
          <w:sz w:val="22"/>
          <w:szCs w:val="22"/>
          <w:lang w:val="en-GB"/>
        </w:rPr>
        <w:t>Piazencian</w:t>
      </w:r>
      <w:proofErr w:type="spellEnd"/>
      <w:r w:rsidRPr="00256EAA">
        <w:rPr>
          <w:sz w:val="22"/>
          <w:szCs w:val="22"/>
          <w:lang w:val="en-GB"/>
        </w:rPr>
        <w:t xml:space="preserve"> Warm Period (3.3 – 3.0 Ma) of the North Sea Basin </w:t>
      </w:r>
      <w:r w:rsidRPr="00256EAA">
        <w:rPr>
          <w:sz w:val="22"/>
          <w:szCs w:val="22"/>
          <w:lang w:val="en-GB"/>
        </w:rPr>
        <w:fldChar w:fldCharType="begin"/>
      </w:r>
      <w:r w:rsidRPr="00256EAA">
        <w:rPr>
          <w:sz w:val="22"/>
          <w:szCs w:val="22"/>
          <w:lang w:val="en-GB"/>
        </w:rPr>
        <w:instrText xml:space="preserve"> ADDIN ZOTERO_ITEM CSL_CITATION {"citationID":"nEGYCspz","properties":{"formattedCitation":"(de Winter et al., 2024)","plainCitation":"(de Winter et al., 2024)","noteIndex":0},"citationItems":[{"id":2782,"uris":["http://zotero.org/users/2470179/items/DDJJAF7R"],"itemData":{"id":2782,"type":"article-journal","abstract":"Documenting the seasonal temperature cycle constitutes an essential step toward mitigating risks associated with extreme weather events in a future warmer world. The mid-Piacenzian Warm Period (mPWP), 3.3 to 3.0 million years ago, featured global temperatures approximately 3°C above preindustrial levels. It represents an ideal period for directed paleoclimate reconstructions equivalent to model projections for 2100 under moderate Shared Socioeconomic Pathway SSP2-4.5. Here, seasonal clumped isotope analyses of fossil mollusk shells from the North Sea are presented to test Pliocene Model Intercomparison Project 2 outcomes. Joint data and model evidence reveals enhanced summer warming (+4.3° ± 1.0°C) compared to winter (+2.5° ± 1.5°C) during the mPWP, equivalent to SSP2-4.5 outcomes for future climate. We show that Arctic amplification of global warming weakens mid-latitude summer circulation while intensifying seasonal contrast in temperature and precipitation, leading to an increased risk of summer heat waves and other extreme weather events in Europe’s future.","container-title":"Science Advances","DOI":"10.1126/sciadv.adl6717","issue":"20","note":"publisher: American Association for the Advancement of Science","page":"eadl6717","source":"science.org (Atypon)","title":"Amplified seasonality in western Europe in a warmer world","volume":"10","author":[{"family":"Winter","given":"Niels J.","non-dropping-particle":"de"},{"family":"Tindall","given":"Julia"},{"family":"Johnson","given":"Andrew L. A."},{"family":"Goudsmit-Harzevoort","given":"Barbara"},{"family":"Wichern","given":"Nina"},{"family":"Kaskes","given":"Pim"},{"family":"Claeys","given":"Philippe"},{"family":"Huygen","given":"Fynn"},{"family":"Leeuwen","given":"Sonja","non-dropping-particle":"van"},{"family":"Metcalfe","given":"Brett"},{"family":"Bakker","given":"Pepijn"},{"family":"Goolaerts","given":"Stijn"},{"family":"Wesselingh","given":"Frank"},{"family":"Ziegler","given":"Martin"}],"issued":{"date-parts":[["2024",5,15]]}}}],"schema":"https://github.com/citation-style-language/schema/raw/master/csl-citation.json"} </w:instrText>
      </w:r>
      <w:r w:rsidRPr="00256EAA">
        <w:rPr>
          <w:sz w:val="22"/>
          <w:szCs w:val="22"/>
          <w:lang w:val="en-GB"/>
        </w:rPr>
        <w:fldChar w:fldCharType="separate"/>
      </w:r>
      <w:r w:rsidRPr="00256EAA">
        <w:rPr>
          <w:sz w:val="22"/>
          <w:szCs w:val="22"/>
        </w:rPr>
        <w:t>(de Winter et al., 2024)</w:t>
      </w:r>
      <w:r w:rsidRPr="00256EAA">
        <w:rPr>
          <w:sz w:val="22"/>
          <w:szCs w:val="22"/>
          <w:lang w:val="en-GB"/>
        </w:rPr>
        <w:fldChar w:fldCharType="end"/>
      </w:r>
      <w:r w:rsidRPr="00256EAA">
        <w:rPr>
          <w:sz w:val="22"/>
          <w:szCs w:val="22"/>
          <w:lang w:val="en-GB"/>
        </w:rPr>
        <w:t xml:space="preserve">. </w:t>
      </w:r>
      <w:r w:rsidR="004019EA" w:rsidRPr="00256EAA">
        <w:rPr>
          <w:sz w:val="22"/>
          <w:szCs w:val="22"/>
          <w:lang w:val="en-GB"/>
        </w:rPr>
        <w:t>Clumped and oxygen isotope data was not further processed for this study and used to form the likelihood for data assimilation.</w:t>
      </w:r>
      <w:r w:rsidR="00256EAA" w:rsidRPr="00256EAA">
        <w:rPr>
          <w:sz w:val="22"/>
          <w:szCs w:val="22"/>
          <w:lang w:val="en-GB"/>
        </w:rPr>
        <w:t xml:space="preserve"> </w:t>
      </w:r>
      <w:r w:rsidR="00256EAA">
        <w:rPr>
          <w:sz w:val="22"/>
          <w:szCs w:val="22"/>
          <w:lang w:val="en-GB"/>
        </w:rPr>
        <w:t xml:space="preserve">By default, isotope data was aggregated into monthly time bins before assimilation, propagating measurement uncertainty. However, since this dataset contains a detailed internal age model with uncertainty estimation per datapoint (see </w:t>
      </w:r>
      <w:r w:rsidR="00256EAA">
        <w:rPr>
          <w:sz w:val="22"/>
          <w:szCs w:val="22"/>
          <w:lang w:val="en-GB"/>
        </w:rPr>
        <w:fldChar w:fldCharType="begin"/>
      </w:r>
      <w:r w:rsidR="00256EAA">
        <w:rPr>
          <w:sz w:val="22"/>
          <w:szCs w:val="22"/>
          <w:lang w:val="en-GB"/>
        </w:rPr>
        <w:instrText xml:space="preserve"> ADDIN ZOTERO_ITEM CSL_CITATION {"citationID":"I5M1RTSG","properties":{"formattedCitation":"(de Winter, 2022)","plainCitation":"(de Winter, 2022)","noteIndex":0},"citationItems":[{"id":2537,"uris":["http://zotero.org/users/2470179/items/SINCRV57"],"itemData":{"id":2537,"type":"article-journal","abstract":"&lt;p&gt;&lt;strong class=\"journal-contentHeaderColor\"&gt;Abstract.&lt;/strong&gt; This work presents ShellChron, a new model for generating accurate internal age models for high-resolution paleoclimate archives, such as corals, mollusk shells, and speleothems. Reliable sub-annual age models form the backbone of high-resolution paleoclimate studies. In the absence of independent sub-annual growth markers in many of these archives, the most reliable method for determining the age of samples is through age modeling based on stable oxygen isotope or other seasonally controlled proxy records. ShellChron expands on previous solutions to the age model problem by fitting a combination of a growth rate and temperature sinusoid to model seasonal variability in the proxy record in a sliding window approach. This new approach creates smoother, more precise age–distance relationships for multi-annual proxy records with the added benefit of allowing assessment of the uncertainty in the modeled age. The modular script of ShellChron allows the model to be tailored to specific archives, without being limited to oxygen isotope proxy records or carbonate archives, with high flexibility in assigning the relationship between the input proxy and the seasonal cycle. The performance of ShellChron in terms of accuracy and computation time is tested on a set of virtual seasonality records and real coral, mollusk, and speleothem archives. The result shows that several key improvements in comparison to previous age model routines enhance the accuracy of ShellChron on multi-annual records while limiting its processing time. The current full working version of ShellChron enables the user to model the age of 10-year-long high-resolution (16 samples yr&lt;span class=\"inline-formula\"&gt;&lt;sup&gt;−1&lt;/sup&gt;&lt;/span&gt;) carbonate records with monthly accuracy within 1 h of computation time on a personal computer. The model is freely accessible on the CRAN database and GitHub. Members of the community are invited to contribute by adapting the model code to suit their research topics and encouraged to cite the original work of Judd et al. (2018) alongside this work when using ShellChron in future studies.&lt;/p&gt;","container-title":"Geoscientific Model Development","DOI":"10.5194/gmd-15-1247-2022","ISSN":"1991-959X","issue":"3","language":"English","note":"publisher: Copernicus GmbH","page":"1247-1267","source":"gmd.copernicus.org","title":"ShellChron 0.4.0: a new tool for constructing chronologies in accretionary carbonate archives from stable oxygen isotope profiles","title-short":"ShellChron 0.4.0","volume":"15","author":[{"family":"Winter","given":"N. J.","non-dropping-particle":"de"}],"issued":{"date-parts":[["2022",2,10]]}}}],"schema":"https://github.com/citation-style-language/schema/raw/master/csl-citation.json"} </w:instrText>
      </w:r>
      <w:r w:rsidR="00256EAA">
        <w:rPr>
          <w:sz w:val="22"/>
          <w:szCs w:val="22"/>
          <w:lang w:val="en-GB"/>
        </w:rPr>
        <w:fldChar w:fldCharType="separate"/>
      </w:r>
      <w:r w:rsidR="00256EAA" w:rsidRPr="00256EAA">
        <w:rPr>
          <w:rFonts w:ascii="Aptos" w:hAnsi="Aptos"/>
          <w:sz w:val="22"/>
        </w:rPr>
        <w:t>(de Winter, 2022)</w:t>
      </w:r>
      <w:r w:rsidR="00256EAA">
        <w:rPr>
          <w:sz w:val="22"/>
          <w:szCs w:val="22"/>
          <w:lang w:val="en-GB"/>
        </w:rPr>
        <w:fldChar w:fldCharType="end"/>
      </w:r>
      <w:r w:rsidR="00256EAA">
        <w:rPr>
          <w:sz w:val="22"/>
          <w:szCs w:val="22"/>
          <w:lang w:val="en-GB"/>
        </w:rPr>
        <w:t xml:space="preserve"> for details on </w:t>
      </w:r>
      <w:r w:rsidR="00953791">
        <w:rPr>
          <w:sz w:val="22"/>
          <w:szCs w:val="22"/>
          <w:lang w:val="en-GB"/>
        </w:rPr>
        <w:t xml:space="preserve">the statistical treatment of these uncertainties), we use this dataset to assess the impact of internal dating uncertainty on </w:t>
      </w:r>
      <w:proofErr w:type="spellStart"/>
      <w:r w:rsidR="00953791">
        <w:rPr>
          <w:sz w:val="22"/>
          <w:szCs w:val="22"/>
          <w:lang w:val="en-GB"/>
        </w:rPr>
        <w:t>paleoDA</w:t>
      </w:r>
      <w:proofErr w:type="spellEnd"/>
      <w:r w:rsidR="00953791">
        <w:rPr>
          <w:sz w:val="22"/>
          <w:szCs w:val="22"/>
          <w:lang w:val="en-GB"/>
        </w:rPr>
        <w:t xml:space="preserve"> outcomes by propagating the dating uncertainty through the assimilation and aggregating data and model outcomes in both monthly and seasonal (three-monthly) bins.</w:t>
      </w:r>
    </w:p>
    <w:p w14:paraId="7116BB81" w14:textId="2E6587EA" w:rsidR="001E293D" w:rsidRDefault="004019EA" w:rsidP="00FD10E6">
      <w:pPr>
        <w:jc w:val="both"/>
        <w:rPr>
          <w:sz w:val="22"/>
          <w:szCs w:val="22"/>
          <w:lang w:val="en-GB"/>
        </w:rPr>
      </w:pPr>
      <w:r w:rsidRPr="00256EAA">
        <w:rPr>
          <w:sz w:val="22"/>
          <w:szCs w:val="22"/>
          <w:lang w:val="en-GB"/>
        </w:rPr>
        <w:t>As a prior estimate for the climate state in the Pliocene North Sea, monthly SST, SAT, SSS and precipitation outcomes were extracted from</w:t>
      </w:r>
      <w:r w:rsidR="007C5671" w:rsidRPr="00256EAA">
        <w:rPr>
          <w:sz w:val="22"/>
          <w:szCs w:val="22"/>
          <w:lang w:val="en-GB"/>
        </w:rPr>
        <w:t xml:space="preserve"> </w:t>
      </w:r>
      <w:r w:rsidR="007C5671" w:rsidRPr="00256EAA">
        <w:rPr>
          <w:sz w:val="22"/>
          <w:szCs w:val="22"/>
        </w:rPr>
        <w:t>local ocean grid cells (51°N to 55°N, 2°E to 4°E) in</w:t>
      </w:r>
      <w:r w:rsidRPr="00256EAA">
        <w:rPr>
          <w:sz w:val="22"/>
          <w:szCs w:val="22"/>
          <w:lang w:val="en-GB"/>
        </w:rPr>
        <w:t xml:space="preserve"> the Pliocene Model Intercomparison Project phase 2 (PlioMIP2) ass</w:t>
      </w:r>
      <w:r w:rsidR="003E7FF0">
        <w:rPr>
          <w:sz w:val="22"/>
          <w:szCs w:val="22"/>
          <w:lang w:val="en-GB"/>
        </w:rPr>
        <w:t>imilated</w:t>
      </w:r>
      <w:r w:rsidRPr="00256EAA">
        <w:rPr>
          <w:sz w:val="22"/>
          <w:szCs w:val="22"/>
          <w:lang w:val="en-GB"/>
        </w:rPr>
        <w:t xml:space="preserve"> </w:t>
      </w:r>
      <w:r w:rsidRPr="00256EAA">
        <w:rPr>
          <w:sz w:val="22"/>
          <w:szCs w:val="22"/>
          <w:lang w:val="en-GB"/>
        </w:rPr>
        <w:fldChar w:fldCharType="begin"/>
      </w:r>
      <w:r w:rsidRPr="00256EAA">
        <w:rPr>
          <w:sz w:val="22"/>
          <w:szCs w:val="22"/>
          <w:lang w:val="en-GB"/>
        </w:rPr>
        <w:instrText xml:space="preserve"> ADDIN ZOTERO_ITEM CSL_CITATION {"citationID":"6aCxzH14","properties":{"formattedCitation":"(Haywood et al., 2016)","plainCitation":"(Haywood et al., 2016)","noteIndex":0},"citationItems":[{"id":2286,"uris":["http://zotero.org/users/2470179/items/8AU2K8B3"],"itemData":{"id":2286,"type":"article-journal","abstract":"The Pliocene Model Intercomparison Project (PlioMIP) is a co-ordinated international climate modelling initiative to study and understand climate and environments of the Late Pliocene, as well as their potential relevance in the context of future climate change. PlioMIP examines the consistency of model predictions in simulating Pliocene climate and their ability to reproduce climate signals preserved by geological climate archives. Here we provide a description of the aim and objectives of the next phase of the model intercomparison project (PlioMIP Phase 2), and we present the experimental design and boundary conditions that will be utilized for climate model experiments in Phase 2. \n\n Following on from PlioMIP Phase 1, Phase 2 will continue to be a mechanism for sampling structural uncertainty within climate models. However, Phase 1 demonstrated the requirement to better understand boundary condition uncertainties as well as uncertainty in the methodologies used for data–model comparison. Therefore, our strategy for Phase 2 is to utilize state-of-the-art boundary conditions that have emerged over the last 5 years. These include a new palaeogeographic reconstruction, detailing ocean bathymetry and land–ice surface topography. The ice surface topography is built upon the lessons learned from offline ice sheet modelling studies. Land surface cover has been enhanced by recent additions of Pliocene soils and lakes. Atmospheric reconstructions of palaeo-CO2 are emerging on orbital timescales, and these are also incorporated into PlioMIP Phase 2. New records of surface and sea surface temperature change are being produced that will be more temporally consistent with the boundary conditions and forcings used within models. \n\n Finally we have designed a suite of prioritized experiments that tackle issues surrounding the basic understanding of the Pliocene and its relevance in the context of future climate change in a discrete way.","container-title":"Climate of the Past","DOI":"10.5194/cp-12-663-2016","ISSN":"1814-9324","issue":"3","language":"English","note":"publisher: Copernicus GmbH","page":"663-675","source":"Copernicus Online Journals","title":"The Pliocene Model Intercomparison Project (PlioMIP) Phase 2: scientific objectives and experimental design","title-short":"The Pliocene Model Intercomparison Project (PlioMIP) Phase 2","volume":"12","author":[{"family":"Haywood","given":"Alan M."},{"family":"Dowsett","given":"Harry J."},{"family":"Dolan","given":"Aisling M."},{"family":"Rowley","given":"David"},{"family":"Abe-Ouchi","given":"Ayako"},{"family":"Otto-Bliesner","given":"Bette"},{"family":"Chandler","given":"Mark A."},{"family":"Hunter","given":"Stephen J."},{"family":"Lunt","given":"Daniel J."},{"family":"Pound","given":"Matthew"},{"family":"Salzmann","given":"Ulrich"}],"issued":{"date-parts":[["2016",3,16]]}}}],"schema":"https://github.com/citation-style-language/schema/raw/master/csl-citation.json"} </w:instrText>
      </w:r>
      <w:r w:rsidRPr="00256EAA">
        <w:rPr>
          <w:sz w:val="22"/>
          <w:szCs w:val="22"/>
          <w:lang w:val="en-GB"/>
        </w:rPr>
        <w:fldChar w:fldCharType="separate"/>
      </w:r>
      <w:r w:rsidRPr="00256EAA">
        <w:rPr>
          <w:sz w:val="22"/>
          <w:szCs w:val="22"/>
        </w:rPr>
        <w:t>(Haywood et al., 2016)</w:t>
      </w:r>
      <w:r w:rsidRPr="00256EAA">
        <w:rPr>
          <w:sz w:val="22"/>
          <w:szCs w:val="22"/>
          <w:lang w:val="en-GB"/>
        </w:rPr>
        <w:fldChar w:fldCharType="end"/>
      </w:r>
      <w:r w:rsidRPr="00256EAA">
        <w:rPr>
          <w:sz w:val="22"/>
          <w:szCs w:val="22"/>
          <w:lang w:val="en-GB"/>
        </w:rPr>
        <w:t>.</w:t>
      </w:r>
      <w:r w:rsidR="007C5671" w:rsidRPr="00256EAA">
        <w:rPr>
          <w:sz w:val="22"/>
          <w:szCs w:val="22"/>
          <w:lang w:val="en-GB"/>
        </w:rPr>
        <w:t xml:space="preserve"> Model uncertainties were calculated from variability between grid cells.</w:t>
      </w:r>
    </w:p>
    <w:p w14:paraId="4A24E37C" w14:textId="4441F86D" w:rsidR="002000F4" w:rsidRDefault="002000F4" w:rsidP="00953791">
      <w:pPr>
        <w:jc w:val="both"/>
        <w:rPr>
          <w:b/>
          <w:bCs/>
          <w:sz w:val="22"/>
          <w:szCs w:val="22"/>
          <w:lang w:val="en-GB"/>
        </w:rPr>
      </w:pPr>
      <w:r>
        <w:rPr>
          <w:b/>
          <w:bCs/>
          <w:noProof/>
          <w:sz w:val="22"/>
          <w:szCs w:val="22"/>
          <w:lang w:val="en-GB"/>
        </w:rPr>
        <w:drawing>
          <wp:inline distT="0" distB="0" distL="0" distR="0" wp14:anchorId="31E4523A" wp14:editId="69F5706B">
            <wp:extent cx="5731412" cy="1889125"/>
            <wp:effectExtent l="0" t="0" r="3175" b="0"/>
            <wp:docPr id="7871426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42637"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412" cy="1889125"/>
                    </a:xfrm>
                    <a:prstGeom prst="rect">
                      <a:avLst/>
                    </a:prstGeom>
                  </pic:spPr>
                </pic:pic>
              </a:graphicData>
            </a:graphic>
          </wp:inline>
        </w:drawing>
      </w:r>
    </w:p>
    <w:p w14:paraId="678E8AA8" w14:textId="45A79C53" w:rsidR="00953791" w:rsidRPr="00256EAA" w:rsidRDefault="00A2177C" w:rsidP="00953791">
      <w:pPr>
        <w:jc w:val="both"/>
        <w:rPr>
          <w:sz w:val="22"/>
          <w:szCs w:val="22"/>
          <w:lang w:val="en-GB"/>
        </w:rPr>
      </w:pPr>
      <w:r>
        <w:rPr>
          <w:b/>
          <w:bCs/>
          <w:sz w:val="22"/>
          <w:szCs w:val="22"/>
          <w:lang w:val="en-GB"/>
        </w:rPr>
        <w:t>Figure 2</w:t>
      </w:r>
      <w:r w:rsidR="00953791">
        <w:rPr>
          <w:sz w:val="22"/>
          <w:szCs w:val="22"/>
          <w:lang w:val="en-GB"/>
        </w:rPr>
        <w:t>: Pliocene PRIOR (monthly model) and LIKELIHOOD (individual D47 and d18Oc data)&gt;</w:t>
      </w:r>
    </w:p>
    <w:p w14:paraId="23F339EF" w14:textId="7199361A" w:rsidR="004019EA" w:rsidRPr="00256EAA" w:rsidRDefault="004019EA" w:rsidP="00FD10E6">
      <w:pPr>
        <w:jc w:val="both"/>
        <w:rPr>
          <w:sz w:val="22"/>
          <w:szCs w:val="22"/>
          <w:lang w:val="en-GB"/>
        </w:rPr>
      </w:pPr>
      <w:r w:rsidRPr="00256EAA">
        <w:rPr>
          <w:sz w:val="22"/>
          <w:szCs w:val="22"/>
          <w:lang w:val="en-GB"/>
        </w:rPr>
        <w:t>2.1.3 Eocene case study</w:t>
      </w:r>
    </w:p>
    <w:p w14:paraId="37AA7A4A" w14:textId="3E905BB5" w:rsidR="001E50D0" w:rsidRPr="00256EAA" w:rsidRDefault="004019EA" w:rsidP="00FD10E6">
      <w:pPr>
        <w:jc w:val="both"/>
        <w:rPr>
          <w:sz w:val="22"/>
          <w:szCs w:val="22"/>
          <w:lang w:val="en-GB"/>
        </w:rPr>
      </w:pPr>
      <w:r w:rsidRPr="00256EAA">
        <w:rPr>
          <w:sz w:val="22"/>
          <w:szCs w:val="22"/>
          <w:lang w:val="en-GB"/>
        </w:rPr>
        <w:t xml:space="preserve">A second </w:t>
      </w:r>
      <w:proofErr w:type="spellStart"/>
      <w:r w:rsidRPr="00256EAA">
        <w:rPr>
          <w:sz w:val="22"/>
          <w:szCs w:val="22"/>
          <w:lang w:val="en-GB"/>
        </w:rPr>
        <w:t>paleoDA</w:t>
      </w:r>
      <w:proofErr w:type="spellEnd"/>
      <w:r w:rsidRPr="00256EAA">
        <w:rPr>
          <w:sz w:val="22"/>
          <w:szCs w:val="22"/>
          <w:lang w:val="en-GB"/>
        </w:rPr>
        <w:t xml:space="preserve"> case study was based on a high-resolution clumped and oxygen isotope dataset obtained from the giant marine gastropod </w:t>
      </w:r>
      <w:r w:rsidRPr="00256EAA">
        <w:rPr>
          <w:i/>
          <w:iCs/>
          <w:sz w:val="22"/>
          <w:szCs w:val="22"/>
          <w:lang w:val="en-GB"/>
        </w:rPr>
        <w:t>Campanile giganteum</w:t>
      </w:r>
      <w:r w:rsidRPr="00256EAA">
        <w:rPr>
          <w:sz w:val="22"/>
          <w:szCs w:val="22"/>
          <w:lang w:val="en-GB"/>
        </w:rPr>
        <w:t xml:space="preserve"> from the Lutetian </w:t>
      </w:r>
      <w:r w:rsidRPr="00256EAA">
        <w:rPr>
          <w:sz w:val="22"/>
          <w:szCs w:val="22"/>
          <w:lang w:val="en-GB"/>
        </w:rPr>
        <w:lastRenderedPageBreak/>
        <w:t>(middle Eocene, ~45 Ma) Paris Basin in northern France</w:t>
      </w:r>
      <w:r w:rsidR="0086443C" w:rsidRPr="00256EAA">
        <w:rPr>
          <w:sz w:val="22"/>
          <w:szCs w:val="22"/>
          <w:lang w:val="en-GB"/>
        </w:rPr>
        <w:t xml:space="preserve"> (49°06’05”N; 3°52’54”E; </w:t>
      </w:r>
      <w:r w:rsidRPr="00256EAA">
        <w:rPr>
          <w:sz w:val="22"/>
          <w:szCs w:val="22"/>
          <w:lang w:val="en-GB"/>
        </w:rPr>
        <w:fldChar w:fldCharType="begin"/>
      </w:r>
      <w:r w:rsidRPr="00256EAA">
        <w:rPr>
          <w:sz w:val="22"/>
          <w:szCs w:val="22"/>
          <w:lang w:val="en-GB"/>
        </w:rPr>
        <w:instrText xml:space="preserve"> ADDIN ZOTERO_ITEM CSL_CITATION {"citationID":"JkBKeEhC","properties":{"formattedCitation":"(de Winter et al., 2020b)","plainCitation":"(de Winter et al., 2020b)","noteIndex":0},"citationItems":[{"id":193,"uris":["http://zotero.org/users/2470179/items/SA3XGIQS"],"itemData":{"id":193,"type":"article-journal","abstract":"Giant gastropods are among the largest mollusks in the fossil record, but their potential as paleoseasonality archives has received little attention. Here, we combine stable isotope and trace element analyses with microscopic observations and growth modelling on shells of two species of the gastropod genus Campanile: the extinct C. giganteum from Lutetian ( 45 Ma) deposits in the Paris Basin (France), the longest gastropod known from the fossil record, and its modern relative C. symbolicum from southwestern Australia. The C. giganteum shells contain original aragonite and have pristine nacre in their apertures. We show that these gastropods attained growth rates exceeding 600 mm/yr along their helix, depositing over 300 cm3 aragonite per year. High growth rates and excellent preservation make C. giganteum excellent archives for reconstructing environmental change at high (potentially daily) temporal resolution, while providing enough material for methods such as clumped isotope analysis. Growth models show that Campanile gastropods grew nearly year-round, albeit slower in winter. Stable oxygen isotope ratios in modern C. symbolicum faithfully record a seasonal variability of 18°C - 25°C in sea surface temperature, only failing to record the coolest winter temperatures (down to 16°C). Similarly, C. giganteum specimens likely record a nearly complete seasonal temperature range. Assuming constant sea water isotope composition, their oxygen isotope seasonality of up to 2.5‰ would translate to a Lutetian temperature range of 21-32°C in the Paris Basin. We hypothesize that these high and seasonally variable temperatures formed the breeding ground for the Lutetian shallow marine biodiversity hotspot in the Paris Basin.","container-title":"Geochemistry, Geophysics, Geosystems","DOI":"10.1029/2019GC008794","ISSN":"1525-2027","issue":"n/a","language":"en","license":"This article is protected by copyright. All rights reserved.","note":"_eprint: https://onlinelibrary.wiley.com/doi/pdf/10.1029/2019GC008794","page":"e2019GC008794","source":"Wiley Online Library","title":"The giant marine gastropod Campanile giganteum (Lamarck, 1804) as a high-resolution archive of seasonality in the Eocene greenhouse world","volume":"21","author":[{"family":"Winter","given":"Niels J.","non-dropping-particle":"de"},{"family":"Vellekoop","given":"Johan"},{"family":"Clark","given":"Alexander J."},{"family":"Stassen","given":"Peter"},{"family":"Speijer","given":"Robert P."},{"family":"Claeys","given":"Philippe"}],"issued":{"date-parts":[["2020"]]}}}],"schema":"https://github.com/citation-style-language/schema/raw/master/csl-citation.json"} </w:instrText>
      </w:r>
      <w:r w:rsidRPr="00256EAA">
        <w:rPr>
          <w:sz w:val="22"/>
          <w:szCs w:val="22"/>
          <w:lang w:val="en-GB"/>
        </w:rPr>
        <w:fldChar w:fldCharType="separate"/>
      </w:r>
      <w:r w:rsidRPr="00256EAA">
        <w:rPr>
          <w:sz w:val="22"/>
          <w:szCs w:val="22"/>
        </w:rPr>
        <w:t>(de Winter et al., 2020b)</w:t>
      </w:r>
      <w:r w:rsidRPr="00256EAA">
        <w:rPr>
          <w:sz w:val="22"/>
          <w:szCs w:val="22"/>
          <w:lang w:val="en-GB"/>
        </w:rPr>
        <w:fldChar w:fldCharType="end"/>
      </w:r>
      <w:r w:rsidRPr="00256EAA">
        <w:rPr>
          <w:sz w:val="22"/>
          <w:szCs w:val="22"/>
          <w:lang w:val="en-GB"/>
        </w:rPr>
        <w:t xml:space="preserve">. The clumped and oxygen isotope data originally published in </w:t>
      </w:r>
      <w:r w:rsidR="00273730" w:rsidRPr="00256EAA">
        <w:rPr>
          <w:sz w:val="22"/>
          <w:szCs w:val="22"/>
          <w:lang w:val="en-GB"/>
        </w:rPr>
        <w:fldChar w:fldCharType="begin"/>
      </w:r>
      <w:r w:rsidR="00273730" w:rsidRPr="00256EAA">
        <w:rPr>
          <w:sz w:val="22"/>
          <w:szCs w:val="22"/>
          <w:lang w:val="en-GB"/>
        </w:rPr>
        <w:instrText xml:space="preserve"> ADDIN ZOTERO_ITEM CSL_CITATION {"citationID":"Le64KLMe","properties":{"formattedCitation":"(Van Horebeek et al., 2025)","plainCitation":"(Van Horebeek et al., 2025)","noteIndex":0},"citationItems":[{"id":11799,"uris":["http://zotero.org/users/2470179/items/4PVD3W5W"],"itemData":{"id":11799,"type":"article-journal","abstract":"The middle Eocene warmhouse period (45 million years ago) featured atmospheric carbon dioxide concentrations equivalent to those projected under high future emission scenarios. Seasonal- to weather timescale climate reconstructions from this period can provide critical insight into the impact of Anthropogenic warming on intra-annual variability in temperature and precipitation. Here, we combine daily-scale reconstructions of the evolution of temperature and the water cycle in western Europe based on stable oxygen and clumped isotope analyses on the fastest-growing gastropod known in the fossil record: Campanile giganteum. Our dataset shows that the middle Eocene of western Europe featured monsoon-like conditions, with seawater temperatures of ~24</w:instrText>
      </w:r>
      <w:r w:rsidR="00273730" w:rsidRPr="00256EAA">
        <w:rPr>
          <w:rFonts w:ascii="Arial" w:hAnsi="Arial" w:cs="Arial"/>
          <w:sz w:val="22"/>
          <w:szCs w:val="22"/>
          <w:lang w:val="en-GB"/>
        </w:rPr>
        <w:instrText> </w:instrText>
      </w:r>
      <w:r w:rsidR="00273730" w:rsidRPr="00256EAA">
        <w:rPr>
          <w:rFonts w:cs="Aptos"/>
          <w:sz w:val="22"/>
          <w:szCs w:val="22"/>
          <w:lang w:val="en-GB"/>
        </w:rPr>
        <w:instrText>°</w:instrText>
      </w:r>
      <w:r w:rsidR="00273730" w:rsidRPr="00256EAA">
        <w:rPr>
          <w:sz w:val="22"/>
          <w:szCs w:val="22"/>
          <w:lang w:val="en-GB"/>
        </w:rPr>
        <w:instrText>C during mild and wet winters, &gt;30</w:instrText>
      </w:r>
      <w:r w:rsidR="00273730" w:rsidRPr="00256EAA">
        <w:rPr>
          <w:rFonts w:ascii="Arial" w:hAnsi="Arial" w:cs="Arial"/>
          <w:sz w:val="22"/>
          <w:szCs w:val="22"/>
          <w:lang w:val="en-GB"/>
        </w:rPr>
        <w:instrText> </w:instrText>
      </w:r>
      <w:r w:rsidR="00273730" w:rsidRPr="00256EAA">
        <w:rPr>
          <w:rFonts w:cs="Aptos"/>
          <w:sz w:val="22"/>
          <w:szCs w:val="22"/>
          <w:lang w:val="en-GB"/>
        </w:rPr>
        <w:instrText>°</w:instrText>
      </w:r>
      <w:r w:rsidR="00273730" w:rsidRPr="00256EAA">
        <w:rPr>
          <w:sz w:val="22"/>
          <w:szCs w:val="22"/>
          <w:lang w:val="en-GB"/>
        </w:rPr>
        <w:instrText>C during hot and dry spring and autumn seasons, and ~28</w:instrText>
      </w:r>
      <w:r w:rsidR="00273730" w:rsidRPr="00256EAA">
        <w:rPr>
          <w:rFonts w:ascii="Arial" w:hAnsi="Arial" w:cs="Arial"/>
          <w:sz w:val="22"/>
          <w:szCs w:val="22"/>
          <w:lang w:val="en-GB"/>
        </w:rPr>
        <w:instrText> </w:instrText>
      </w:r>
      <w:r w:rsidR="00273730" w:rsidRPr="00256EAA">
        <w:rPr>
          <w:rFonts w:cs="Aptos"/>
          <w:sz w:val="22"/>
          <w:szCs w:val="22"/>
          <w:lang w:val="en-GB"/>
        </w:rPr>
        <w:instrText>°</w:instrText>
      </w:r>
      <w:r w:rsidR="00273730" w:rsidRPr="00256EAA">
        <w:rPr>
          <w:sz w:val="22"/>
          <w:szCs w:val="22"/>
          <w:lang w:val="en-GB"/>
        </w:rPr>
        <w:instrText xml:space="preserve">C during warm and comparatively wet summers. Coupled climate model simulations using the Community Earth System Model indicate these seasonal variations in temperature and precipitation were driven by shifting atmospheric and oceanic circulation regimes over Western Europe, with winds from different directions bringing distinct waters to the region and minimal wind during spring reducing cooling through diminished latent heat flux. Our results highlight that Europe may experience wetter summers with more frequent extreme rainfall events under future high emissions scenarios.","container-title":"Nature Communications","DOI":"10.1038/s41467-025-64241-0","ISSN":"2041-1723","issue":"1","journalAbbreviation":"Nat Commun","language":"en","license":"2025 The Author(s)","note":"publisher: Nature Publishing Group","page":"9207","source":"www-nature-com.vu-nl.idm.oclc.org","title":"A European monsoon-like climate in a warmhouse world","volume":"16","author":[{"family":"Van Horebeek","given":"Nick"},{"family":"Winter","given":"Niels J.","non-dropping-particle":"de"},{"family":"Baatsen","given":"Michiel"},{"family":"Ziegler","given":"Martin"},{"family":"Speijer","given":"Robert P."},{"family":"Vellekoop","given":"Johan"}],"issued":{"date-parts":[["2025",10,28]]}}}],"schema":"https://github.com/citation-style-language/schema/raw/master/csl-citation.json"} </w:instrText>
      </w:r>
      <w:r w:rsidR="00273730" w:rsidRPr="00256EAA">
        <w:rPr>
          <w:sz w:val="22"/>
          <w:szCs w:val="22"/>
          <w:lang w:val="en-GB"/>
        </w:rPr>
        <w:fldChar w:fldCharType="separate"/>
      </w:r>
      <w:r w:rsidR="00273730" w:rsidRPr="00256EAA">
        <w:rPr>
          <w:sz w:val="22"/>
          <w:szCs w:val="22"/>
        </w:rPr>
        <w:t>(Van Horebeek et al., 2025)</w:t>
      </w:r>
      <w:r w:rsidR="00273730" w:rsidRPr="00256EAA">
        <w:rPr>
          <w:sz w:val="22"/>
          <w:szCs w:val="22"/>
          <w:lang w:val="en-GB"/>
        </w:rPr>
        <w:fldChar w:fldCharType="end"/>
      </w:r>
      <w:r w:rsidRPr="00256EAA">
        <w:rPr>
          <w:sz w:val="22"/>
          <w:szCs w:val="22"/>
          <w:lang w:val="en-GB"/>
        </w:rPr>
        <w:t xml:space="preserve"> was used as the likelihood for this </w:t>
      </w:r>
      <w:proofErr w:type="spellStart"/>
      <w:r w:rsidRPr="00256EAA">
        <w:rPr>
          <w:sz w:val="22"/>
          <w:szCs w:val="22"/>
          <w:lang w:val="en-GB"/>
        </w:rPr>
        <w:t>paleoDA</w:t>
      </w:r>
      <w:proofErr w:type="spellEnd"/>
      <w:r w:rsidRPr="00256EAA">
        <w:rPr>
          <w:sz w:val="22"/>
          <w:szCs w:val="22"/>
          <w:lang w:val="en-GB"/>
        </w:rPr>
        <w:t>.</w:t>
      </w:r>
      <w:r w:rsidR="00256EAA" w:rsidRPr="00256EAA">
        <w:rPr>
          <w:sz w:val="22"/>
          <w:szCs w:val="22"/>
          <w:lang w:val="en-GB"/>
        </w:rPr>
        <w:t xml:space="preserve"> Data was aggregated into monthly bins using the age model presented in the original study, and uncertainty on the age assignment was considered to be within these monthly bins.</w:t>
      </w:r>
    </w:p>
    <w:p w14:paraId="0706705F" w14:textId="0BF10070" w:rsidR="004019EA" w:rsidRDefault="004019EA" w:rsidP="00FD10E6">
      <w:pPr>
        <w:jc w:val="both"/>
        <w:rPr>
          <w:sz w:val="22"/>
          <w:szCs w:val="22"/>
          <w:lang w:val="en-GB"/>
        </w:rPr>
      </w:pPr>
      <w:r w:rsidRPr="00256EAA">
        <w:rPr>
          <w:sz w:val="22"/>
          <w:szCs w:val="22"/>
          <w:lang w:val="en-GB"/>
        </w:rPr>
        <w:t>The prior estimate of Lutetian</w:t>
      </w:r>
      <w:r w:rsidR="00E15706" w:rsidRPr="00256EAA">
        <w:rPr>
          <w:sz w:val="22"/>
          <w:szCs w:val="22"/>
          <w:lang w:val="en-GB"/>
        </w:rPr>
        <w:t xml:space="preserve"> SST, SAT, SSS and precipitation</w:t>
      </w:r>
      <w:r w:rsidRPr="00256EAA">
        <w:rPr>
          <w:sz w:val="22"/>
          <w:szCs w:val="22"/>
          <w:lang w:val="en-GB"/>
        </w:rPr>
        <w:t xml:space="preserve"> seasonality in the Paris Basin was based on</w:t>
      </w:r>
      <w:r w:rsidR="0086443C" w:rsidRPr="00256EAA">
        <w:rPr>
          <w:sz w:val="22"/>
          <w:szCs w:val="22"/>
          <w:lang w:val="en-GB"/>
        </w:rPr>
        <w:t xml:space="preserve"> simulations by the Community Earth System Model (CESM; </w:t>
      </w:r>
      <w:r w:rsidR="00E15706" w:rsidRPr="00256EAA">
        <w:rPr>
          <w:sz w:val="22"/>
          <w:szCs w:val="22"/>
          <w:lang w:val="en-GB"/>
        </w:rPr>
        <w:fldChar w:fldCharType="begin"/>
      </w:r>
      <w:r w:rsidR="00E15706" w:rsidRPr="00256EAA">
        <w:rPr>
          <w:sz w:val="22"/>
          <w:szCs w:val="22"/>
          <w:lang w:val="en-GB"/>
        </w:rPr>
        <w:instrText xml:space="preserve"> ADDIN ZOTERO_ITEM CSL_CITATION {"citationID":"gklHE4Gc","properties":{"formattedCitation":"(Danabasoglu et al., 2020)","plainCitation":"(Danabasoglu et al., 2020)","noteIndex":0},"citationItems":[{"id":11781,"uris":["http://zotero.org/users/2470179/items/2IA6HZVB"],"itemData":{"id":11781,"type":"article-journal","abstract":"An overview of the Community Earth System Model Version 2 (CESM2) is provided, including a discussion of the challenges encountered during its development and how they were addressed. In addition, an evaluation of a pair of CESM2 long preindustrial control and historical ensemble simulations is presented. These simulations were performed using the nominal 1° horizontal resolution configuration of the coupled model with both the “low-top” (40 km, with limited chemistry) and “high-top” (130 km, with comprehensive chemistry) versions of the atmospheric component. CESM2 contains many substantial science and infrastructure improvements and new capabilities since its previous major release, CESM1, resulting in improved historical simulations in comparison to CESM1 and available observations. These include major reductions in low-latitude precipitation and shortwave cloud forcing biases; better representation of the Madden-Julian Oscillation; better El Niño-Southern Oscillation-related teleconnections; and a global land carbon accumulation trend that agrees well with observationally based estimates. Most tropospheric and surface features of the low- and high-top simulations are very similar to each other, so these improvements are present in both configurations. CESM2 has an equilibrium climate sensitivity of 5.1–5.3 °C, larger than in CESM1, primarily due to a combination of relatively small changes to cloud microphysics and boundary layer parameters. In contrast, CESM2's transient climate response of 1.9–2.0 °C is comparable to that of CESM1. The model outputs from these and many other simulations are available to the research community, and they represent CESM2's contributions to the Coupled Model Intercomparison Project Phase 6.","container-title":"Journal of Advances in Modeling Earth Systems","DOI":"10.1029/2019MS001916","ISSN":"1942-2466","issue":"2","language":"en","license":"©2020. The Authors.","note":"_eprint: https://agupubs.onlinelibrary.wiley.com/doi/pdf/10.1029/2019MS001916","page":"e2019MS001916","source":"Wiley Online Library","title":"The Community Earth System Model Version 2 (CESM2)","volume":"12","author":[{"family":"Danabasoglu","given":"G."},{"family":"Lamarque","given":"J.-F."},{"family":"Bacmeister","given":"J."},{"family":"Bailey","given":"D. A."},{"family":"DuVivier","given":"A. K."},{"family":"Edwards","given":"J."},{"family":"Emmons","given":"L. K."},{"family":"Fasullo","given":"J."},{"family":"Garcia","given":"R."},{"family":"Gettelman","given":"A."},{"family":"Hannay","given":"C."},{"family":"Holland","given":"M. M."},{"family":"Large","given":"W. G."},{"family":"Lauritzen","given":"P. H."},{"family":"Lawrence","given":"D. M."},{"family":"Lenaerts","given":"J. T. M."},{"family":"Lindsay","given":"K."},{"family":"Lipscomb","given":"W. H."},{"family":"Mills","given":"M. J."},{"family":"Neale","given":"R."},{"family":"Oleson","given":"K. W."},{"family":"Otto-Bliesner","given":"B."},{"family":"Phillips","given":"A. S."},{"family":"Sacks","given":"W."},{"family":"Tilmes","given":"S."},{"family":"Kampenhout","given":"L.","non-dropping-particle":"van"},{"family":"Vertenstein","given":"M."},{"family":"Bertini","given":"A."},{"family":"Dennis","given":"J."},{"family":"Deser","given":"C."},{"family":"Fischer","given":"C."},{"family":"Fox-Kemper","given":"B."},{"family":"Kay","given":"J. E."},{"family":"Kinnison","given":"D."},{"family":"Kushner","given":"P. J."},{"family":"Larson","given":"V. E."},{"family":"Long","given":"M. C."},{"family":"Mickelson","given":"S."},{"family":"Moore","given":"J. K."},{"family":"Nienhouse","given":"E."},{"family":"Polvani","given":"L."},{"family":"Rasch","given":"P. J."},{"family":"Strand","given":"W. G."}],"issued":{"date-parts":[["2020"]]}}}],"schema":"https://github.com/citation-style-language/schema/raw/master/csl-citation.json"} </w:instrText>
      </w:r>
      <w:r w:rsidR="00E15706" w:rsidRPr="00256EAA">
        <w:rPr>
          <w:sz w:val="22"/>
          <w:szCs w:val="22"/>
          <w:lang w:val="en-GB"/>
        </w:rPr>
        <w:fldChar w:fldCharType="separate"/>
      </w:r>
      <w:r w:rsidR="00E15706" w:rsidRPr="00256EAA">
        <w:rPr>
          <w:sz w:val="22"/>
          <w:szCs w:val="22"/>
        </w:rPr>
        <w:t>(Danabasoglu et al., 2020)</w:t>
      </w:r>
      <w:r w:rsidR="00E15706" w:rsidRPr="00256EAA">
        <w:rPr>
          <w:sz w:val="22"/>
          <w:szCs w:val="22"/>
          <w:lang w:val="en-GB"/>
        </w:rPr>
        <w:fldChar w:fldCharType="end"/>
      </w:r>
      <w:r w:rsidR="00E15706" w:rsidRPr="00256EAA">
        <w:rPr>
          <w:sz w:val="22"/>
          <w:szCs w:val="22"/>
          <w:lang w:val="en-GB"/>
        </w:rPr>
        <w:t xml:space="preserve">) identical to those used in the original study presenting </w:t>
      </w:r>
      <w:r w:rsidR="00E15706" w:rsidRPr="00256EAA">
        <w:rPr>
          <w:i/>
          <w:iCs/>
          <w:sz w:val="22"/>
          <w:szCs w:val="22"/>
          <w:lang w:val="en-GB"/>
        </w:rPr>
        <w:t>C. giganteum</w:t>
      </w:r>
      <w:r w:rsidR="00E15706" w:rsidRPr="00256EAA">
        <w:rPr>
          <w:sz w:val="22"/>
          <w:szCs w:val="22"/>
          <w:lang w:val="en-GB"/>
        </w:rPr>
        <w:t xml:space="preserve"> clumped isotope data </w:t>
      </w:r>
      <w:r w:rsidR="00273730" w:rsidRPr="00256EAA">
        <w:rPr>
          <w:sz w:val="22"/>
          <w:szCs w:val="22"/>
          <w:lang w:val="en-GB"/>
        </w:rPr>
        <w:fldChar w:fldCharType="begin"/>
      </w:r>
      <w:r w:rsidR="00273730" w:rsidRPr="00256EAA">
        <w:rPr>
          <w:sz w:val="22"/>
          <w:szCs w:val="22"/>
          <w:lang w:val="en-GB"/>
        </w:rPr>
        <w:instrText xml:space="preserve"> ADDIN ZOTERO_ITEM CSL_CITATION {"citationID":"gepFACHY","properties":{"formattedCitation":"(Van Horebeek et al., 2025)","plainCitation":"(Van Horebeek et al., 2025)","noteIndex":0},"citationItems":[{"id":11799,"uris":["http://zotero.org/users/2470179/items/4PVD3W5W"],"itemData":{"id":11799,"type":"article-journal","abstract":"The middle Eocene warmhouse period (45 million years ago) featured atmospheric carbon dioxide concentrations equivalent to those projected under high future emission scenarios. Seasonal- to weather timescale climate reconstructions from this period can provide critical insight into the impact of Anthropogenic warming on intra-annual variability in temperature and precipitation. Here, we combine daily-scale reconstructions of the evolution of temperature and the water cycle in western Europe based on stable oxygen and clumped isotope analyses on the fastest-growing gastropod known in the fossil record: Campanile giganteum. Our dataset shows that the middle Eocene of western Europe featured monsoon-like conditions, with seawater temperatures of ~24</w:instrText>
      </w:r>
      <w:r w:rsidR="00273730" w:rsidRPr="00256EAA">
        <w:rPr>
          <w:rFonts w:ascii="Arial" w:hAnsi="Arial" w:cs="Arial"/>
          <w:sz w:val="22"/>
          <w:szCs w:val="22"/>
          <w:lang w:val="en-GB"/>
        </w:rPr>
        <w:instrText> </w:instrText>
      </w:r>
      <w:r w:rsidR="00273730" w:rsidRPr="00256EAA">
        <w:rPr>
          <w:rFonts w:cs="Aptos"/>
          <w:sz w:val="22"/>
          <w:szCs w:val="22"/>
          <w:lang w:val="en-GB"/>
        </w:rPr>
        <w:instrText>°</w:instrText>
      </w:r>
      <w:r w:rsidR="00273730" w:rsidRPr="00256EAA">
        <w:rPr>
          <w:sz w:val="22"/>
          <w:szCs w:val="22"/>
          <w:lang w:val="en-GB"/>
        </w:rPr>
        <w:instrText>C during mild and wet winters, &gt;30</w:instrText>
      </w:r>
      <w:r w:rsidR="00273730" w:rsidRPr="00256EAA">
        <w:rPr>
          <w:rFonts w:ascii="Arial" w:hAnsi="Arial" w:cs="Arial"/>
          <w:sz w:val="22"/>
          <w:szCs w:val="22"/>
          <w:lang w:val="en-GB"/>
        </w:rPr>
        <w:instrText> </w:instrText>
      </w:r>
      <w:r w:rsidR="00273730" w:rsidRPr="00256EAA">
        <w:rPr>
          <w:rFonts w:cs="Aptos"/>
          <w:sz w:val="22"/>
          <w:szCs w:val="22"/>
          <w:lang w:val="en-GB"/>
        </w:rPr>
        <w:instrText>°</w:instrText>
      </w:r>
      <w:r w:rsidR="00273730" w:rsidRPr="00256EAA">
        <w:rPr>
          <w:sz w:val="22"/>
          <w:szCs w:val="22"/>
          <w:lang w:val="en-GB"/>
        </w:rPr>
        <w:instrText>C during hot and dry spring and autumn seasons, and ~28</w:instrText>
      </w:r>
      <w:r w:rsidR="00273730" w:rsidRPr="00256EAA">
        <w:rPr>
          <w:rFonts w:ascii="Arial" w:hAnsi="Arial" w:cs="Arial"/>
          <w:sz w:val="22"/>
          <w:szCs w:val="22"/>
          <w:lang w:val="en-GB"/>
        </w:rPr>
        <w:instrText> </w:instrText>
      </w:r>
      <w:r w:rsidR="00273730" w:rsidRPr="00256EAA">
        <w:rPr>
          <w:rFonts w:cs="Aptos"/>
          <w:sz w:val="22"/>
          <w:szCs w:val="22"/>
          <w:lang w:val="en-GB"/>
        </w:rPr>
        <w:instrText>°</w:instrText>
      </w:r>
      <w:r w:rsidR="00273730" w:rsidRPr="00256EAA">
        <w:rPr>
          <w:sz w:val="22"/>
          <w:szCs w:val="22"/>
          <w:lang w:val="en-GB"/>
        </w:rPr>
        <w:instrText xml:space="preserve">C during warm and comparatively wet summers. Coupled climate model simulations using the Community Earth System Model indicate these seasonal variations in temperature and precipitation were driven by shifting atmospheric and oceanic circulation regimes over Western Europe, with winds from different directions bringing distinct waters to the region and minimal wind during spring reducing cooling through diminished latent heat flux. Our results highlight that Europe may experience wetter summers with more frequent extreme rainfall events under future high emissions scenarios.","container-title":"Nature Communications","DOI":"10.1038/s41467-025-64241-0","ISSN":"2041-1723","issue":"1","journalAbbreviation":"Nat Commun","language":"en","license":"2025 The Author(s)","note":"publisher: Nature Publishing Group","page":"9207","source":"www-nature-com.vu-nl.idm.oclc.org","title":"A European monsoon-like climate in a warmhouse world","volume":"16","author":[{"family":"Van Horebeek","given":"Nick"},{"family":"Winter","given":"Niels J.","non-dropping-particle":"de"},{"family":"Baatsen","given":"Michiel"},{"family":"Ziegler","given":"Martin"},{"family":"Speijer","given":"Robert P."},{"family":"Vellekoop","given":"Johan"}],"issued":{"date-parts":[["2025",10,28]]}}}],"schema":"https://github.com/citation-style-language/schema/raw/master/csl-citation.json"} </w:instrText>
      </w:r>
      <w:r w:rsidR="00273730" w:rsidRPr="00256EAA">
        <w:rPr>
          <w:sz w:val="22"/>
          <w:szCs w:val="22"/>
          <w:lang w:val="en-GB"/>
        </w:rPr>
        <w:fldChar w:fldCharType="separate"/>
      </w:r>
      <w:r w:rsidR="00273730" w:rsidRPr="00256EAA">
        <w:rPr>
          <w:sz w:val="22"/>
          <w:szCs w:val="22"/>
        </w:rPr>
        <w:t>(Van Horebeek et al., 2025)</w:t>
      </w:r>
      <w:r w:rsidR="00273730" w:rsidRPr="00256EAA">
        <w:rPr>
          <w:sz w:val="22"/>
          <w:szCs w:val="22"/>
          <w:lang w:val="en-GB"/>
        </w:rPr>
        <w:fldChar w:fldCharType="end"/>
      </w:r>
      <w:r w:rsidR="00E15706" w:rsidRPr="00256EAA">
        <w:rPr>
          <w:sz w:val="22"/>
          <w:szCs w:val="22"/>
          <w:lang w:val="en-GB"/>
        </w:rPr>
        <w:t xml:space="preserve"> which were presented and discussed in </w:t>
      </w:r>
      <w:r w:rsidR="00E15706" w:rsidRPr="00256EAA">
        <w:rPr>
          <w:sz w:val="22"/>
          <w:szCs w:val="22"/>
          <w:lang w:val="en-GB"/>
        </w:rPr>
        <w:fldChar w:fldCharType="begin"/>
      </w:r>
      <w:r w:rsidR="00E15706" w:rsidRPr="00256EAA">
        <w:rPr>
          <w:sz w:val="22"/>
          <w:szCs w:val="22"/>
          <w:lang w:val="en-GB"/>
        </w:rPr>
        <w:instrText xml:space="preserve"> ADDIN ZOTERO_ITEM CSL_CITATION {"citationID":"4l6LPjWi","properties":{"formattedCitation":"(Baatsen et al., 2020)","plainCitation":"(Baatsen et al., 2020)","noteIndex":0},"citationItems":[{"id":2663,"uris":["http://zotero.org/users/2470179/items/TVAFEGVI"],"itemData":{"id":2663,"type":"article-journal","abstract":"The early and late Eocene have both been the subject of many modelling studies, but few have focused on the middle Eocene. The latter still holds many challenges for climate modellers but is also key to understanding the events leading towards the conditions needed for Antarctic glaciation at the Eocene–Oligocene transition. Here, we present the results of CMIP5-like coupled climate simulations using the Community Earth System Model (CESM) version 1. Using a new detailed 38 Ma geography reconstruction and higher model resolution compared to most previous modelling studies and sufficiently long equilibration times, these simulations will help to further understand the middle to late Eocene climate. At realistic levels of atmospheric greenhouse gases, the model is able to show overall good agreement with proxy records and capture the important aspects of a warm greenhouse climate during the Eocene.\n\n With a quadrupling of pre-industrial concentrations of both CO2 and CH4 (i.e. 1120 ppm and </w:instrText>
      </w:r>
      <w:r w:rsidR="00E15706" w:rsidRPr="00256EAA">
        <w:rPr>
          <w:rFonts w:ascii="Cambria Math" w:hAnsi="Cambria Math" w:cs="Cambria Math"/>
          <w:sz w:val="22"/>
          <w:szCs w:val="22"/>
          <w:lang w:val="en-GB"/>
        </w:rPr>
        <w:instrText>∼</w:instrText>
      </w:r>
      <w:r w:rsidR="00E15706" w:rsidRPr="00256EAA">
        <w:rPr>
          <w:sz w:val="22"/>
          <w:szCs w:val="22"/>
          <w:lang w:val="en-GB"/>
        </w:rPr>
        <w:instrText xml:space="preserve">2700 ppb, respectively, or 4 </w:instrText>
      </w:r>
      <w:r w:rsidR="00E15706" w:rsidRPr="00256EAA">
        <w:rPr>
          <w:rFonts w:cs="Aptos"/>
          <w:sz w:val="22"/>
          <w:szCs w:val="22"/>
          <w:lang w:val="en-GB"/>
        </w:rPr>
        <w:instrText>×</w:instrText>
      </w:r>
      <w:r w:rsidR="00E15706" w:rsidRPr="00256EAA">
        <w:rPr>
          <w:sz w:val="22"/>
          <w:szCs w:val="22"/>
          <w:lang w:val="en-GB"/>
        </w:rPr>
        <w:instrText xml:space="preserve"> PIC; pre-industrial carbon), sea surface temperatures correspond well to the available late middle Eocene (42</w:instrText>
      </w:r>
      <w:r w:rsidR="00E15706" w:rsidRPr="00256EAA">
        <w:rPr>
          <w:rFonts w:cs="Aptos"/>
          <w:sz w:val="22"/>
          <w:szCs w:val="22"/>
          <w:lang w:val="en-GB"/>
        </w:rPr>
        <w:instrText>–</w:instrText>
      </w:r>
      <w:r w:rsidR="00E15706" w:rsidRPr="00256EAA">
        <w:rPr>
          <w:sz w:val="22"/>
          <w:szCs w:val="22"/>
          <w:lang w:val="en-GB"/>
        </w:rPr>
        <w:instrText xml:space="preserve">38 Ma; </w:instrText>
      </w:r>
      <w:r w:rsidR="00E15706" w:rsidRPr="00256EAA">
        <w:rPr>
          <w:rFonts w:ascii="Cambria Math" w:hAnsi="Cambria Math" w:cs="Cambria Math"/>
          <w:sz w:val="22"/>
          <w:szCs w:val="22"/>
          <w:lang w:val="en-GB"/>
        </w:rPr>
        <w:instrText>∼</w:instrText>
      </w:r>
      <w:r w:rsidR="00E15706" w:rsidRPr="00256EAA">
        <w:rPr>
          <w:sz w:val="22"/>
          <w:szCs w:val="22"/>
          <w:lang w:val="en-GB"/>
        </w:rPr>
        <w:instrText xml:space="preserve"> Bartonian) proxies. Being generally cooler, the simulated climate under 2 × PIC forcing is a good analogue for that of the late Eocene (38–34 Ma; </w:instrText>
      </w:r>
      <w:r w:rsidR="00E15706" w:rsidRPr="00256EAA">
        <w:rPr>
          <w:rFonts w:ascii="Cambria Math" w:hAnsi="Cambria Math" w:cs="Cambria Math"/>
          <w:sz w:val="22"/>
          <w:szCs w:val="22"/>
          <w:lang w:val="en-GB"/>
        </w:rPr>
        <w:instrText>∼</w:instrText>
      </w:r>
      <w:r w:rsidR="00E15706" w:rsidRPr="00256EAA">
        <w:rPr>
          <w:sz w:val="22"/>
          <w:szCs w:val="22"/>
          <w:lang w:val="en-GB"/>
        </w:rPr>
        <w:instrText xml:space="preserve"> Priabonian). Terrestrial temperature proxies, although their geographical coverage is sparse, also indicate that the results presented here are in agreement with the available information.\n\n Our simulated middle to late Eocene climate has a reduced Equator-to-pole temperature gradient and a more symmetric meridional heat distribution compared to the pre-industrial reference. The collective effects of geography, vegetation, and ice account for a global average 5–7 </w:instrText>
      </w:r>
      <w:r w:rsidR="00E15706" w:rsidRPr="00256EAA">
        <w:rPr>
          <w:rFonts w:ascii="Cambria Math" w:hAnsi="Cambria Math" w:cs="Cambria Math"/>
          <w:sz w:val="22"/>
          <w:szCs w:val="22"/>
          <w:lang w:val="en-GB"/>
        </w:rPr>
        <w:instrText>∘</w:instrText>
      </w:r>
      <w:r w:rsidR="00E15706" w:rsidRPr="00256EAA">
        <w:rPr>
          <w:sz w:val="22"/>
          <w:szCs w:val="22"/>
          <w:lang w:val="en-GB"/>
        </w:rPr>
        <w:instrText xml:space="preserve">C difference between pre-industrial and 38 Ma Eocene boundary conditions, with important contributions from cloud and water vapour feedbacks. This helps to explain Eocene warmth in general, without the need for greenhouse gas levels much higher than indicated by proxy estimates (i.e. </w:instrText>
      </w:r>
      <w:r w:rsidR="00E15706" w:rsidRPr="00256EAA">
        <w:rPr>
          <w:rFonts w:ascii="Cambria Math" w:hAnsi="Cambria Math" w:cs="Cambria Math"/>
          <w:sz w:val="22"/>
          <w:szCs w:val="22"/>
          <w:lang w:val="en-GB"/>
        </w:rPr>
        <w:instrText>∼</w:instrText>
      </w:r>
      <w:r w:rsidR="00E15706" w:rsidRPr="00256EAA">
        <w:rPr>
          <w:sz w:val="22"/>
          <w:szCs w:val="22"/>
          <w:lang w:val="en-GB"/>
        </w:rPr>
        <w:instrText>500</w:instrText>
      </w:r>
      <w:r w:rsidR="00E15706" w:rsidRPr="00256EAA">
        <w:rPr>
          <w:rFonts w:cs="Aptos"/>
          <w:sz w:val="22"/>
          <w:szCs w:val="22"/>
          <w:lang w:val="en-GB"/>
        </w:rPr>
        <w:instrText>–</w:instrText>
      </w:r>
      <w:r w:rsidR="00E15706" w:rsidRPr="00256EAA">
        <w:rPr>
          <w:sz w:val="22"/>
          <w:szCs w:val="22"/>
          <w:lang w:val="en-GB"/>
        </w:rPr>
        <w:instrText xml:space="preserve">1200 ppm CO2) or low-latitude regions becoming unreasonably warm. High-latitude warmth supports the idea of mostly ice-free polar regions, even at 2 </w:instrText>
      </w:r>
      <w:r w:rsidR="00E15706" w:rsidRPr="00256EAA">
        <w:rPr>
          <w:rFonts w:cs="Aptos"/>
          <w:sz w:val="22"/>
          <w:szCs w:val="22"/>
          <w:lang w:val="en-GB"/>
        </w:rPr>
        <w:instrText>×</w:instrText>
      </w:r>
      <w:r w:rsidR="00E15706" w:rsidRPr="00256EAA">
        <w:rPr>
          <w:sz w:val="22"/>
          <w:szCs w:val="22"/>
          <w:lang w:val="en-GB"/>
        </w:rPr>
        <w:instrText xml:space="preserve"> PIC, with Antarctica experiencing particularly warm summers. An overall wet climate is seen in the simulated Eocene climate, which has a strongly monsoonal character.\n\n Equilibrium climate sensitivity is reduced (0.62 </w:instrText>
      </w:r>
      <w:r w:rsidR="00E15706" w:rsidRPr="00256EAA">
        <w:rPr>
          <w:rFonts w:ascii="Cambria Math" w:hAnsi="Cambria Math" w:cs="Cambria Math"/>
          <w:sz w:val="22"/>
          <w:szCs w:val="22"/>
          <w:lang w:val="en-GB"/>
        </w:rPr>
        <w:instrText>∘</w:instrText>
      </w:r>
      <w:r w:rsidR="00E15706" w:rsidRPr="00256EAA">
        <w:rPr>
          <w:sz w:val="22"/>
          <w:szCs w:val="22"/>
          <w:lang w:val="en-GB"/>
        </w:rPr>
        <w:instrText>C W</w:instrText>
      </w:r>
      <w:r w:rsidR="00E15706" w:rsidRPr="00256EAA">
        <w:rPr>
          <w:rFonts w:cs="Aptos"/>
          <w:sz w:val="22"/>
          <w:szCs w:val="22"/>
          <w:lang w:val="en-GB"/>
        </w:rPr>
        <w:instrText>−</w:instrText>
      </w:r>
      <w:r w:rsidR="00E15706" w:rsidRPr="00256EAA">
        <w:rPr>
          <w:sz w:val="22"/>
          <w:szCs w:val="22"/>
          <w:lang w:val="en-GB"/>
        </w:rPr>
        <w:instrText xml:space="preserve">1 m2; 3.21 </w:instrText>
      </w:r>
      <w:r w:rsidR="00E15706" w:rsidRPr="00256EAA">
        <w:rPr>
          <w:rFonts w:ascii="Cambria Math" w:hAnsi="Cambria Math" w:cs="Cambria Math"/>
          <w:sz w:val="22"/>
          <w:szCs w:val="22"/>
          <w:lang w:val="en-GB"/>
        </w:rPr>
        <w:instrText>∘</w:instrText>
      </w:r>
      <w:r w:rsidR="00E15706" w:rsidRPr="00256EAA">
        <w:rPr>
          <w:sz w:val="22"/>
          <w:szCs w:val="22"/>
          <w:lang w:val="en-GB"/>
        </w:rPr>
        <w:instrText xml:space="preserve">C warming between 38 Ma 2 </w:instrText>
      </w:r>
      <w:r w:rsidR="00E15706" w:rsidRPr="00256EAA">
        <w:rPr>
          <w:rFonts w:cs="Aptos"/>
          <w:sz w:val="22"/>
          <w:szCs w:val="22"/>
          <w:lang w:val="en-GB"/>
        </w:rPr>
        <w:instrText>×</w:instrText>
      </w:r>
      <w:r w:rsidR="00E15706" w:rsidRPr="00256EAA">
        <w:rPr>
          <w:sz w:val="22"/>
          <w:szCs w:val="22"/>
          <w:lang w:val="en-GB"/>
        </w:rPr>
        <w:instrText xml:space="preserve"> PIC and 4 </w:instrText>
      </w:r>
      <w:r w:rsidR="00E15706" w:rsidRPr="00256EAA">
        <w:rPr>
          <w:rFonts w:cs="Aptos"/>
          <w:sz w:val="22"/>
          <w:szCs w:val="22"/>
          <w:lang w:val="en-GB"/>
        </w:rPr>
        <w:instrText>×</w:instrText>
      </w:r>
      <w:r w:rsidR="00E15706" w:rsidRPr="00256EAA">
        <w:rPr>
          <w:sz w:val="22"/>
          <w:szCs w:val="22"/>
          <w:lang w:val="en-GB"/>
        </w:rPr>
        <w:instrText xml:space="preserve"> PIC) compared to that of the present-day climate (0.80 </w:instrText>
      </w:r>
      <w:r w:rsidR="00E15706" w:rsidRPr="00256EAA">
        <w:rPr>
          <w:rFonts w:ascii="Cambria Math" w:hAnsi="Cambria Math" w:cs="Cambria Math"/>
          <w:sz w:val="22"/>
          <w:szCs w:val="22"/>
          <w:lang w:val="en-GB"/>
        </w:rPr>
        <w:instrText>∘</w:instrText>
      </w:r>
      <w:r w:rsidR="00E15706" w:rsidRPr="00256EAA">
        <w:rPr>
          <w:sz w:val="22"/>
          <w:szCs w:val="22"/>
          <w:lang w:val="en-GB"/>
        </w:rPr>
        <w:instrText>C W</w:instrText>
      </w:r>
      <w:r w:rsidR="00E15706" w:rsidRPr="00256EAA">
        <w:rPr>
          <w:rFonts w:cs="Aptos"/>
          <w:sz w:val="22"/>
          <w:szCs w:val="22"/>
          <w:lang w:val="en-GB"/>
        </w:rPr>
        <w:instrText>−</w:instrText>
      </w:r>
      <w:r w:rsidR="00E15706" w:rsidRPr="00256EAA">
        <w:rPr>
          <w:sz w:val="22"/>
          <w:szCs w:val="22"/>
          <w:lang w:val="en-GB"/>
        </w:rPr>
        <w:instrText xml:space="preserve">1 m2; 3.17 </w:instrText>
      </w:r>
      <w:r w:rsidR="00E15706" w:rsidRPr="00256EAA">
        <w:rPr>
          <w:rFonts w:ascii="Cambria Math" w:hAnsi="Cambria Math" w:cs="Cambria Math"/>
          <w:sz w:val="22"/>
          <w:szCs w:val="22"/>
          <w:lang w:val="en-GB"/>
        </w:rPr>
        <w:instrText>∘</w:instrText>
      </w:r>
      <w:r w:rsidR="00E15706" w:rsidRPr="00256EAA">
        <w:rPr>
          <w:sz w:val="22"/>
          <w:szCs w:val="22"/>
          <w:lang w:val="en-GB"/>
        </w:rPr>
        <w:instrText xml:space="preserve">C per CO2 doubling). While the actual warming is similar, we see mainly a higher radiative forcing from the second PIC doubling. A more detailed analysis of energy fluxes shows that the regional radiative balance is mainly responsible for sustaining a low meridional temperature gradient in the Eocene climate, as well as the polar amplification seen towards even warmer conditions. These model results may be useful to reconsider the drivers of Eocene warmth and the Eocene–Oligocene transition (EOT) but can also be a base for more detailed comparisons to future proxy estimates.","container-title":"Climate of the Past","DOI":"10.5194/cp-16-2573-2020","ISSN":"1814-9324","issue":"6","language":"English","note":"publisher: Copernicus GmbH","page":"2573-2597","source":"Copernicus Online Journals","title":"The middle to late Eocene greenhouse climate modelled using the CESM 1.0.5","volume":"16","author":[{"family":"Baatsen","given":"Michiel"},{"family":"Heydt","given":"Anna S.","non-dropping-particle":"von der"},{"family":"Huber","given":"Matthew"},{"family":"Kliphuis","given":"Michael A."},{"family":"Bijl","given":"Peter K."},{"family":"Sluijs","given":"Appy"},{"family":"Dijkstra","given":"Henk A."}],"issued":{"date-parts":[["2020",12,23]]}}}],"schema":"https://github.com/citation-style-language/schema/raw/master/csl-citation.json"} </w:instrText>
      </w:r>
      <w:r w:rsidR="00E15706" w:rsidRPr="00256EAA">
        <w:rPr>
          <w:sz w:val="22"/>
          <w:szCs w:val="22"/>
          <w:lang w:val="en-GB"/>
        </w:rPr>
        <w:fldChar w:fldCharType="separate"/>
      </w:r>
      <w:r w:rsidR="00E15706" w:rsidRPr="00256EAA">
        <w:rPr>
          <w:sz w:val="22"/>
          <w:szCs w:val="22"/>
        </w:rPr>
        <w:t>(Baatsen et al., 2020)</w:t>
      </w:r>
      <w:r w:rsidR="00E15706" w:rsidRPr="00256EAA">
        <w:rPr>
          <w:sz w:val="22"/>
          <w:szCs w:val="22"/>
          <w:lang w:val="en-GB"/>
        </w:rPr>
        <w:fldChar w:fldCharType="end"/>
      </w:r>
      <w:r w:rsidR="00E15706" w:rsidRPr="00256EAA">
        <w:rPr>
          <w:sz w:val="22"/>
          <w:szCs w:val="22"/>
          <w:lang w:val="en-GB"/>
        </w:rPr>
        <w:t xml:space="preserve">. Monthly averages for </w:t>
      </w:r>
      <w:r w:rsidR="007C5671" w:rsidRPr="00256EAA">
        <w:rPr>
          <w:sz w:val="22"/>
          <w:szCs w:val="22"/>
          <w:lang w:val="en-GB"/>
        </w:rPr>
        <w:t>SST, SAT, SSS and precipitation</w:t>
      </w:r>
      <w:r w:rsidR="00E15706" w:rsidRPr="00256EAA">
        <w:rPr>
          <w:sz w:val="22"/>
          <w:szCs w:val="22"/>
          <w:lang w:val="en-GB"/>
        </w:rPr>
        <w:t xml:space="preserve"> were </w:t>
      </w:r>
      <w:r w:rsidR="007C5671" w:rsidRPr="00256EAA">
        <w:rPr>
          <w:sz w:val="22"/>
          <w:szCs w:val="22"/>
          <w:lang w:val="en-GB"/>
        </w:rPr>
        <w:t xml:space="preserve">extracted for model grid cells with latitudes between 37°N and 47°N and longitudes between 5°E and 15°E consistent with the paleo-location of the Paris Basin </w:t>
      </w:r>
      <w:r w:rsidR="007C5671" w:rsidRPr="00256EAA">
        <w:rPr>
          <w:sz w:val="22"/>
          <w:szCs w:val="22"/>
          <w:lang w:val="en-GB"/>
        </w:rPr>
        <w:fldChar w:fldCharType="begin"/>
      </w:r>
      <w:r w:rsidR="007C5671" w:rsidRPr="00256EAA">
        <w:rPr>
          <w:sz w:val="22"/>
          <w:szCs w:val="22"/>
          <w:lang w:val="en-GB"/>
        </w:rPr>
        <w:instrText xml:space="preserve"> ADDIN ZOTERO_ITEM CSL_CITATION {"citationID":"TAWpEQxt","properties":{"formattedCitation":"(G\\uc0\\u233{}ly and Merle, 2008)","plainCitation":"(Gély and Merle, 2008)","noteIndex":0},"citationItems":[{"id":1037,"uris":["http://zotero.org/users/2470179/items/BUHHW3Z6"],"itemData":{"id":1037,"type":"article-journal","container-title":"Stratotype Lutétien. Muséum National d’Histoire Naturelle, Paris","page":"182–227","source":"Google Scholar","title":"La stratigraphie et la paléogéographie du Lutétien en France","author":[{"family":"Gély","given":"J. P."},{"family":"Merle","given":"D."}],"issued":{"date-parts":[["2008"]]}}}],"schema":"https://github.com/citation-style-language/schema/raw/master/csl-citation.json"} </w:instrText>
      </w:r>
      <w:r w:rsidR="007C5671" w:rsidRPr="00256EAA">
        <w:rPr>
          <w:sz w:val="22"/>
          <w:szCs w:val="22"/>
          <w:lang w:val="en-GB"/>
        </w:rPr>
        <w:fldChar w:fldCharType="separate"/>
      </w:r>
      <w:r w:rsidR="007C5671" w:rsidRPr="00256EAA">
        <w:rPr>
          <w:rFonts w:cs="Times New Roman"/>
          <w:kern w:val="0"/>
          <w:sz w:val="22"/>
          <w:szCs w:val="22"/>
        </w:rPr>
        <w:t>(Gély and Merle, 2008)</w:t>
      </w:r>
      <w:r w:rsidR="007C5671" w:rsidRPr="00256EAA">
        <w:rPr>
          <w:sz w:val="22"/>
          <w:szCs w:val="22"/>
          <w:lang w:val="en-GB"/>
        </w:rPr>
        <w:fldChar w:fldCharType="end"/>
      </w:r>
      <w:r w:rsidR="007C5671" w:rsidRPr="00256EAA">
        <w:rPr>
          <w:sz w:val="22"/>
          <w:szCs w:val="22"/>
          <w:lang w:val="en-GB"/>
        </w:rPr>
        <w:t>. Uncertainties on model outcomes were propagated from variability between grid cells within the area of interest.</w:t>
      </w:r>
    </w:p>
    <w:p w14:paraId="72FEFC5F" w14:textId="168A7D71" w:rsidR="00837524" w:rsidRDefault="00837524" w:rsidP="00953791">
      <w:pPr>
        <w:jc w:val="both"/>
        <w:rPr>
          <w:b/>
          <w:bCs/>
          <w:sz w:val="22"/>
          <w:szCs w:val="22"/>
          <w:lang w:val="en-GB"/>
        </w:rPr>
      </w:pPr>
      <w:r>
        <w:rPr>
          <w:b/>
          <w:bCs/>
          <w:noProof/>
          <w:sz w:val="22"/>
          <w:szCs w:val="22"/>
          <w:lang w:val="en-GB"/>
        </w:rPr>
        <w:drawing>
          <wp:inline distT="0" distB="0" distL="0" distR="0" wp14:anchorId="59FB1305" wp14:editId="43BD364E">
            <wp:extent cx="5731412" cy="1889124"/>
            <wp:effectExtent l="0" t="0" r="3175" b="0"/>
            <wp:docPr id="853424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24010"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412" cy="1889124"/>
                    </a:xfrm>
                    <a:prstGeom prst="rect">
                      <a:avLst/>
                    </a:prstGeom>
                  </pic:spPr>
                </pic:pic>
              </a:graphicData>
            </a:graphic>
          </wp:inline>
        </w:drawing>
      </w:r>
    </w:p>
    <w:p w14:paraId="2DC9B62B" w14:textId="6E3143B2" w:rsidR="00953791" w:rsidRPr="00256EAA" w:rsidRDefault="00A2177C" w:rsidP="00953791">
      <w:pPr>
        <w:jc w:val="both"/>
        <w:rPr>
          <w:sz w:val="22"/>
          <w:szCs w:val="22"/>
          <w:lang w:val="en-GB"/>
        </w:rPr>
      </w:pPr>
      <w:r>
        <w:rPr>
          <w:b/>
          <w:bCs/>
          <w:sz w:val="22"/>
          <w:szCs w:val="22"/>
          <w:lang w:val="en-GB"/>
        </w:rPr>
        <w:t>Figure 3</w:t>
      </w:r>
      <w:r w:rsidR="00953791">
        <w:rPr>
          <w:sz w:val="22"/>
          <w:szCs w:val="22"/>
          <w:lang w:val="en-GB"/>
        </w:rPr>
        <w:t>: Lutetian PRIOR (monthly model) and LIKELIHOOD (individual D47 and d18Oc data)&gt;</w:t>
      </w:r>
    </w:p>
    <w:p w14:paraId="20B390A6" w14:textId="7B4DCAE6" w:rsidR="007C5671" w:rsidRPr="00256EAA" w:rsidRDefault="007C5671" w:rsidP="00FD10E6">
      <w:pPr>
        <w:jc w:val="both"/>
        <w:rPr>
          <w:sz w:val="22"/>
          <w:szCs w:val="22"/>
          <w:lang w:val="en-GB"/>
        </w:rPr>
      </w:pPr>
      <w:r w:rsidRPr="00256EAA">
        <w:rPr>
          <w:sz w:val="22"/>
          <w:szCs w:val="22"/>
          <w:lang w:val="en-GB"/>
        </w:rPr>
        <w:t>2.1.4 Cretaceous case study</w:t>
      </w:r>
    </w:p>
    <w:p w14:paraId="793F70B4" w14:textId="7BCFED37" w:rsidR="007C5671" w:rsidRPr="00256EAA" w:rsidRDefault="007C5671" w:rsidP="00FD10E6">
      <w:pPr>
        <w:jc w:val="both"/>
        <w:rPr>
          <w:sz w:val="22"/>
          <w:szCs w:val="22"/>
          <w:lang w:val="en-GB"/>
        </w:rPr>
      </w:pPr>
      <w:r w:rsidRPr="00256EAA">
        <w:rPr>
          <w:sz w:val="22"/>
          <w:szCs w:val="22"/>
          <w:lang w:val="en-GB"/>
        </w:rPr>
        <w:t>A third case study was ass</w:t>
      </w:r>
      <w:r w:rsidR="003E7FF0">
        <w:rPr>
          <w:sz w:val="22"/>
          <w:szCs w:val="22"/>
          <w:lang w:val="en-GB"/>
        </w:rPr>
        <w:t>imilated</w:t>
      </w:r>
      <w:r w:rsidRPr="00256EAA">
        <w:rPr>
          <w:sz w:val="22"/>
          <w:szCs w:val="22"/>
          <w:lang w:val="en-GB"/>
        </w:rPr>
        <w:t xml:space="preserve"> based on clumped and o</w:t>
      </w:r>
      <w:r w:rsidR="00273730" w:rsidRPr="00256EAA">
        <w:rPr>
          <w:sz w:val="22"/>
          <w:szCs w:val="22"/>
          <w:lang w:val="en-GB"/>
        </w:rPr>
        <w:t xml:space="preserve">xygen isotope data from three fossil mollusc shells from the Campanian (~78 Ma) Kristianstad Basin (56°2’ N, 14° 9’ E) in southern Sweden </w:t>
      </w:r>
      <w:r w:rsidR="00273730" w:rsidRPr="00256EAA">
        <w:rPr>
          <w:sz w:val="22"/>
          <w:szCs w:val="22"/>
          <w:lang w:val="en-GB"/>
        </w:rPr>
        <w:fldChar w:fldCharType="begin"/>
      </w:r>
      <w:r w:rsidR="00273730" w:rsidRPr="00256EAA">
        <w:rPr>
          <w:sz w:val="22"/>
          <w:szCs w:val="22"/>
          <w:lang w:val="en-GB"/>
        </w:rPr>
        <w:instrText xml:space="preserve"> ADDIN ZOTERO_ITEM CSL_CITATION {"citationID":"aCbncJn6","properties":{"formattedCitation":"(de Winter et al., 2021)","plainCitation":"(de Winter et al., 2021)","noteIndex":0},"citationItems":[{"id":2680,"uris":["http://zotero.org/users/2470179/items/HR649PES"],"itemData":{"id":2680,"type":"article-journal","abstract":"Seasonal variability in sea surface temperatures plays a fundamental role in climate dynamics and species distribution. Seasonal bias can also severely compromise the accuracy of mean annual temperature reconstructions. It is therefore essential to better understand seasonal variability in climates of the past. Many reconstructions of climate in deep time neglect this issue and rely on controversial assumptions, such as estimates of sea water oxygen isotope composition. Here we present absolute seasonal temperature reconstructions based on clumped isotope measurements in bivalve shells which, critically, do not rely on these assumptions. We reconstruct highly precise monthly sea surface temperatures at around 50 °N latitude from individual oyster and rudist shells of the Campanian greenhouse period about 78 million years ago, when the seasonal range at 50 °N comprised 15 to 27</w:instrText>
      </w:r>
      <w:r w:rsidR="00273730" w:rsidRPr="00256EAA">
        <w:rPr>
          <w:rFonts w:ascii="Arial" w:hAnsi="Arial" w:cs="Arial"/>
          <w:sz w:val="22"/>
          <w:szCs w:val="22"/>
          <w:lang w:val="en-GB"/>
        </w:rPr>
        <w:instrText> </w:instrText>
      </w:r>
      <w:r w:rsidR="00273730" w:rsidRPr="00256EAA">
        <w:rPr>
          <w:rFonts w:cs="Aptos"/>
          <w:sz w:val="22"/>
          <w:szCs w:val="22"/>
          <w:lang w:val="en-GB"/>
        </w:rPr>
        <w:instrText>°</w:instrText>
      </w:r>
      <w:r w:rsidR="00273730" w:rsidRPr="00256EAA">
        <w:rPr>
          <w:sz w:val="22"/>
          <w:szCs w:val="22"/>
          <w:lang w:val="en-GB"/>
        </w:rPr>
        <w:instrText xml:space="preserve">C. In agreement with fully coupled climate model simulations, we find that greenhouse climates outside the tropics were warmer and more seasonal than previously thought. We conclude that seasonal bias and assumptions about seawater composition can distort temperature reconstructions and our understanding of past greenhouse climates.","container-title":"Communications Earth &amp; Environment","DOI":"10.1038/s43247-021-00193-9","ISSN":"2662-4435","issue":"1","journalAbbreviation":"Commun Earth Environ","language":"en","license":"2021 The Author(s)","note":"number: 1\npublisher: Nature Publishing Group","page":"1-8","source":"www.nature.com","title":"Absolute seasonal temperature estimates from clumped isotopes in bivalve shells suggest warm and variable greenhouse climate","volume":"2","author":[{"family":"Winter","given":"Niels J.","non-dropping-particle":"de"},{"family":"Müller","given":"Inigo A."},{"family":"Kocken","given":"Ilja J."},{"family":"Thibault","given":"Nicolas"},{"family":"Ullmann","given":"Clemens V."},{"family":"Farnsworth","given":"Alex"},{"family":"Lunt","given":"Daniel J."},{"family":"Claeys","given":"Philippe"},{"family":"Ziegler","given":"Martin"}],"issued":{"date-parts":[["2021",6,10]]}}}],"schema":"https://github.com/citation-style-language/schema/raw/master/csl-citation.json"} </w:instrText>
      </w:r>
      <w:r w:rsidR="00273730" w:rsidRPr="00256EAA">
        <w:rPr>
          <w:sz w:val="22"/>
          <w:szCs w:val="22"/>
          <w:lang w:val="en-GB"/>
        </w:rPr>
        <w:fldChar w:fldCharType="separate"/>
      </w:r>
      <w:r w:rsidR="00273730" w:rsidRPr="00256EAA">
        <w:rPr>
          <w:sz w:val="22"/>
          <w:szCs w:val="22"/>
        </w:rPr>
        <w:t>(de Winter et al., 2021)</w:t>
      </w:r>
      <w:r w:rsidR="00273730" w:rsidRPr="00256EAA">
        <w:rPr>
          <w:sz w:val="22"/>
          <w:szCs w:val="22"/>
          <w:lang w:val="en-GB"/>
        </w:rPr>
        <w:fldChar w:fldCharType="end"/>
      </w:r>
      <w:r w:rsidR="00273730" w:rsidRPr="00256EAA">
        <w:rPr>
          <w:sz w:val="22"/>
          <w:szCs w:val="22"/>
          <w:lang w:val="en-GB"/>
        </w:rPr>
        <w:t xml:space="preserve">. The isotope data were </w:t>
      </w:r>
      <w:r w:rsidR="006C1CEB" w:rsidRPr="00256EAA">
        <w:rPr>
          <w:sz w:val="22"/>
          <w:szCs w:val="22"/>
          <w:lang w:val="en-GB"/>
        </w:rPr>
        <w:t>assigned</w:t>
      </w:r>
      <w:r w:rsidR="00273730" w:rsidRPr="00256EAA">
        <w:rPr>
          <w:sz w:val="22"/>
          <w:szCs w:val="22"/>
          <w:lang w:val="en-GB"/>
        </w:rPr>
        <w:t xml:space="preserve"> to monthly time bins such that the warmest months of each specimen </w:t>
      </w:r>
      <w:r w:rsidR="006C1CEB" w:rsidRPr="00256EAA">
        <w:rPr>
          <w:sz w:val="22"/>
          <w:szCs w:val="22"/>
          <w:lang w:val="en-GB"/>
        </w:rPr>
        <w:t xml:space="preserve">are aligned. Uncertainty on the age alignment was considered to be within the monthly time bins. </w:t>
      </w:r>
      <w:r w:rsidR="00FE12EF" w:rsidRPr="00256EAA">
        <w:rPr>
          <w:sz w:val="22"/>
          <w:szCs w:val="22"/>
          <w:lang w:val="en-GB"/>
        </w:rPr>
        <w:t>Since the clumped isotope ratios (Δ</w:t>
      </w:r>
      <w:r w:rsidR="00FE12EF" w:rsidRPr="00256EAA">
        <w:rPr>
          <w:sz w:val="22"/>
          <w:szCs w:val="22"/>
          <w:vertAlign w:val="subscript"/>
          <w:lang w:val="en-GB"/>
        </w:rPr>
        <w:t>47</w:t>
      </w:r>
      <w:r w:rsidR="00FE12EF" w:rsidRPr="00256EAA">
        <w:rPr>
          <w:sz w:val="22"/>
          <w:szCs w:val="22"/>
          <w:lang w:val="en-GB"/>
        </w:rPr>
        <w:t xml:space="preserve">) in </w:t>
      </w:r>
      <w:r w:rsidR="00FE12EF" w:rsidRPr="00256EAA">
        <w:rPr>
          <w:sz w:val="22"/>
          <w:szCs w:val="22"/>
          <w:lang w:val="en-GB"/>
        </w:rPr>
        <w:fldChar w:fldCharType="begin"/>
      </w:r>
      <w:r w:rsidR="00FE12EF" w:rsidRPr="00256EAA">
        <w:rPr>
          <w:sz w:val="22"/>
          <w:szCs w:val="22"/>
          <w:lang w:val="en-GB"/>
        </w:rPr>
        <w:instrText xml:space="preserve"> ADDIN ZOTERO_ITEM CSL_CITATION {"citationID":"yhbUejru","properties":{"formattedCitation":"(de Winter et al., 2021)","plainCitation":"(de Winter et al., 2021)","noteIndex":0},"citationItems":[{"id":2680,"uris":["http://zotero.org/users/2470179/items/HR649PES"],"itemData":{"id":2680,"type":"article-journal","abstract":"Seasonal variability in sea surface temperatures plays a fundamental role in climate dynamics and species distribution. Seasonal bias can also severely compromise the accuracy of mean annual temperature reconstructions. It is therefore essential to better understand seasonal variability in climates of the past. Many reconstructions of climate in deep time neglect this issue and rely on controversial assumptions, such as estimates of sea water oxygen isotope composition. Here we present absolute seasonal temperature reconstructions based on clumped isotope measurements in bivalve shells which, critically, do not rely on these assumptions. We reconstruct highly precise monthly sea surface temperatures at around 50 °N latitude from individual oyster and rudist shells of the Campanian greenhouse period about 78 million years ago, when the seasonal range at 50 °N comprised 15 to 27</w:instrText>
      </w:r>
      <w:r w:rsidR="00FE12EF" w:rsidRPr="00256EAA">
        <w:rPr>
          <w:rFonts w:ascii="Arial" w:hAnsi="Arial" w:cs="Arial"/>
          <w:sz w:val="22"/>
          <w:szCs w:val="22"/>
          <w:lang w:val="en-GB"/>
        </w:rPr>
        <w:instrText> </w:instrText>
      </w:r>
      <w:r w:rsidR="00FE12EF" w:rsidRPr="00256EAA">
        <w:rPr>
          <w:rFonts w:cs="Aptos"/>
          <w:sz w:val="22"/>
          <w:szCs w:val="22"/>
          <w:lang w:val="en-GB"/>
        </w:rPr>
        <w:instrText>°</w:instrText>
      </w:r>
      <w:r w:rsidR="00FE12EF" w:rsidRPr="00256EAA">
        <w:rPr>
          <w:sz w:val="22"/>
          <w:szCs w:val="22"/>
          <w:lang w:val="en-GB"/>
        </w:rPr>
        <w:instrText xml:space="preserve">C. In agreement with fully coupled climate model simulations, we find that greenhouse climates outside the tropics were warmer and more seasonal than previously thought. We conclude that seasonal bias and assumptions about seawater composition can distort temperature reconstructions and our understanding of past greenhouse climates.","container-title":"Communications Earth &amp; Environment","DOI":"10.1038/s43247-021-00193-9","ISSN":"2662-4435","issue":"1","journalAbbreviation":"Commun Earth Environ","language":"en","license":"2021 The Author(s)","note":"number: 1\npublisher: Nature Publishing Group","page":"1-8","source":"www.nature.com","title":"Absolute seasonal temperature estimates from clumped isotopes in bivalve shells suggest warm and variable greenhouse climate","volume":"2","author":[{"family":"Winter","given":"Niels J.","non-dropping-particle":"de"},{"family":"Müller","given":"Inigo A."},{"family":"Kocken","given":"Ilja J."},{"family":"Thibault","given":"Nicolas"},{"family":"Ullmann","given":"Clemens V."},{"family":"Farnsworth","given":"Alex"},{"family":"Lunt","given":"Daniel J."},{"family":"Claeys","given":"Philippe"},{"family":"Ziegler","given":"Martin"}],"issued":{"date-parts":[["2021",6,10]]}}}],"schema":"https://github.com/citation-style-language/schema/raw/master/csl-citation.json"} </w:instrText>
      </w:r>
      <w:r w:rsidR="00FE12EF" w:rsidRPr="00256EAA">
        <w:rPr>
          <w:sz w:val="22"/>
          <w:szCs w:val="22"/>
          <w:lang w:val="en-GB"/>
        </w:rPr>
        <w:fldChar w:fldCharType="separate"/>
      </w:r>
      <w:r w:rsidR="00FE12EF" w:rsidRPr="00256EAA">
        <w:rPr>
          <w:sz w:val="22"/>
          <w:szCs w:val="22"/>
        </w:rPr>
        <w:t>(de Winter et al., 2021)</w:t>
      </w:r>
      <w:r w:rsidR="00FE12EF" w:rsidRPr="00256EAA">
        <w:rPr>
          <w:sz w:val="22"/>
          <w:szCs w:val="22"/>
          <w:lang w:val="en-GB"/>
        </w:rPr>
        <w:fldChar w:fldCharType="end"/>
      </w:r>
      <w:r w:rsidR="00FE12EF" w:rsidRPr="00256EAA">
        <w:rPr>
          <w:sz w:val="22"/>
          <w:szCs w:val="22"/>
          <w:lang w:val="en-GB"/>
        </w:rPr>
        <w:t xml:space="preserve"> were originally reported relative to the Carbon Dioxide Equilibrium Scale (CDES) with an acid digestion temperature of 25°C, a 0.071‰ correction factor was applied to bring the values into the now-standard I-CDES scale </w:t>
      </w:r>
      <w:r w:rsidR="00FE12EF" w:rsidRPr="00256EAA">
        <w:rPr>
          <w:sz w:val="22"/>
          <w:szCs w:val="22"/>
          <w:lang w:val="en-GB"/>
        </w:rPr>
        <w:fldChar w:fldCharType="begin"/>
      </w:r>
      <w:r w:rsidR="00FE12EF" w:rsidRPr="00256EAA">
        <w:rPr>
          <w:sz w:val="22"/>
          <w:szCs w:val="22"/>
          <w:lang w:val="en-GB"/>
        </w:rPr>
        <w:instrText xml:space="preserve"> ADDIN ZOTERO_ITEM CSL_CITATION {"citationID":"bQ2DHC4l","properties":{"formattedCitation":"(Petersen et al., 2019)","plainCitation":"(Petersen et al., 2019)","noteIndex":0},"citationItems":[{"id":1519,"uris":["http://zotero.org/users/2470179/items/2PPM7X2P"],"itemData":{"id":1519,"type":"article-journal","abstract":"The clumped isotopic composition of carbonate-derived CO2 (denoted Δ47) is a function of carbonate formation temperature and in natural samples can act as a recorder of paleoclimate, burial, or diagenetic conditions. The absolute abundance of heavy isotopes in the universal standards VPDB and VSMOW (defined by four parameters: R13VPDB, R17VSMOW, R18VSMOW, and λ) impact calculated Δ47 values. Here, we investigate whether use of updated and more accurate values for these parameters can remove observed interlaboratory differences in the measured T-Δ47 relationship. Using the updated parameters, we reprocess 14 published calibration data sets measured in 11 different laboratories, representing many mineralogies, bulk compositions, sample types, reaction temperatures, and sample preparation and analysis methods. Exploiting this large composite data set (n = 1,253 sample replicates), we investigate the possibility for a “universal” clumped isotope calibration. We find that applying updated parameters improves the T-Δ47 relationship (reduces residuals) within most labs and improves overall agreement but does not eliminate all interlaboratory differences. We reaffirm earlier findings that different mineralogies do not require different calibration equations and that cleaning procedures, method of pressure baseline correction, and mass spectrometer type do not affect interlaboratory agreement. We also present new estimates of the temperature dependence of the acid digestion fractionation for Δ47 (Δ*25-X), based on combining reprocessed data from four studies, and new theoretical equilibrium values to be used in calculation of the empirical transfer function. Overall, we have ruled out a number of possible causes of interlaboratory disagreement in the T-Δ47 relationship, but many more remain to be investigated.","container-title":"Geochemistry, Geophysics, Geosystems","DOI":"10.1029/2018GC008127","ISSN":"1525-2027","issue":"7","language":"en","license":"©2019. American Geophysical Union. All Rights Reserved.","page":"3495-3519","source":"Wiley Online Library","title":"Effects of Improved 17O Correction on Interlaboratory Agreement in Clumped Isotope Calibrations, Estimates of Mineral-Specific Offsets, and Temperature Dependence of Acid Digestion Fractionation","volume":"20","author":[{"family":"Petersen","given":"S. V."},{"family":"Defliese","given":"W. F."},{"family":"Saenger","given":"C."},{"family":"Daëron","given":"M."},{"family":"Huntington","given":"K. W."},{"family":"John","given":"C. M."},{"family":"Kelson","given":"J. R."},{"family":"Bernasconi","given":"S. M."},{"family":"Colman","given":"A. S."},{"family":"Kluge","given":"T."},{"family":"Olack","given":"G. A."},{"family":"Schauer","given":"A. J."},{"family":"Bajnai","given":"D."},{"family":"Bonifacie","given":"M."},{"family":"Breitenbach","given":"S. F. M."},{"family":"Fiebig","given":"J."},{"family":"Fernandez","given":"A. B."},{"family":"Henkes","given":"G. A."},{"family":"Hodell","given":"D."},{"family":"Katz","given":"A."},{"family":"Kele","given":"S."},{"family":"Lohmann","given":"K. C."},{"family":"Passey","given":"B. H."},{"family":"Peral","given":"M. Y."},{"family":"Petrizzo","given":"D. A."},{"family":"Rosenheim","given":"B. E."},{"family":"Tripati","given":"A."},{"family":"Venturelli","given":"R."},{"family":"Young","given":"E. D."},{"family":"Winkelstern","given":"I. Z."}],"issued":{"date-parts":[["2019"]]}}}],"schema":"https://github.com/citation-style-language/schema/raw/master/csl-citation.json"} </w:instrText>
      </w:r>
      <w:r w:rsidR="00FE12EF" w:rsidRPr="00256EAA">
        <w:rPr>
          <w:sz w:val="22"/>
          <w:szCs w:val="22"/>
          <w:lang w:val="en-GB"/>
        </w:rPr>
        <w:fldChar w:fldCharType="separate"/>
      </w:r>
      <w:r w:rsidR="00FE12EF" w:rsidRPr="00256EAA">
        <w:rPr>
          <w:sz w:val="22"/>
          <w:szCs w:val="22"/>
        </w:rPr>
        <w:t>(Petersen et al., 2019)</w:t>
      </w:r>
      <w:r w:rsidR="00FE12EF" w:rsidRPr="00256EAA">
        <w:rPr>
          <w:sz w:val="22"/>
          <w:szCs w:val="22"/>
          <w:lang w:val="en-GB"/>
        </w:rPr>
        <w:fldChar w:fldCharType="end"/>
      </w:r>
      <w:r w:rsidR="00FE12EF" w:rsidRPr="00256EAA">
        <w:rPr>
          <w:sz w:val="22"/>
          <w:szCs w:val="22"/>
          <w:lang w:val="en-GB"/>
        </w:rPr>
        <w:t xml:space="preserve">. Note that the acid digestions for the clumped isotope measurements in this dataset were originally done at 70°C, so this acid correction factor was previously applied to bring the data into the then-standard 25°C reference frame (see Methods in </w:t>
      </w:r>
      <w:r w:rsidR="00FE12EF" w:rsidRPr="00256EAA">
        <w:rPr>
          <w:sz w:val="22"/>
          <w:szCs w:val="22"/>
          <w:lang w:val="en-GB"/>
        </w:rPr>
        <w:fldChar w:fldCharType="begin"/>
      </w:r>
      <w:r w:rsidR="00FE12EF" w:rsidRPr="00256EAA">
        <w:rPr>
          <w:sz w:val="22"/>
          <w:szCs w:val="22"/>
          <w:lang w:val="en-GB"/>
        </w:rPr>
        <w:instrText xml:space="preserve"> ADDIN ZOTERO_ITEM CSL_CITATION {"citationID":"IUgNBDsB","properties":{"formattedCitation":"(de Winter et al., 2021)","plainCitation":"(de Winter et al., 2021)","noteIndex":0},"citationItems":[{"id":2680,"uris":["http://zotero.org/users/2470179/items/HR649PES"],"itemData":{"id":2680,"type":"article-journal","abstract":"Seasonal variability in sea surface temperatures plays a fundamental role in climate dynamics and species distribution. Seasonal bias can also severely compromise the accuracy of mean annual temperature reconstructions. It is therefore essential to better understand seasonal variability in climates of the past. Many reconstructions of climate in deep time neglect this issue and rely on controversial assumptions, such as estimates of sea water oxygen isotope composition. Here we present absolute seasonal temperature reconstructions based on clumped isotope measurements in bivalve shells which, critically, do not rely on these assumptions. We reconstruct highly precise monthly sea surface temperatures at around 50 °N latitude from individual oyster and rudist shells of the Campanian greenhouse period about 78 million years ago, when the seasonal range at 50 °N comprised 15 to 27</w:instrText>
      </w:r>
      <w:r w:rsidR="00FE12EF" w:rsidRPr="00256EAA">
        <w:rPr>
          <w:rFonts w:ascii="Arial" w:hAnsi="Arial" w:cs="Arial"/>
          <w:sz w:val="22"/>
          <w:szCs w:val="22"/>
          <w:lang w:val="en-GB"/>
        </w:rPr>
        <w:instrText> </w:instrText>
      </w:r>
      <w:r w:rsidR="00FE12EF" w:rsidRPr="00256EAA">
        <w:rPr>
          <w:rFonts w:cs="Aptos"/>
          <w:sz w:val="22"/>
          <w:szCs w:val="22"/>
          <w:lang w:val="en-GB"/>
        </w:rPr>
        <w:instrText>°</w:instrText>
      </w:r>
      <w:r w:rsidR="00FE12EF" w:rsidRPr="00256EAA">
        <w:rPr>
          <w:sz w:val="22"/>
          <w:szCs w:val="22"/>
          <w:lang w:val="en-GB"/>
        </w:rPr>
        <w:instrText xml:space="preserve">C. In agreement with fully coupled climate model simulations, we find that greenhouse climates outside the tropics were warmer and more seasonal than previously thought. We conclude that seasonal bias and assumptions about seawater composition can distort temperature reconstructions and our understanding of past greenhouse climates.","container-title":"Communications Earth &amp; Environment","DOI":"10.1038/s43247-021-00193-9","ISSN":"2662-4435","issue":"1","journalAbbreviation":"Commun Earth Environ","language":"en","license":"2021 The Author(s)","note":"number: 1\npublisher: Nature Publishing Group","page":"1-8","source":"www.nature.com","title":"Absolute seasonal temperature estimates from clumped isotopes in bivalve shells suggest warm and variable greenhouse climate","volume":"2","author":[{"family":"Winter","given":"Niels J.","non-dropping-particle":"de"},{"family":"Müller","given":"Inigo A."},{"family":"Kocken","given":"Ilja J."},{"family":"Thibault","given":"Nicolas"},{"family":"Ullmann","given":"Clemens V."},{"family":"Farnsworth","given":"Alex"},{"family":"Lunt","given":"Daniel J."},{"family":"Claeys","given":"Philippe"},{"family":"Ziegler","given":"Martin"}],"issued":{"date-parts":[["2021",6,10]]}}}],"schema":"https://github.com/citation-style-language/schema/raw/master/csl-citation.json"} </w:instrText>
      </w:r>
      <w:r w:rsidR="00FE12EF" w:rsidRPr="00256EAA">
        <w:rPr>
          <w:sz w:val="22"/>
          <w:szCs w:val="22"/>
          <w:lang w:val="en-GB"/>
        </w:rPr>
        <w:fldChar w:fldCharType="separate"/>
      </w:r>
      <w:r w:rsidR="00FE12EF" w:rsidRPr="00256EAA">
        <w:rPr>
          <w:sz w:val="22"/>
          <w:szCs w:val="22"/>
        </w:rPr>
        <w:t>(de Winter et al., 2021)</w:t>
      </w:r>
      <w:r w:rsidR="00FE12EF" w:rsidRPr="00256EAA">
        <w:rPr>
          <w:sz w:val="22"/>
          <w:szCs w:val="22"/>
          <w:lang w:val="en-GB"/>
        </w:rPr>
        <w:fldChar w:fldCharType="end"/>
      </w:r>
      <w:r w:rsidR="00FE12EF" w:rsidRPr="00256EAA">
        <w:rPr>
          <w:sz w:val="22"/>
          <w:szCs w:val="22"/>
          <w:lang w:val="en-GB"/>
        </w:rPr>
        <w:t>) and is now simply reversed.</w:t>
      </w:r>
    </w:p>
    <w:p w14:paraId="72E457B2" w14:textId="3254453B" w:rsidR="001E50D0" w:rsidRDefault="001E50D0" w:rsidP="00FD10E6">
      <w:pPr>
        <w:jc w:val="both"/>
        <w:rPr>
          <w:sz w:val="22"/>
          <w:szCs w:val="22"/>
          <w:lang w:val="en-GB"/>
        </w:rPr>
      </w:pPr>
      <w:r w:rsidRPr="00256EAA">
        <w:rPr>
          <w:sz w:val="22"/>
          <w:szCs w:val="22"/>
          <w:lang w:val="en-GB"/>
        </w:rPr>
        <w:t xml:space="preserve">The prior estimates for SST, SAT, SSS and precipitation were based on simulations of Campanian (78 Ma) climate using the </w:t>
      </w:r>
      <w:proofErr w:type="spellStart"/>
      <w:r w:rsidRPr="00256EAA">
        <w:rPr>
          <w:sz w:val="22"/>
          <w:szCs w:val="22"/>
          <w:lang w:val="en-GB"/>
        </w:rPr>
        <w:t>HadCM</w:t>
      </w:r>
      <w:proofErr w:type="spellEnd"/>
      <w:r w:rsidRPr="00256EAA">
        <w:rPr>
          <w:sz w:val="22"/>
          <w:szCs w:val="22"/>
          <w:lang w:val="en-GB"/>
        </w:rPr>
        <w:t xml:space="preserve"> model (version </w:t>
      </w:r>
      <w:r w:rsidRPr="00256EAA">
        <w:rPr>
          <w:sz w:val="22"/>
          <w:szCs w:val="22"/>
        </w:rPr>
        <w:t>HadCM3BL-M2.1aE</w:t>
      </w:r>
      <w:r w:rsidRPr="00256EAA">
        <w:rPr>
          <w:sz w:val="22"/>
          <w:szCs w:val="22"/>
          <w:lang w:val="en-GB"/>
        </w:rPr>
        <w:t>) using a 4 times pre-industrial pCO</w:t>
      </w:r>
      <w:r w:rsidRPr="00256EAA">
        <w:rPr>
          <w:sz w:val="22"/>
          <w:szCs w:val="22"/>
          <w:vertAlign w:val="subscript"/>
          <w:lang w:val="en-GB"/>
        </w:rPr>
        <w:t>2</w:t>
      </w:r>
      <w:r w:rsidRPr="00256EAA">
        <w:rPr>
          <w:sz w:val="22"/>
          <w:szCs w:val="22"/>
          <w:lang w:val="en-GB"/>
        </w:rPr>
        <w:t xml:space="preserve"> radiative forcing (details in </w:t>
      </w:r>
      <w:r w:rsidRPr="00256EAA">
        <w:rPr>
          <w:sz w:val="22"/>
          <w:szCs w:val="22"/>
          <w:lang w:val="en-GB"/>
        </w:rPr>
        <w:fldChar w:fldCharType="begin"/>
      </w:r>
      <w:r w:rsidRPr="00256EAA">
        <w:rPr>
          <w:sz w:val="22"/>
          <w:szCs w:val="22"/>
          <w:lang w:val="en-GB"/>
        </w:rPr>
        <w:instrText xml:space="preserve"> ADDIN ZOTERO_ITEM CSL_CITATION {"citationID":"xYfmXkLo","properties":{"formattedCitation":"(de Winter et al., 2021)","plainCitation":"(de Winter et al., 2021)","noteIndex":0},"citationItems":[{"id":2680,"uris":["http://zotero.org/users/2470179/items/HR649PES"],"itemData":{"id":2680,"type":"article-journal","abstract":"Seasonal variability in sea surface temperatures plays a fundamental role in climate dynamics and species distribution. Seasonal bias can also severely compromise the accuracy of mean annual temperature reconstructions. It is therefore essential to better understand seasonal variability in climates of the past. Many reconstructions of climate in deep time neglect this issue and rely on controversial assumptions, such as estimates of sea water oxygen isotope composition. Here we present absolute seasonal temperature reconstructions based on clumped isotope measurements in bivalve shells which, critically, do not rely on these assumptions. We reconstruct highly precise monthly sea surface temperatures at around 50 °N latitude from individual oyster and rudist shells of the Campanian greenhouse period about 78 million years ago, when the seasonal range at 50 °N comprised 15 to 27</w:instrText>
      </w:r>
      <w:r w:rsidRPr="00256EAA">
        <w:rPr>
          <w:rFonts w:ascii="Arial" w:hAnsi="Arial" w:cs="Arial"/>
          <w:sz w:val="22"/>
          <w:szCs w:val="22"/>
          <w:lang w:val="en-GB"/>
        </w:rPr>
        <w:instrText> </w:instrText>
      </w:r>
      <w:r w:rsidRPr="00256EAA">
        <w:rPr>
          <w:rFonts w:cs="Aptos"/>
          <w:sz w:val="22"/>
          <w:szCs w:val="22"/>
          <w:lang w:val="en-GB"/>
        </w:rPr>
        <w:instrText>°</w:instrText>
      </w:r>
      <w:r w:rsidRPr="00256EAA">
        <w:rPr>
          <w:sz w:val="22"/>
          <w:szCs w:val="22"/>
          <w:lang w:val="en-GB"/>
        </w:rPr>
        <w:instrText xml:space="preserve">C. In agreement with fully coupled climate model simulations, we find that greenhouse climates outside the tropics were warmer and more seasonal than previously thought. We conclude that seasonal bias and assumptions about seawater composition can distort temperature reconstructions and our understanding of past greenhouse climates.","container-title":"Communications Earth &amp; Environment","DOI":"10.1038/s43247-021-00193-9","ISSN":"2662-4435","issue":"1","journalAbbreviation":"Commun Earth Environ","language":"en","license":"2021 The Author(s)","note":"number: 1\npublisher: Nature Publishing Group","page":"1-8","source":"www.nature.com","title":"Absolute seasonal temperature estimates from clumped isotopes in bivalve shells suggest warm and variable greenhouse climate","volume":"2","author":[{"family":"Winter","given":"Niels J.","non-dropping-particle":"de"},{"family":"Müller","given":"Inigo A."},{"family":"Kocken","given":"Ilja J."},{"family":"Thibault","given":"Nicolas"},{"family":"Ullmann","given":"Clemens V."},{"family":"Farnsworth","given":"Alex"},{"family":"Lunt","given":"Daniel J."},{"family":"Claeys","given":"Philippe"},{"family":"Ziegler","given":"Martin"}],"issued":{"date-parts":[["2021",6,10]]}}}],"schema":"https://github.com/citation-style-language/schema/raw/master/csl-citation.json"} </w:instrText>
      </w:r>
      <w:r w:rsidRPr="00256EAA">
        <w:rPr>
          <w:sz w:val="22"/>
          <w:szCs w:val="22"/>
          <w:lang w:val="en-GB"/>
        </w:rPr>
        <w:fldChar w:fldCharType="separate"/>
      </w:r>
      <w:r w:rsidRPr="00256EAA">
        <w:rPr>
          <w:sz w:val="22"/>
          <w:szCs w:val="22"/>
        </w:rPr>
        <w:t>(de Winter et al., 2021)</w:t>
      </w:r>
      <w:r w:rsidRPr="00256EAA">
        <w:rPr>
          <w:sz w:val="22"/>
          <w:szCs w:val="22"/>
          <w:lang w:val="en-GB"/>
        </w:rPr>
        <w:fldChar w:fldCharType="end"/>
      </w:r>
      <w:r w:rsidRPr="00256EAA">
        <w:rPr>
          <w:sz w:val="22"/>
          <w:szCs w:val="22"/>
          <w:lang w:val="en-GB"/>
        </w:rPr>
        <w:t>. The simulation is identical to the 4x pCO</w:t>
      </w:r>
      <w:r w:rsidRPr="00256EAA">
        <w:rPr>
          <w:sz w:val="22"/>
          <w:szCs w:val="22"/>
          <w:vertAlign w:val="subscript"/>
          <w:lang w:val="en-GB"/>
        </w:rPr>
        <w:t>2</w:t>
      </w:r>
      <w:r w:rsidRPr="00256EAA">
        <w:rPr>
          <w:sz w:val="22"/>
          <w:szCs w:val="22"/>
          <w:lang w:val="en-GB"/>
        </w:rPr>
        <w:t xml:space="preserve"> simulation for presented for the Campanian in </w:t>
      </w:r>
      <w:r w:rsidRPr="00256EAA">
        <w:rPr>
          <w:sz w:val="22"/>
          <w:szCs w:val="22"/>
          <w:lang w:val="en-GB"/>
        </w:rPr>
        <w:fldChar w:fldCharType="begin"/>
      </w:r>
      <w:r w:rsidRPr="00256EAA">
        <w:rPr>
          <w:sz w:val="22"/>
          <w:szCs w:val="22"/>
          <w:lang w:val="en-GB"/>
        </w:rPr>
        <w:instrText xml:space="preserve"> ADDIN ZOTERO_ITEM CSL_CITATION {"citationID":"gnu8E8Kh","properties":{"formattedCitation":"(Farnsworth et al., 2019)","plainCitation":"(Farnsworth et al., 2019)","noteIndex":0},"citationItems":[{"id":1447,"uris":["http://zotero.org/users/2470179/items/GXW8DFKA"],"itemData":{"id":1447,"type":"article-journal","abstract":"Climate sensitivity is a key metric used to assess the magnitude of global warming given increased CO2 concentrations. The geological past can provide insights into climate sensitivity; however, on timescales of millions of years, factors other than CO2 can drive climate, including paleogeographic forcing and solar luminosity. Here, through an ensemble of climate model simulations covering the period 150–35 million years ago, we show that climate sensitivity to CO2 doubling varies between </w:instrText>
      </w:r>
      <w:r w:rsidRPr="00256EAA">
        <w:rPr>
          <w:rFonts w:ascii="Cambria Math" w:hAnsi="Cambria Math" w:cs="Cambria Math"/>
          <w:sz w:val="22"/>
          <w:szCs w:val="22"/>
          <w:lang w:val="en-GB"/>
        </w:rPr>
        <w:instrText>∼</w:instrText>
      </w:r>
      <w:r w:rsidRPr="00256EAA">
        <w:rPr>
          <w:sz w:val="22"/>
          <w:szCs w:val="22"/>
          <w:lang w:val="en-GB"/>
        </w:rPr>
        <w:instrText xml:space="preserve">3.5 and 5.5 </w:instrText>
      </w:r>
      <w:r w:rsidRPr="00256EAA">
        <w:rPr>
          <w:rFonts w:cs="Aptos"/>
          <w:sz w:val="22"/>
          <w:szCs w:val="22"/>
          <w:lang w:val="en-GB"/>
        </w:rPr>
        <w:instrText>◦</w:instrText>
      </w:r>
      <w:r w:rsidRPr="00256EAA">
        <w:rPr>
          <w:sz w:val="22"/>
          <w:szCs w:val="22"/>
          <w:lang w:val="en-GB"/>
        </w:rPr>
        <w:instrText xml:space="preserve">C through this time. These variations can be explained as a nonlinear response to solar luminosity, evolving surface albedo due to changes in ocean area, and changes in ocean circulation. The work shows that the modern climate sensitivity is relatively low in the context of the geological record, as a result of relatively weak feedbacks due to a relatively low CO2 baseline, and the presence of ice and relatively small ocean area in the modern continental configuration.","container-title":"Geophysical Research Letters","DOI":"10.1029/2019GL083574","ISSN":"0094-8276, 1944-8007","issue":"16","journalAbbreviation":"Geophys. Res. Lett.","language":"en","page":"9880-9889","source":"DOI.org (Crossref)","title":"Climate Sensitivity on Geological Timescales Controlled by Nonlinear Feedbacks and Ocean Circulation","volume":"46","author":[{"family":"Farnsworth","given":"A."},{"family":"Lunt","given":"D. J."},{"family":"O'Brien","given":"C. L."},{"family":"Foster","given":"G. L."},{"family":"Inglis","given":"G. N."},{"family":"Markwick","given":"P."},{"family":"Pancost","given":"R. D."},{"family":"Robinson","given":"S. A."}],"issued":{"date-parts":[["2019",8,28]]}}}],"schema":"https://github.com/citation-style-language/schema/raw/master/csl-citation.json"} </w:instrText>
      </w:r>
      <w:r w:rsidRPr="00256EAA">
        <w:rPr>
          <w:sz w:val="22"/>
          <w:szCs w:val="22"/>
          <w:lang w:val="en-GB"/>
        </w:rPr>
        <w:fldChar w:fldCharType="separate"/>
      </w:r>
      <w:r w:rsidRPr="00256EAA">
        <w:rPr>
          <w:sz w:val="22"/>
          <w:szCs w:val="22"/>
        </w:rPr>
        <w:t>(Farnsworth et al., 2019)</w:t>
      </w:r>
      <w:r w:rsidRPr="00256EAA">
        <w:rPr>
          <w:sz w:val="22"/>
          <w:szCs w:val="22"/>
          <w:lang w:val="en-GB"/>
        </w:rPr>
        <w:fldChar w:fldCharType="end"/>
      </w:r>
      <w:r w:rsidRPr="00256EAA">
        <w:rPr>
          <w:sz w:val="22"/>
          <w:szCs w:val="22"/>
          <w:lang w:val="en-GB"/>
        </w:rPr>
        <w:t>. Model data for the target parameters was extracted from the climate fields for the area of interest (</w:t>
      </w:r>
      <w:r w:rsidRPr="00256EAA">
        <w:rPr>
          <w:sz w:val="22"/>
          <w:szCs w:val="22"/>
        </w:rPr>
        <w:t xml:space="preserve">42.5-50°N, </w:t>
      </w:r>
      <w:r w:rsidRPr="00256EAA">
        <w:rPr>
          <w:sz w:val="22"/>
          <w:szCs w:val="22"/>
        </w:rPr>
        <w:lastRenderedPageBreak/>
        <w:t xml:space="preserve">7.5-15°E paleolatitude, calculated based on </w:t>
      </w:r>
      <w:r w:rsidRPr="00256EAA">
        <w:rPr>
          <w:sz w:val="22"/>
          <w:szCs w:val="22"/>
        </w:rPr>
        <w:fldChar w:fldCharType="begin"/>
      </w:r>
      <w:r w:rsidRPr="00256EAA">
        <w:rPr>
          <w:sz w:val="22"/>
          <w:szCs w:val="22"/>
        </w:rPr>
        <w:instrText xml:space="preserve"> ADDIN ZOTERO_ITEM CSL_CITATION {"citationID":"pkt83sfK","properties":{"formattedCitation":"(van Hinsbergen et al., 2015)","plainCitation":"(van Hinsbergen et al., 2015)","noteIndex":0},"citationItems":[{"id":2461,"uris":["http://zotero.org/users/2470179/items/9W9U4NVM"],"itemData":{"id":2461,"type":"article-journal","container-title":"PloS one","issue":"6","page":"e0126946","source":"Google Scholar","title":"A paleolatitude calculator for paleoclimate studies","volume":"10","author":[{"family":"Hinsbergen","given":"Douwe JJ","non-dropping-particle":"van"},{"family":"Groot","given":"Lennart V.","non-dropping-particle":"de"},{"family":"Schaik","given":"Sebastiaan J.","non-dropping-particle":"van"},{"family":"Spakman","given":"Wim"},{"family":"Bijl","given":"Peter K."},{"family":"Sluijs","given":"Appy"},{"family":"Langereis","given":"Cor G."},{"family":"Brinkhuis","given":"Henk"}],"issued":{"date-parts":[["2015"]]}}}],"schema":"https://github.com/citation-style-language/schema/raw/master/csl-citation.json"} </w:instrText>
      </w:r>
      <w:r w:rsidRPr="00256EAA">
        <w:rPr>
          <w:sz w:val="22"/>
          <w:szCs w:val="22"/>
        </w:rPr>
        <w:fldChar w:fldCharType="separate"/>
      </w:r>
      <w:r w:rsidRPr="00256EAA">
        <w:rPr>
          <w:sz w:val="22"/>
          <w:szCs w:val="22"/>
        </w:rPr>
        <w:t>(van Hinsbergen et al., 2015)</w:t>
      </w:r>
      <w:r w:rsidRPr="00256EAA">
        <w:rPr>
          <w:sz w:val="22"/>
          <w:szCs w:val="22"/>
        </w:rPr>
        <w:fldChar w:fldCharType="end"/>
      </w:r>
      <w:r w:rsidRPr="00256EAA">
        <w:rPr>
          <w:sz w:val="22"/>
          <w:szCs w:val="22"/>
          <w:lang w:val="en-GB"/>
        </w:rPr>
        <w:t>) and variability between grid cells within the area was propagated into the assimilation result as uncertainty.</w:t>
      </w:r>
    </w:p>
    <w:p w14:paraId="7A128283" w14:textId="05D0E48B" w:rsidR="00F557E7" w:rsidRDefault="00F557E7" w:rsidP="00953791">
      <w:pPr>
        <w:jc w:val="both"/>
        <w:rPr>
          <w:b/>
          <w:bCs/>
          <w:sz w:val="22"/>
          <w:szCs w:val="22"/>
          <w:lang w:val="en-GB"/>
        </w:rPr>
      </w:pPr>
      <w:r>
        <w:rPr>
          <w:b/>
          <w:bCs/>
          <w:noProof/>
          <w:sz w:val="22"/>
          <w:szCs w:val="22"/>
          <w:lang w:val="en-GB"/>
        </w:rPr>
        <w:drawing>
          <wp:inline distT="0" distB="0" distL="0" distR="0" wp14:anchorId="39DC6CE8" wp14:editId="37BACAAE">
            <wp:extent cx="5731412" cy="1889125"/>
            <wp:effectExtent l="0" t="0" r="3175" b="0"/>
            <wp:docPr id="15889741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74108"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412" cy="1889125"/>
                    </a:xfrm>
                    <a:prstGeom prst="rect">
                      <a:avLst/>
                    </a:prstGeom>
                  </pic:spPr>
                </pic:pic>
              </a:graphicData>
            </a:graphic>
          </wp:inline>
        </w:drawing>
      </w:r>
    </w:p>
    <w:p w14:paraId="6665057E" w14:textId="6C404E8E" w:rsidR="00953791" w:rsidRPr="00256EAA" w:rsidRDefault="00A2177C" w:rsidP="00953791">
      <w:pPr>
        <w:jc w:val="both"/>
        <w:rPr>
          <w:sz w:val="22"/>
          <w:szCs w:val="22"/>
          <w:lang w:val="en-GB"/>
        </w:rPr>
      </w:pPr>
      <w:r>
        <w:rPr>
          <w:b/>
          <w:bCs/>
          <w:sz w:val="22"/>
          <w:szCs w:val="22"/>
          <w:lang w:val="en-GB"/>
        </w:rPr>
        <w:t>Figure 4</w:t>
      </w:r>
      <w:r w:rsidR="00953791">
        <w:rPr>
          <w:sz w:val="22"/>
          <w:szCs w:val="22"/>
          <w:lang w:val="en-GB"/>
        </w:rPr>
        <w:t>: Campanian PRIOR (monthly model) and LIKELIHOOD (individual D47 and d18Oc data)</w:t>
      </w:r>
    </w:p>
    <w:p w14:paraId="1D53E88C" w14:textId="349C696C" w:rsidR="00953791" w:rsidRDefault="00953791" w:rsidP="00953791">
      <w:pPr>
        <w:jc w:val="both"/>
        <w:rPr>
          <w:sz w:val="22"/>
          <w:szCs w:val="22"/>
          <w:lang w:val="en-GB"/>
        </w:rPr>
      </w:pPr>
      <w:r>
        <w:rPr>
          <w:sz w:val="22"/>
          <w:szCs w:val="22"/>
          <w:lang w:val="en-GB"/>
        </w:rPr>
        <w:t>2.2 Data assimilation routine</w:t>
      </w:r>
    </w:p>
    <w:p w14:paraId="2025A8A4" w14:textId="20EAA5F8" w:rsidR="00261B2C" w:rsidRPr="003D0BEF" w:rsidRDefault="00261B2C" w:rsidP="00953791">
      <w:pPr>
        <w:jc w:val="both"/>
        <w:rPr>
          <w:sz w:val="22"/>
          <w:szCs w:val="22"/>
          <w:lang w:val="en-US"/>
        </w:rPr>
      </w:pPr>
      <w:r>
        <w:rPr>
          <w:sz w:val="22"/>
          <w:szCs w:val="22"/>
          <w:lang w:val="en-GB"/>
        </w:rPr>
        <w:t>Below follows a step-by-step breakdown of the data assimilation routine used for this study. All calculations were carried out in Python</w:t>
      </w:r>
      <w:r w:rsidR="00136807">
        <w:rPr>
          <w:sz w:val="22"/>
          <w:szCs w:val="22"/>
          <w:lang w:val="en-GB"/>
        </w:rPr>
        <w:t xml:space="preserve"> </w:t>
      </w:r>
      <w:r w:rsidR="00136807">
        <w:rPr>
          <w:sz w:val="22"/>
          <w:szCs w:val="22"/>
          <w:lang w:val="en-GB"/>
        </w:rPr>
        <w:fldChar w:fldCharType="begin"/>
      </w:r>
      <w:r w:rsidR="003D0BEF">
        <w:rPr>
          <w:sz w:val="22"/>
          <w:szCs w:val="22"/>
          <w:lang w:val="en-GB"/>
        </w:rPr>
        <w:instrText xml:space="preserve"> ADDIN ZOTERO_ITEM CSL_CITATION {"citationID":"8wgd5KDp","properties":{"formattedCitation":"(Python Software Foundation, 2025)","plainCitation":"(Python Software Foundation, 2025)","noteIndex":0},"citationItems":[{"id":11801,"uris":["http://zotero.org/users/2470179/items/KTBTM49Z"],"itemData":{"id":11801,"type":"software","title":"Python Language","URL":"https://www.python.org/","version":"3.11.9","author":[{"family":"Python Software Foundation","given":""}],"issued":{"date-parts":[["2025"]]}}}],"schema":"https://github.com/citation-style-language/schema/raw/master/csl-citation.json"} </w:instrText>
      </w:r>
      <w:r w:rsidR="00136807">
        <w:rPr>
          <w:sz w:val="22"/>
          <w:szCs w:val="22"/>
          <w:lang w:val="en-GB"/>
        </w:rPr>
        <w:fldChar w:fldCharType="separate"/>
      </w:r>
      <w:r w:rsidR="003D0BEF" w:rsidRPr="003D0BEF">
        <w:rPr>
          <w:rFonts w:ascii="Aptos" w:hAnsi="Aptos"/>
          <w:sz w:val="22"/>
        </w:rPr>
        <w:t>(Python Software Foundation, 2025)</w:t>
      </w:r>
      <w:r w:rsidR="00136807">
        <w:rPr>
          <w:sz w:val="22"/>
          <w:szCs w:val="22"/>
          <w:lang w:val="en-GB"/>
        </w:rPr>
        <w:fldChar w:fldCharType="end"/>
      </w:r>
      <w:r>
        <w:rPr>
          <w:sz w:val="22"/>
          <w:szCs w:val="22"/>
          <w:lang w:val="en-GB"/>
        </w:rPr>
        <w:t xml:space="preserve"> using </w:t>
      </w:r>
      <w:proofErr w:type="spellStart"/>
      <w:r>
        <w:rPr>
          <w:sz w:val="22"/>
          <w:szCs w:val="22"/>
          <w:lang w:val="en-GB"/>
        </w:rPr>
        <w:t>Jupyter</w:t>
      </w:r>
      <w:proofErr w:type="spellEnd"/>
      <w:r>
        <w:rPr>
          <w:sz w:val="22"/>
          <w:szCs w:val="22"/>
          <w:lang w:val="en-GB"/>
        </w:rPr>
        <w:t xml:space="preserve"> Notebooks</w:t>
      </w:r>
      <w:r w:rsidR="003D0BEF">
        <w:rPr>
          <w:sz w:val="22"/>
          <w:szCs w:val="22"/>
          <w:lang w:val="en-GB"/>
        </w:rPr>
        <w:t xml:space="preserve"> </w:t>
      </w:r>
      <w:r w:rsidR="003D0BEF">
        <w:rPr>
          <w:sz w:val="22"/>
          <w:szCs w:val="22"/>
          <w:lang w:val="en-GB"/>
        </w:rPr>
        <w:fldChar w:fldCharType="begin"/>
      </w:r>
      <w:r w:rsidR="003D0BEF">
        <w:rPr>
          <w:sz w:val="22"/>
          <w:szCs w:val="22"/>
          <w:lang w:val="en-GB"/>
        </w:rPr>
        <w:instrText xml:space="preserve"> ADDIN ZOTERO_ITEM CSL_CITATION {"citationID":"tGjUB0fW","properties":{"formattedCitation":"(Kluyver et al., 2016)","plainCitation":"(Kluyver et al., 2016)","noteIndex":0},"citationItems":[{"id":11802,"uris":["http://zotero.org/users/2470179/items/DCXCJAUX"],"itemData":{"id":11802,"type":"chapter","container-title":"Positioning and Power in Academic Publishing: Players, Agents and Agendas","language":"en","note":"DOI: 10.3233/978-1-61499-649-1-87","page":"87-90","publisher":"IOS Press","source":"ebooks.iospress.nl","title":"Jupyter Notebooks – a publishing format for reproducible computational workflows","URL":"https://ebooks.iospress.nl/doi/10.3233/978-1-61499-649-1-87","author":[{"family":"Kluyver","given":"Thomas"},{"family":"Ragan-Kelley","given":"Benjamin"},{"family":"P&amp;#233","given":""},{"family":"Rez","given":"Fernando"},{"family":"Granger","given":"Brian"},{"family":"Bussonnier","given":"Matthias"},{"family":"Frederic","given":"Jonathan"},{"family":"Kelley","given":"Kyle"},{"family":"Hamrick","given":"Jessica"},{"family":"Grout","given":"Jason"},{"family":"Corlay","given":"Sylvain"},{"family":"Ivanov","given":"Paul"},{"family":"Avila","given":"Dami&amp;#225"},{"family":"n","given":""},{"family":"Abdalla","given":"Safia"},{"family":"Willing","given":"Carol"},{"family":"Team","given":"Jupyter Development"}],"accessed":{"date-parts":[["2025",10,31]]},"issued":{"date-parts":[["2016"]]}}}],"schema":"https://github.com/citation-style-language/schema/raw/master/csl-citation.json"} </w:instrText>
      </w:r>
      <w:r w:rsidR="003D0BEF">
        <w:rPr>
          <w:sz w:val="22"/>
          <w:szCs w:val="22"/>
          <w:lang w:val="en-GB"/>
        </w:rPr>
        <w:fldChar w:fldCharType="separate"/>
      </w:r>
      <w:r w:rsidR="003D0BEF" w:rsidRPr="003D0BEF">
        <w:rPr>
          <w:rFonts w:ascii="Aptos" w:hAnsi="Aptos"/>
          <w:sz w:val="22"/>
        </w:rPr>
        <w:t>(Kluyver et al., 2016)</w:t>
      </w:r>
      <w:r w:rsidR="003D0BEF">
        <w:rPr>
          <w:sz w:val="22"/>
          <w:szCs w:val="22"/>
          <w:lang w:val="en-GB"/>
        </w:rPr>
        <w:fldChar w:fldCharType="end"/>
      </w:r>
      <w:r w:rsidR="003D0BEF">
        <w:rPr>
          <w:sz w:val="22"/>
          <w:szCs w:val="22"/>
          <w:lang w:val="en-GB"/>
        </w:rPr>
        <w:t xml:space="preserve"> to track each step in the procedure and allow us to show in-between results</w:t>
      </w:r>
      <w:r>
        <w:rPr>
          <w:sz w:val="22"/>
          <w:szCs w:val="22"/>
          <w:lang w:val="en-GB"/>
        </w:rPr>
        <w:t xml:space="preserve">. </w:t>
      </w:r>
      <w:r w:rsidR="003D0BEF">
        <w:rPr>
          <w:sz w:val="22"/>
          <w:szCs w:val="22"/>
          <w:lang w:val="en-GB"/>
        </w:rPr>
        <w:t xml:space="preserve">We provide all these Notebooks along with the data required to run them on an open online repository on GitHub </w:t>
      </w:r>
      <w:r w:rsidR="003D0BEF">
        <w:rPr>
          <w:sz w:val="22"/>
          <w:szCs w:val="22"/>
          <w:lang w:val="en-GB"/>
        </w:rPr>
        <w:fldChar w:fldCharType="begin"/>
      </w:r>
      <w:r w:rsidR="003D0BEF">
        <w:rPr>
          <w:sz w:val="22"/>
          <w:szCs w:val="22"/>
          <w:lang w:val="en-GB"/>
        </w:rPr>
        <w:instrText xml:space="preserve"> ADDIN ZOTERO_ITEM CSL_CITATION {"citationID":"MksOP2Xl","properties":{"formattedCitation":"(de Winter, 2025)","plainCitation":"(de Winter, 2025)","noteIndex":0},"citationItems":[{"id":11804,"uris":["http://zotero.org/users/2470179/items/I2QF8HXJ"],"itemData":{"id":11804,"type":"software","genre":"Jupyter Notebook","note":"original-date: 2025-02-07T13:15:01Z","source":"GitHub","title":"nielsjdewinter/SeasonalDA_script","URL":"https://github.com/nielsjdewinter/SeasonalDA_script","author":[{"family":"Winter","given":"Niels J.","non-dropping-particle":"de"}],"accessed":{"date-parts":[["2025",10,31]]},"issued":{"date-parts":[["2025",10,10]]}}}],"schema":"https://github.com/citation-style-language/schema/raw/master/csl-citation.json"} </w:instrText>
      </w:r>
      <w:r w:rsidR="003D0BEF">
        <w:rPr>
          <w:sz w:val="22"/>
          <w:szCs w:val="22"/>
          <w:lang w:val="en-GB"/>
        </w:rPr>
        <w:fldChar w:fldCharType="separate"/>
      </w:r>
      <w:r w:rsidR="003D0BEF" w:rsidRPr="003D0BEF">
        <w:rPr>
          <w:rFonts w:ascii="Aptos" w:hAnsi="Aptos"/>
          <w:sz w:val="22"/>
        </w:rPr>
        <w:t>(de Winter, 2025)</w:t>
      </w:r>
      <w:r w:rsidR="003D0BEF">
        <w:rPr>
          <w:sz w:val="22"/>
          <w:szCs w:val="22"/>
          <w:lang w:val="en-GB"/>
        </w:rPr>
        <w:fldChar w:fldCharType="end"/>
      </w:r>
      <w:r w:rsidR="003D0BEF">
        <w:rPr>
          <w:sz w:val="22"/>
          <w:szCs w:val="22"/>
          <w:lang w:val="en-GB"/>
        </w:rPr>
        <w:t xml:space="preserve">. A stable release of this data and code package will be released on the open source repository </w:t>
      </w:r>
      <w:proofErr w:type="spellStart"/>
      <w:r w:rsidR="003D0BEF">
        <w:rPr>
          <w:sz w:val="22"/>
          <w:szCs w:val="22"/>
          <w:lang w:val="en-GB"/>
        </w:rPr>
        <w:t>Zenodo</w:t>
      </w:r>
      <w:proofErr w:type="spellEnd"/>
      <w:r w:rsidR="003D0BEF">
        <w:rPr>
          <w:sz w:val="22"/>
          <w:szCs w:val="22"/>
          <w:lang w:val="en-GB"/>
        </w:rPr>
        <w:t xml:space="preserve"> prior to publication.</w:t>
      </w:r>
      <w:r w:rsidR="001966CD">
        <w:rPr>
          <w:sz w:val="22"/>
          <w:szCs w:val="22"/>
          <w:lang w:val="en-GB"/>
        </w:rPr>
        <w:t xml:space="preserve"> All data processing was done in the open-source text editor Microsoft Visual Studio Code</w:t>
      </w:r>
      <w:r w:rsidR="003A25DA">
        <w:rPr>
          <w:sz w:val="22"/>
          <w:szCs w:val="22"/>
          <w:lang w:val="en-GB"/>
        </w:rPr>
        <w:t xml:space="preserve"> (Microsoft, </w:t>
      </w:r>
      <w:r w:rsidR="003A25DA" w:rsidRPr="003A25DA">
        <w:rPr>
          <w:sz w:val="22"/>
          <w:szCs w:val="22"/>
          <w:lang w:val="en-GB"/>
        </w:rPr>
        <w:t>Redmond, Washington, U.S.</w:t>
      </w:r>
      <w:r w:rsidR="003A25DA">
        <w:rPr>
          <w:sz w:val="22"/>
          <w:szCs w:val="22"/>
          <w:lang w:val="en-GB"/>
        </w:rPr>
        <w:t>)</w:t>
      </w:r>
      <w:r w:rsidR="001966CD">
        <w:rPr>
          <w:sz w:val="22"/>
          <w:szCs w:val="22"/>
          <w:lang w:val="en-GB"/>
        </w:rPr>
        <w:t xml:space="preserve"> </w:t>
      </w:r>
      <w:r w:rsidR="003A25DA">
        <w:rPr>
          <w:sz w:val="22"/>
          <w:szCs w:val="22"/>
          <w:lang w:val="en-GB"/>
        </w:rPr>
        <w:t>interfaced</w:t>
      </w:r>
      <w:r w:rsidR="001966CD">
        <w:rPr>
          <w:sz w:val="22"/>
          <w:szCs w:val="22"/>
          <w:lang w:val="en-GB"/>
        </w:rPr>
        <w:t xml:space="preserve"> with </w:t>
      </w:r>
      <w:r w:rsidR="003A25DA">
        <w:rPr>
          <w:sz w:val="22"/>
          <w:szCs w:val="22"/>
          <w:lang w:val="en-GB"/>
        </w:rPr>
        <w:t xml:space="preserve">GitHub </w:t>
      </w:r>
      <w:r w:rsidR="001966CD">
        <w:rPr>
          <w:sz w:val="22"/>
          <w:szCs w:val="22"/>
          <w:lang w:val="en-GB"/>
        </w:rPr>
        <w:t>Co</w:t>
      </w:r>
      <w:r w:rsidR="003A25DA">
        <w:rPr>
          <w:sz w:val="22"/>
          <w:szCs w:val="22"/>
          <w:lang w:val="en-GB"/>
        </w:rPr>
        <w:t>p</w:t>
      </w:r>
      <w:r w:rsidR="001966CD">
        <w:rPr>
          <w:sz w:val="22"/>
          <w:szCs w:val="22"/>
          <w:lang w:val="en-GB"/>
        </w:rPr>
        <w:t xml:space="preserve">ilot </w:t>
      </w:r>
      <w:r w:rsidR="003A25DA">
        <w:rPr>
          <w:sz w:val="22"/>
          <w:szCs w:val="22"/>
          <w:lang w:val="en-GB"/>
        </w:rPr>
        <w:fldChar w:fldCharType="begin"/>
      </w:r>
      <w:r w:rsidR="003A25DA">
        <w:rPr>
          <w:sz w:val="22"/>
          <w:szCs w:val="22"/>
          <w:lang w:val="en-GB"/>
        </w:rPr>
        <w:instrText xml:space="preserve"> ADDIN ZOTERO_ITEM CSL_CITATION {"citationID":"igxUmSev","properties":{"formattedCitation":"(GitHub and OpenAI, 2025)","plainCitation":"(GitHub and OpenAI, 2025)","noteIndex":0},"citationItems":[{"id":11805,"uris":["http://zotero.org/users/2470179/items/S7DBP76D"],"itemData":{"id":11805,"type":"software","title":"GitHub Copilot","URL":"https://github.com/features/copilot/","version":"1.7","author":[{"family":"GitHub","given":""},{"family":"OpenAI","given":""}],"issued":{"date-parts":[["2025"]]}}}],"schema":"https://github.com/citation-style-language/schema/raw/master/csl-citation.json"} </w:instrText>
      </w:r>
      <w:r w:rsidR="003A25DA">
        <w:rPr>
          <w:sz w:val="22"/>
          <w:szCs w:val="22"/>
          <w:lang w:val="en-GB"/>
        </w:rPr>
        <w:fldChar w:fldCharType="separate"/>
      </w:r>
      <w:r w:rsidR="003A25DA" w:rsidRPr="003A25DA">
        <w:rPr>
          <w:rFonts w:ascii="Aptos" w:hAnsi="Aptos"/>
          <w:sz w:val="22"/>
        </w:rPr>
        <w:t>(GitHub and OpenAI, 2025)</w:t>
      </w:r>
      <w:r w:rsidR="003A25DA">
        <w:rPr>
          <w:sz w:val="22"/>
          <w:szCs w:val="22"/>
          <w:lang w:val="en-GB"/>
        </w:rPr>
        <w:fldChar w:fldCharType="end"/>
      </w:r>
      <w:r w:rsidR="003A25DA">
        <w:rPr>
          <w:sz w:val="22"/>
          <w:szCs w:val="22"/>
          <w:lang w:val="en-GB"/>
        </w:rPr>
        <w:t>.</w:t>
      </w:r>
    </w:p>
    <w:p w14:paraId="3ED21E17" w14:textId="278CCDF2" w:rsidR="00735D38" w:rsidRPr="00735D38" w:rsidRDefault="00735D38" w:rsidP="00953791">
      <w:pPr>
        <w:jc w:val="both"/>
        <w:rPr>
          <w:b/>
          <w:bCs/>
          <w:sz w:val="22"/>
          <w:szCs w:val="22"/>
          <w:lang w:val="en-US"/>
        </w:rPr>
      </w:pPr>
      <w:r>
        <w:rPr>
          <w:b/>
          <w:bCs/>
          <w:noProof/>
          <w:sz w:val="22"/>
          <w:szCs w:val="22"/>
          <w:lang w:val="en-US"/>
        </w:rPr>
        <w:lastRenderedPageBreak/>
        <w:drawing>
          <wp:inline distT="0" distB="0" distL="0" distR="0" wp14:anchorId="5FC595C7" wp14:editId="0636E839">
            <wp:extent cx="5074930" cy="7239015"/>
            <wp:effectExtent l="0" t="0" r="0" b="0"/>
            <wp:docPr id="1465227967" name="Picture 1" descr="A diagram of a scientific experi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27967" name="Picture 1" descr="A diagram of a scientific experimen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74930" cy="7239015"/>
                    </a:xfrm>
                    <a:prstGeom prst="rect">
                      <a:avLst/>
                    </a:prstGeom>
                  </pic:spPr>
                </pic:pic>
              </a:graphicData>
            </a:graphic>
          </wp:inline>
        </w:drawing>
      </w:r>
    </w:p>
    <w:p w14:paraId="4DD87B7D" w14:textId="187AEC90" w:rsidR="00825877" w:rsidRDefault="00A2177C" w:rsidP="00953791">
      <w:pPr>
        <w:jc w:val="both"/>
        <w:rPr>
          <w:sz w:val="22"/>
          <w:szCs w:val="22"/>
          <w:lang w:val="en-GB"/>
        </w:rPr>
      </w:pPr>
      <w:r>
        <w:rPr>
          <w:b/>
          <w:bCs/>
          <w:sz w:val="22"/>
          <w:szCs w:val="22"/>
          <w:lang w:val="en-GB"/>
        </w:rPr>
        <w:t>Figure 5</w:t>
      </w:r>
      <w:r w:rsidR="00825877">
        <w:rPr>
          <w:sz w:val="22"/>
          <w:szCs w:val="22"/>
          <w:lang w:val="en-GB"/>
        </w:rPr>
        <w:t>: Flow chart DA routine</w:t>
      </w:r>
    </w:p>
    <w:p w14:paraId="5272D140" w14:textId="1213488A" w:rsidR="00825877" w:rsidRDefault="00A43638" w:rsidP="00953791">
      <w:pPr>
        <w:jc w:val="both"/>
        <w:rPr>
          <w:sz w:val="22"/>
          <w:szCs w:val="22"/>
          <w:lang w:val="en-GB"/>
        </w:rPr>
      </w:pPr>
      <w:r>
        <w:rPr>
          <w:sz w:val="22"/>
          <w:szCs w:val="22"/>
          <w:lang w:val="en-GB"/>
        </w:rPr>
        <w:t>2.2.1 Data pre-processing</w:t>
      </w:r>
    </w:p>
    <w:p w14:paraId="12958DB3" w14:textId="518557E7" w:rsidR="000D1EFE" w:rsidRDefault="00A43638" w:rsidP="00953791">
      <w:pPr>
        <w:jc w:val="both"/>
        <w:rPr>
          <w:sz w:val="22"/>
          <w:szCs w:val="22"/>
          <w:lang w:val="en-GB"/>
        </w:rPr>
      </w:pPr>
      <w:r>
        <w:rPr>
          <w:sz w:val="22"/>
          <w:szCs w:val="22"/>
          <w:lang w:val="en-GB"/>
        </w:rPr>
        <w:t>Data from both model simulations and reconstructions are pre-processed to align them on the same time and parameter scale. The default form in which we ass</w:t>
      </w:r>
      <w:r w:rsidR="003E7FF0">
        <w:rPr>
          <w:sz w:val="22"/>
          <w:szCs w:val="22"/>
          <w:lang w:val="en-GB"/>
        </w:rPr>
        <w:t>imilated</w:t>
      </w:r>
      <w:r>
        <w:rPr>
          <w:sz w:val="22"/>
          <w:szCs w:val="22"/>
          <w:lang w:val="en-GB"/>
        </w:rPr>
        <w:t xml:space="preserve"> model outcomes with data is as means and variances of proxy values in monthly time bins.</w:t>
      </w:r>
    </w:p>
    <w:p w14:paraId="71E2ACF5" w14:textId="1F29B6E0" w:rsidR="0095306F" w:rsidRDefault="00A43638" w:rsidP="00953791">
      <w:pPr>
        <w:jc w:val="both"/>
        <w:rPr>
          <w:sz w:val="22"/>
          <w:szCs w:val="22"/>
          <w:lang w:val="en-GB"/>
        </w:rPr>
      </w:pPr>
      <w:r>
        <w:rPr>
          <w:sz w:val="22"/>
          <w:szCs w:val="22"/>
          <w:lang w:val="en-GB"/>
        </w:rPr>
        <w:lastRenderedPageBreak/>
        <w:t>On the model side, this means that model data from the area of interest has to first be extracted from model climate fields and then converted from climate parameter into proxy space.</w:t>
      </w:r>
      <w:r w:rsidR="000D1EFE">
        <w:rPr>
          <w:sz w:val="22"/>
          <w:szCs w:val="22"/>
          <w:lang w:val="en-GB"/>
        </w:rPr>
        <w:t xml:space="preserve"> </w:t>
      </w:r>
      <w:r>
        <w:rPr>
          <w:sz w:val="22"/>
          <w:szCs w:val="22"/>
          <w:lang w:val="en-GB"/>
        </w:rPr>
        <w:t>The former was done by extracting</w:t>
      </w:r>
      <w:r w:rsidR="000D1EFE">
        <w:rPr>
          <w:sz w:val="22"/>
          <w:szCs w:val="22"/>
          <w:lang w:val="en-GB"/>
        </w:rPr>
        <w:t xml:space="preserve"> and combining</w:t>
      </w:r>
      <w:r>
        <w:rPr>
          <w:sz w:val="22"/>
          <w:szCs w:val="22"/>
          <w:lang w:val="en-GB"/>
        </w:rPr>
        <w:t xml:space="preserve"> </w:t>
      </w:r>
      <w:r w:rsidR="000D1EFE">
        <w:rPr>
          <w:sz w:val="22"/>
          <w:szCs w:val="22"/>
          <w:lang w:val="en-GB"/>
        </w:rPr>
        <w:t>values for the four ass</w:t>
      </w:r>
      <w:r w:rsidR="003E7FF0">
        <w:rPr>
          <w:sz w:val="22"/>
          <w:szCs w:val="22"/>
          <w:lang w:val="en-GB"/>
        </w:rPr>
        <w:t>imilated</w:t>
      </w:r>
      <w:r w:rsidR="000D1EFE">
        <w:rPr>
          <w:sz w:val="22"/>
          <w:szCs w:val="22"/>
          <w:lang w:val="en-GB"/>
        </w:rPr>
        <w:t xml:space="preserve"> </w:t>
      </w:r>
      <w:r>
        <w:rPr>
          <w:sz w:val="22"/>
          <w:szCs w:val="22"/>
          <w:lang w:val="en-GB"/>
        </w:rPr>
        <w:t xml:space="preserve">climate </w:t>
      </w:r>
      <w:r w:rsidR="000D1EFE">
        <w:rPr>
          <w:sz w:val="22"/>
          <w:szCs w:val="22"/>
          <w:lang w:val="en-GB"/>
        </w:rPr>
        <w:t>variables (SST, SAT, SSS and precipitation) from each grid cell in the area of interest for each month, if applicable combining outcomes from multiple models. The variance amongst values for the same climate parameter in the same month was taken as a measure of the uncertainty on the model simulation outcome and, together with the covariance between months, propagated through the routine.</w:t>
      </w:r>
    </w:p>
    <w:p w14:paraId="6486E712" w14:textId="69BD1A4B" w:rsidR="00F764FB" w:rsidRDefault="000D1EFE" w:rsidP="00825877">
      <w:pPr>
        <w:jc w:val="both"/>
        <w:rPr>
          <w:sz w:val="22"/>
          <w:szCs w:val="22"/>
          <w:lang w:val="en-GB"/>
        </w:rPr>
      </w:pPr>
      <w:r>
        <w:rPr>
          <w:sz w:val="22"/>
          <w:szCs w:val="22"/>
          <w:lang w:val="en-GB"/>
        </w:rPr>
        <w:t xml:space="preserve">Outcomes were converted to the proxy domain using existing relationships between proxies and climate parameters. Clumped isotope values were </w:t>
      </w:r>
      <w:r w:rsidR="00261B2C">
        <w:rPr>
          <w:sz w:val="22"/>
          <w:szCs w:val="22"/>
          <w:lang w:val="en-GB"/>
        </w:rPr>
        <w:t>forward-modelled from model SST</w:t>
      </w:r>
      <w:r w:rsidR="00F764FB">
        <w:rPr>
          <w:sz w:val="22"/>
          <w:szCs w:val="22"/>
          <w:lang w:val="en-GB"/>
        </w:rPr>
        <w:t xml:space="preserve"> and SAT</w:t>
      </w:r>
      <w:r w:rsidR="00261B2C">
        <w:rPr>
          <w:sz w:val="22"/>
          <w:szCs w:val="22"/>
          <w:lang w:val="en-GB"/>
        </w:rPr>
        <w:t xml:space="preserve"> outcomes using the </w:t>
      </w:r>
      <w:proofErr w:type="spellStart"/>
      <w:r w:rsidR="00261B2C" w:rsidRPr="00261B2C">
        <w:rPr>
          <w:sz w:val="22"/>
          <w:szCs w:val="22"/>
          <w:lang w:val="en-GB"/>
        </w:rPr>
        <w:t>Omnivariant</w:t>
      </w:r>
      <w:proofErr w:type="spellEnd"/>
      <w:r w:rsidR="00261B2C" w:rsidRPr="00261B2C">
        <w:rPr>
          <w:sz w:val="22"/>
          <w:szCs w:val="22"/>
          <w:lang w:val="en-GB"/>
        </w:rPr>
        <w:t xml:space="preserve"> </w:t>
      </w:r>
      <w:r w:rsidR="00261B2C">
        <w:rPr>
          <w:sz w:val="22"/>
          <w:szCs w:val="22"/>
          <w:lang w:val="en-GB"/>
        </w:rPr>
        <w:t>G</w:t>
      </w:r>
      <w:r w:rsidR="00261B2C" w:rsidRPr="00261B2C">
        <w:rPr>
          <w:sz w:val="22"/>
          <w:szCs w:val="22"/>
          <w:lang w:val="en-GB"/>
        </w:rPr>
        <w:t xml:space="preserve">eneralized </w:t>
      </w:r>
      <w:r w:rsidR="00261B2C">
        <w:rPr>
          <w:sz w:val="22"/>
          <w:szCs w:val="22"/>
          <w:lang w:val="en-GB"/>
        </w:rPr>
        <w:t>L</w:t>
      </w:r>
      <w:r w:rsidR="00261B2C" w:rsidRPr="00261B2C">
        <w:rPr>
          <w:sz w:val="22"/>
          <w:szCs w:val="22"/>
          <w:lang w:val="en-GB"/>
        </w:rPr>
        <w:t xml:space="preserve">east </w:t>
      </w:r>
      <w:r w:rsidR="00261B2C">
        <w:rPr>
          <w:sz w:val="22"/>
          <w:szCs w:val="22"/>
          <w:lang w:val="en-GB"/>
        </w:rPr>
        <w:t>S</w:t>
      </w:r>
      <w:r w:rsidR="00261B2C" w:rsidRPr="00261B2C">
        <w:rPr>
          <w:sz w:val="22"/>
          <w:szCs w:val="22"/>
          <w:lang w:val="en-GB"/>
        </w:rPr>
        <w:t>quares regression</w:t>
      </w:r>
      <w:r w:rsidR="00261B2C">
        <w:rPr>
          <w:sz w:val="22"/>
          <w:szCs w:val="22"/>
          <w:lang w:val="en-GB"/>
        </w:rPr>
        <w:t xml:space="preserve"> by </w:t>
      </w:r>
      <w:r w:rsidR="00261B2C">
        <w:rPr>
          <w:sz w:val="22"/>
          <w:szCs w:val="22"/>
          <w:lang w:val="en-GB"/>
        </w:rPr>
        <w:fldChar w:fldCharType="begin"/>
      </w:r>
      <w:r w:rsidR="00261B2C">
        <w:rPr>
          <w:sz w:val="22"/>
          <w:szCs w:val="22"/>
          <w:lang w:val="en-GB"/>
        </w:rPr>
        <w:instrText xml:space="preserve"> ADDIN ZOTERO_ITEM CSL_CITATION {"citationID":"FAjCv8Ir","properties":{"formattedCitation":"(Da\\uc0\\u235{}ron and Vermeesch, 2023)","plainCitation":"(Daëron and Vermeesch, 2023)","noteIndex":0},"citationItems":[{"id":2693,"uris":["http://zotero.org/users/2470179/items/3XDLGVX9"],"itemData":{"id":2693,"type":"article-journal","abstract":"Least-squares regression methods are mathematically powerful, conceptually and computationally simple, and widely used in many fields. However, none of the commonly-used flavors of least-squares regression, such as York regression or Generalized Least Squares (GLS), take into account the full set of covariances between all observed (x, y) values. Here we describe the Omnivariant Generalized Least Squares (OGLS) method to fit a model of the form y</w:instrText>
      </w:r>
      <w:r w:rsidR="00261B2C">
        <w:rPr>
          <w:rFonts w:ascii="Arial" w:hAnsi="Arial" w:cs="Arial"/>
          <w:sz w:val="22"/>
          <w:szCs w:val="22"/>
          <w:lang w:val="en-GB"/>
        </w:rPr>
        <w:instrText> </w:instrText>
      </w:r>
      <w:r w:rsidR="00261B2C">
        <w:rPr>
          <w:sz w:val="22"/>
          <w:szCs w:val="22"/>
          <w:lang w:val="en-GB"/>
        </w:rPr>
        <w:instrText>=</w:instrText>
      </w:r>
      <w:r w:rsidR="00261B2C">
        <w:rPr>
          <w:rFonts w:ascii="Arial" w:hAnsi="Arial" w:cs="Arial"/>
          <w:sz w:val="22"/>
          <w:szCs w:val="22"/>
          <w:lang w:val="en-GB"/>
        </w:rPr>
        <w:instrText> </w:instrText>
      </w:r>
      <w:r w:rsidR="00261B2C">
        <w:rPr>
          <w:sz w:val="22"/>
          <w:szCs w:val="22"/>
          <w:lang w:val="en-GB"/>
        </w:rPr>
        <w:instrText xml:space="preserve">f(x), accounting for the full error correlation structure of the (x, y) data, based on a first-order linear propagation of the uncertainties in all variables into errors in y residuals, followed by minimizing the vector of y residuals with respect to the Mahalanobis norm defined by its covariance matrix. This approach may be described as a generalization of both York regression and GLS. It is mathematically exact for straight-line fits, and is also suitable for many non-linear models. Here we describe the principles of OGLS regression and discuss its properties, caveats, and practical use, and provide two consistent open-source implementations in Python and R. To illustrate how various fields of geochronology and stable-isotope geochemistry may benefit from this new method, we discuss how OGLS may specifically apply to 40Ar/39Ar dating and how it provides robust mathematical evidence that Δ47 carbonate calibrations in the recently defined I-CDES metrological scale are statistically indistinguishable, effectively solving long-standing methodological discrepancies.","container-title":"Chemical Geology","DOI":"10.1016/j.chemgeo.2023.121881","ISSN":"0009-2541","journalAbbreviation":"Chemical Geology","page":"121881","source":"ScienceDirect","title":"Omnivariant generalized least squares regression: Theory, geochronological applications, and making the case for reconciled Δ47 calibrations","title-short":"Omnivariant generalized least squares regression","author":[{"family":"Daëron","given":"M."},{"family":"Vermeesch","given":"P."}],"issued":{"date-parts":[["2023",12,18]]}}}],"schema":"https://github.com/citation-style-language/schema/raw/master/csl-citation.json"} </w:instrText>
      </w:r>
      <w:r w:rsidR="00261B2C">
        <w:rPr>
          <w:sz w:val="22"/>
          <w:szCs w:val="22"/>
          <w:lang w:val="en-GB"/>
        </w:rPr>
        <w:fldChar w:fldCharType="separate"/>
      </w:r>
      <w:r w:rsidR="00261B2C" w:rsidRPr="00261B2C">
        <w:rPr>
          <w:rFonts w:ascii="Aptos" w:hAnsi="Aptos" w:cs="Times New Roman"/>
          <w:kern w:val="0"/>
          <w:sz w:val="22"/>
        </w:rPr>
        <w:t>(Daëron and Vermeesch, 2023)</w:t>
      </w:r>
      <w:r w:rsidR="00261B2C">
        <w:rPr>
          <w:sz w:val="22"/>
          <w:szCs w:val="22"/>
          <w:lang w:val="en-GB"/>
        </w:rPr>
        <w:fldChar w:fldCharType="end"/>
      </w:r>
      <w:r w:rsidR="00261B2C">
        <w:rPr>
          <w:sz w:val="22"/>
          <w:szCs w:val="22"/>
          <w:lang w:val="en-GB"/>
        </w:rPr>
        <w:t xml:space="preserve"> with the </w:t>
      </w:r>
      <w:r w:rsidR="0095306F">
        <w:rPr>
          <w:sz w:val="22"/>
          <w:szCs w:val="22"/>
          <w:lang w:val="en-GB"/>
        </w:rPr>
        <w:t>associated “D47calib” package which allows us to propagate full uncertainties on and covariances between the input variables along with uncertainties on the clumped isotope calibration onto the end result. Carbonate stable oxygen isotope values were estimated from SST and SSS model outcomes by first estimating water oxygen isotopes (δ</w:t>
      </w:r>
      <w:r w:rsidR="0095306F">
        <w:rPr>
          <w:sz w:val="22"/>
          <w:szCs w:val="22"/>
          <w:vertAlign w:val="superscript"/>
          <w:lang w:val="en-GB"/>
        </w:rPr>
        <w:t>18</w:t>
      </w:r>
      <w:r w:rsidR="0095306F">
        <w:rPr>
          <w:sz w:val="22"/>
          <w:szCs w:val="22"/>
          <w:lang w:val="en-GB"/>
        </w:rPr>
        <w:t>O</w:t>
      </w:r>
      <w:r w:rsidR="0095306F">
        <w:rPr>
          <w:sz w:val="22"/>
          <w:szCs w:val="22"/>
          <w:vertAlign w:val="subscript"/>
          <w:lang w:val="en-GB"/>
        </w:rPr>
        <w:t>w</w:t>
      </w:r>
      <w:r w:rsidR="0095306F">
        <w:rPr>
          <w:sz w:val="22"/>
          <w:szCs w:val="22"/>
          <w:lang w:val="en-GB"/>
        </w:rPr>
        <w:t xml:space="preserve">) from SSS using a local </w:t>
      </w:r>
      <w:r w:rsidR="001966CD">
        <w:rPr>
          <w:sz w:val="22"/>
          <w:szCs w:val="22"/>
          <w:lang w:val="en-GB"/>
        </w:rPr>
        <w:t>δ</w:t>
      </w:r>
      <w:r w:rsidR="001966CD">
        <w:rPr>
          <w:sz w:val="22"/>
          <w:szCs w:val="22"/>
          <w:vertAlign w:val="superscript"/>
          <w:lang w:val="en-GB"/>
        </w:rPr>
        <w:t>18</w:t>
      </w:r>
      <w:r w:rsidR="001966CD">
        <w:rPr>
          <w:sz w:val="22"/>
          <w:szCs w:val="22"/>
          <w:lang w:val="en-GB"/>
        </w:rPr>
        <w:t>O</w:t>
      </w:r>
      <w:r w:rsidR="001966CD">
        <w:rPr>
          <w:sz w:val="22"/>
          <w:szCs w:val="22"/>
          <w:vertAlign w:val="subscript"/>
          <w:lang w:val="en-GB"/>
        </w:rPr>
        <w:t>w</w:t>
      </w:r>
      <w:r w:rsidR="0095306F">
        <w:rPr>
          <w:sz w:val="22"/>
          <w:szCs w:val="22"/>
          <w:lang w:val="en-GB"/>
        </w:rPr>
        <w:t xml:space="preserve">-salinity relationship. By default, we </w:t>
      </w:r>
      <w:r w:rsidR="001966CD">
        <w:rPr>
          <w:sz w:val="22"/>
          <w:szCs w:val="22"/>
          <w:lang w:val="en-GB"/>
        </w:rPr>
        <w:t>use the North Sea δ</w:t>
      </w:r>
      <w:r w:rsidR="001966CD">
        <w:rPr>
          <w:sz w:val="22"/>
          <w:szCs w:val="22"/>
          <w:vertAlign w:val="superscript"/>
          <w:lang w:val="en-GB"/>
        </w:rPr>
        <w:t>18</w:t>
      </w:r>
      <w:r w:rsidR="001966CD">
        <w:rPr>
          <w:sz w:val="22"/>
          <w:szCs w:val="22"/>
          <w:lang w:val="en-GB"/>
        </w:rPr>
        <w:t>O</w:t>
      </w:r>
      <w:r w:rsidR="001966CD">
        <w:rPr>
          <w:sz w:val="22"/>
          <w:szCs w:val="22"/>
          <w:vertAlign w:val="subscript"/>
          <w:lang w:val="en-GB"/>
        </w:rPr>
        <w:t>w</w:t>
      </w:r>
      <w:r w:rsidR="001966CD">
        <w:rPr>
          <w:sz w:val="22"/>
          <w:szCs w:val="22"/>
          <w:lang w:val="en-GB"/>
        </w:rPr>
        <w:t xml:space="preserve">-salinity relationship by </w:t>
      </w:r>
      <w:r w:rsidR="001966CD">
        <w:rPr>
          <w:sz w:val="22"/>
          <w:szCs w:val="22"/>
          <w:lang w:val="en-GB"/>
        </w:rPr>
        <w:fldChar w:fldCharType="begin"/>
      </w:r>
      <w:r w:rsidR="001966CD">
        <w:rPr>
          <w:sz w:val="22"/>
          <w:szCs w:val="22"/>
          <w:lang w:val="en-GB"/>
        </w:rPr>
        <w:instrText xml:space="preserve"> ADDIN ZOTERO_ITEM CSL_CITATION {"citationID":"lH9QAfXS","properties":{"formattedCitation":"(Harwood et al., 2008)","plainCitation":"(Harwood et al., 2008)","noteIndex":0},"citationItems":[{"id":1628,"uris":["http://zotero.org/users/2470179/items/7N6RNMEZ"],"itemData":{"id":1628,"type":"article-journal","abstract":"Based on measurements of the 18O isotope composition of 247 samples collected over a 3-year period we have assessed the oxygen isotope composition of water masses in the North Sea. This is the ﬁrst d18O data set that covers the entire North Sea basin. The waters lie on a mixing line: d18O (&amp;VSMOW) ¼ À9.300 þ 0.274(S ) with North Atlantic sub-polar mode water (SPMW) and surface waters, and Baltic Sea water representing the saline and freshwater end members respectively. Patterns exhibited in surface and bottom water d18O distributions are representative of the general circulation of the North Sea. Oxygen-18 enriched waters from the North Atlantic enter the North Sea between Scotland and Norway and to a lesser extent through the English Channel. In contrast, oxygen-18 depleted waters mainly inﬂow from the Baltic Sea, the rivers Rhine and Elbe, and to a lesser degree, the Norwegian Fjords and other river sources. Locally the d18Oesalinity relationship will be controlled by the isotopic composition of the freshwater inputs. However, the range of local freshwater compositions around the North Sea basin is too narrow to characterise the relative contributions of individual sources to the overall seawater composition. This dataset provides important information for a number of related disciplines including biogeochemical research and oceanographic studies.","container-title":"Estuarine, Coastal and Shelf Science","DOI":"10.1016/j.ecss.2007.12.010","ISSN":"02727714","issue":"2","journalAbbreviation":"Estuarine, Coastal and Shelf Science","language":"en","page":"353-359","source":"DOI.org (Crossref)","title":"The oxygen isotope composition of water masses within the North Sea","volume":"78","author":[{"family":"Harwood","given":"Andrew J.P."},{"family":"Dennis","given":"Paul F."},{"family":"Marca","given":"Alina D."},{"family":"Pilling","given":"Graham M."},{"family":"Millner","given":"Richard S."}],"issued":{"date-parts":[["2008",6]]}}}],"schema":"https://github.com/citation-style-language/schema/raw/master/csl-citation.json"} </w:instrText>
      </w:r>
      <w:r w:rsidR="001966CD">
        <w:rPr>
          <w:sz w:val="22"/>
          <w:szCs w:val="22"/>
          <w:lang w:val="en-GB"/>
        </w:rPr>
        <w:fldChar w:fldCharType="separate"/>
      </w:r>
      <w:r w:rsidR="001966CD" w:rsidRPr="001966CD">
        <w:rPr>
          <w:rFonts w:ascii="Aptos" w:hAnsi="Aptos"/>
          <w:sz w:val="22"/>
        </w:rPr>
        <w:t>(Harwood et al., 2008)</w:t>
      </w:r>
      <w:r w:rsidR="001966CD">
        <w:rPr>
          <w:sz w:val="22"/>
          <w:szCs w:val="22"/>
          <w:lang w:val="en-GB"/>
        </w:rPr>
        <w:fldChar w:fldCharType="end"/>
      </w:r>
      <w:r w:rsidR="001966CD">
        <w:rPr>
          <w:sz w:val="22"/>
          <w:szCs w:val="22"/>
          <w:lang w:val="en-GB"/>
        </w:rPr>
        <w:t xml:space="preserve"> for this conversion, but we tested the impact of using different δ</w:t>
      </w:r>
      <w:r w:rsidR="001966CD">
        <w:rPr>
          <w:sz w:val="22"/>
          <w:szCs w:val="22"/>
          <w:vertAlign w:val="superscript"/>
          <w:lang w:val="en-GB"/>
        </w:rPr>
        <w:t>18</w:t>
      </w:r>
      <w:r w:rsidR="001966CD">
        <w:rPr>
          <w:sz w:val="22"/>
          <w:szCs w:val="22"/>
          <w:lang w:val="en-GB"/>
        </w:rPr>
        <w:t>O</w:t>
      </w:r>
      <w:r w:rsidR="001966CD">
        <w:rPr>
          <w:sz w:val="22"/>
          <w:szCs w:val="22"/>
          <w:vertAlign w:val="subscript"/>
          <w:lang w:val="en-GB"/>
        </w:rPr>
        <w:t>w</w:t>
      </w:r>
      <w:r w:rsidR="001966CD">
        <w:rPr>
          <w:sz w:val="22"/>
          <w:szCs w:val="22"/>
          <w:lang w:val="en-GB"/>
        </w:rPr>
        <w:t>-salinity relationships on the data assimilation outcome. As a second step, δ</w:t>
      </w:r>
      <w:r w:rsidR="001966CD">
        <w:rPr>
          <w:sz w:val="22"/>
          <w:szCs w:val="22"/>
          <w:vertAlign w:val="superscript"/>
          <w:lang w:val="en-GB"/>
        </w:rPr>
        <w:t>18</w:t>
      </w:r>
      <w:r w:rsidR="001966CD">
        <w:rPr>
          <w:sz w:val="22"/>
          <w:szCs w:val="22"/>
          <w:lang w:val="en-GB"/>
        </w:rPr>
        <w:t>O</w:t>
      </w:r>
      <w:r w:rsidR="001966CD">
        <w:rPr>
          <w:sz w:val="22"/>
          <w:szCs w:val="22"/>
          <w:vertAlign w:val="subscript"/>
          <w:lang w:val="en-GB"/>
        </w:rPr>
        <w:t>c</w:t>
      </w:r>
      <w:r w:rsidR="001966CD">
        <w:rPr>
          <w:sz w:val="22"/>
          <w:szCs w:val="22"/>
          <w:lang w:val="en-GB"/>
        </w:rPr>
        <w:t xml:space="preserve"> values were estimated from δ</w:t>
      </w:r>
      <w:r w:rsidR="001966CD">
        <w:rPr>
          <w:sz w:val="22"/>
          <w:szCs w:val="22"/>
          <w:vertAlign w:val="superscript"/>
          <w:lang w:val="en-GB"/>
        </w:rPr>
        <w:t>18</w:t>
      </w:r>
      <w:r w:rsidR="001966CD">
        <w:rPr>
          <w:sz w:val="22"/>
          <w:szCs w:val="22"/>
          <w:lang w:val="en-GB"/>
        </w:rPr>
        <w:t>O</w:t>
      </w:r>
      <w:r w:rsidR="001966CD">
        <w:rPr>
          <w:sz w:val="22"/>
          <w:szCs w:val="22"/>
          <w:vertAlign w:val="subscript"/>
          <w:lang w:val="en-GB"/>
        </w:rPr>
        <w:t>w</w:t>
      </w:r>
      <w:r w:rsidR="001966CD">
        <w:rPr>
          <w:sz w:val="22"/>
          <w:szCs w:val="22"/>
          <w:lang w:val="en-GB"/>
        </w:rPr>
        <w:t xml:space="preserve"> and SST using the δ</w:t>
      </w:r>
      <w:r w:rsidR="001966CD">
        <w:rPr>
          <w:sz w:val="22"/>
          <w:szCs w:val="22"/>
          <w:vertAlign w:val="superscript"/>
          <w:lang w:val="en-GB"/>
        </w:rPr>
        <w:t>18</w:t>
      </w:r>
      <w:r w:rsidR="001966CD">
        <w:rPr>
          <w:sz w:val="22"/>
          <w:szCs w:val="22"/>
          <w:lang w:val="en-GB"/>
        </w:rPr>
        <w:t>O</w:t>
      </w:r>
      <w:r w:rsidR="001966CD">
        <w:rPr>
          <w:sz w:val="22"/>
          <w:szCs w:val="22"/>
          <w:vertAlign w:val="subscript"/>
          <w:lang w:val="en-GB"/>
        </w:rPr>
        <w:t>w</w:t>
      </w:r>
      <w:r w:rsidR="001966CD">
        <w:rPr>
          <w:sz w:val="22"/>
          <w:szCs w:val="22"/>
          <w:lang w:val="en-GB"/>
        </w:rPr>
        <w:t>-δ</w:t>
      </w:r>
      <w:r w:rsidR="001966CD">
        <w:rPr>
          <w:sz w:val="22"/>
          <w:szCs w:val="22"/>
          <w:vertAlign w:val="superscript"/>
          <w:lang w:val="en-GB"/>
        </w:rPr>
        <w:t>18</w:t>
      </w:r>
      <w:r w:rsidR="001966CD">
        <w:rPr>
          <w:sz w:val="22"/>
          <w:szCs w:val="22"/>
          <w:lang w:val="en-GB"/>
        </w:rPr>
        <w:t>O</w:t>
      </w:r>
      <w:r w:rsidR="001966CD">
        <w:rPr>
          <w:sz w:val="22"/>
          <w:szCs w:val="22"/>
          <w:vertAlign w:val="subscript"/>
          <w:lang w:val="en-GB"/>
        </w:rPr>
        <w:t>c</w:t>
      </w:r>
      <w:r w:rsidR="001966CD">
        <w:rPr>
          <w:sz w:val="22"/>
          <w:szCs w:val="22"/>
          <w:lang w:val="en-GB"/>
        </w:rPr>
        <w:t xml:space="preserve">-temperature relationship for aragonitic biominerals by </w:t>
      </w:r>
      <w:r w:rsidR="001966CD">
        <w:rPr>
          <w:sz w:val="22"/>
          <w:szCs w:val="22"/>
          <w:lang w:val="en-GB"/>
        </w:rPr>
        <w:fldChar w:fldCharType="begin"/>
      </w:r>
      <w:r w:rsidR="001966CD">
        <w:rPr>
          <w:sz w:val="22"/>
          <w:szCs w:val="22"/>
          <w:lang w:val="en-GB"/>
        </w:rPr>
        <w:instrText xml:space="preserve"> ADDIN ZOTERO_ITEM CSL_CITATION {"citationID":"sJhhD1NN","properties":{"formattedCitation":"(Grossman and Ku, 1986)","plainCitation":"(Grossman and Ku, 1986)","noteIndex":0},"citationItems":[{"id":267,"uris":["http://zotero.org/users/2470179/items/H8UCKH5N"],"itemData":{"id":267,"type":"article-journal","container-title":"Chemical Geology: Isotope Geoscience section","page":"59–74","source":"Google Scholar","title":"Oxygen and carbon isotope fractionation in biogenic aragonite: temperature effects","title-short":"Oxygen and carbon isotope fractionation in biogenic aragonite","volume":"59","author":[{"family":"Grossman","given":"Ethan L."},{"family":"Ku","given":"Teh-Lung"}],"issued":{"date-parts":[["1986"]]}}}],"schema":"https://github.com/citation-style-language/schema/raw/master/csl-citation.json"} </w:instrText>
      </w:r>
      <w:r w:rsidR="001966CD">
        <w:rPr>
          <w:sz w:val="22"/>
          <w:szCs w:val="22"/>
          <w:lang w:val="en-GB"/>
        </w:rPr>
        <w:fldChar w:fldCharType="separate"/>
      </w:r>
      <w:r w:rsidR="001966CD" w:rsidRPr="001966CD">
        <w:rPr>
          <w:rFonts w:ascii="Aptos" w:hAnsi="Aptos"/>
          <w:sz w:val="22"/>
        </w:rPr>
        <w:t>(Grossman and Ku, 1986)</w:t>
      </w:r>
      <w:r w:rsidR="001966CD">
        <w:rPr>
          <w:sz w:val="22"/>
          <w:szCs w:val="22"/>
          <w:lang w:val="en-GB"/>
        </w:rPr>
        <w:fldChar w:fldCharType="end"/>
      </w:r>
      <w:r w:rsidR="001966CD">
        <w:rPr>
          <w:sz w:val="22"/>
          <w:szCs w:val="22"/>
          <w:lang w:val="en-GB"/>
        </w:rPr>
        <w:t xml:space="preserve"> modified to project δ</w:t>
      </w:r>
      <w:r w:rsidR="001966CD">
        <w:rPr>
          <w:sz w:val="22"/>
          <w:szCs w:val="22"/>
          <w:vertAlign w:val="superscript"/>
          <w:lang w:val="en-GB"/>
        </w:rPr>
        <w:t>18</w:t>
      </w:r>
      <w:r w:rsidR="001966CD">
        <w:rPr>
          <w:sz w:val="22"/>
          <w:szCs w:val="22"/>
          <w:lang w:val="en-GB"/>
        </w:rPr>
        <w:t>O</w:t>
      </w:r>
      <w:r w:rsidR="001966CD" w:rsidRPr="001966CD">
        <w:rPr>
          <w:sz w:val="22"/>
          <w:szCs w:val="22"/>
          <w:lang w:val="en-GB"/>
        </w:rPr>
        <w:t xml:space="preserve"> data</w:t>
      </w:r>
      <w:r w:rsidR="001966CD">
        <w:rPr>
          <w:sz w:val="22"/>
          <w:szCs w:val="22"/>
          <w:lang w:val="en-GB"/>
        </w:rPr>
        <w:t xml:space="preserve"> on the VPDB-VSMOW scale by subtracting -0.27‰ </w:t>
      </w:r>
      <w:r w:rsidR="001966CD">
        <w:rPr>
          <w:sz w:val="22"/>
          <w:szCs w:val="22"/>
          <w:lang w:val="en-GB"/>
        </w:rPr>
        <w:fldChar w:fldCharType="begin"/>
      </w:r>
      <w:r w:rsidR="001966CD">
        <w:rPr>
          <w:sz w:val="22"/>
          <w:szCs w:val="22"/>
          <w:lang w:val="en-GB"/>
        </w:rPr>
        <w:instrText xml:space="preserve"> ADDIN ZOTERO_ITEM CSL_CITATION {"citationID":"jExO2LU9","properties":{"formattedCitation":"(Dettman et al., 1999; Gonfiantini et al., 1995)","plainCitation":"(Dettman et al., 1999; Gonfiantini et al., 1995)","noteIndex":0},"citationItems":[{"id":8132,"uris":["http://zotero.org/users/2470179/items/6KLIY3BF"],"itemData":{"id":8132,"type":"article-journal","abstract":"Water temperature, oxygen isotope composition and the δ13C of dissolved inorganic carbon were measured in 2 southern Michigan rivers, the Huron River and Fleming Creek, between late September 1990 and June 1992. The final full year of shell growth in 3 unionids collected in 1992 from these rivers was sampled for stable isotope analysis with a resolution of 30 μm. The δ18O of both shell nacre and the prismatic layer is accurately predicted by a fractionation relationship developed for biogenic aragonite. High resolution sampling of 3 species and bulk sampling of 3 other species suggest that all unionids adhere to this oxygen isotope fractionation relationship. This relationship is used to show that shell growth ceases below approximately 12°C. In these 2 settings the average δ18O value of shell (PDB scale) is within 0.5‰ of the average δ18O of river water (SMOW scale). Unionids can therefore be used in oxygen-isotope-based paleoclimatic and paleohydrologic reconstructions. In contrast, the carbon isotope ratio of shell is not accurately predicted by published fractionation factors between D.I.C. and carbonate. Shell δ13C is more negative than predicted values and the offset is highly variable suggesting a significant and variable incorporation of metabolic carbon into the shell carbonate.","container-title":"Geochimica et Cosmochimica Acta","DOI":"10.1016/S0016-7037(99)00020-4","ISSN":"0016-7037","issue":"7","journalAbbreviation":"Geochimica et Cosmochimica Acta","page":"1049-1057","source":"ScienceDirect","title":"Controls on the stable isotope composition of seasonal growth bands in aragonitic fresh-water bivalves (unionidae)","volume":"63","author":[{"family":"Dettman","given":"David L."},{"family":"Reische","given":"Aimee K."},{"family":"Lohmann","given":"Kyger C."}],"issued":{"date-parts":[["1999",4,1]]}}},{"id":8006,"uris":["http://zotero.org/users/2470179/items/9LJ9SPBL"],"itemData":{"id":8006,"type":"article-journal","abstract":"The Agency`s current programme for the preparation and distribution of standards and intercomparison materials for the calibration of the measurements of stable isotope natural variations is reviewed. The need to carry out determinations of the absolute isotopic ratios in standards is discussed. This would facilitate the long-term quality control of existing standards as well as the establishment of new standards when the present ones are exhausted. (author). 37 refs, 2 figs, 3 tabs.","language":"English","source":"www.osti.gov","title":"Standards and intercomparison materials distributed by the International Atomic Energy Agency for stable isotope measurements","URL":"https://www.osti.gov/etdeweb/biblio/193918","author":[{"family":"Gonfiantini","given":"R."},{"family":"Stichler","given":"W."},{"family":"Rozanski","given":"K."}],"accessed":{"date-parts":[["2025",3,10]]},"issued":{"date-parts":[["1995",9,1]]}}}],"schema":"https://github.com/citation-style-language/schema/raw/master/csl-citation.json"} </w:instrText>
      </w:r>
      <w:r w:rsidR="001966CD">
        <w:rPr>
          <w:sz w:val="22"/>
          <w:szCs w:val="22"/>
          <w:lang w:val="en-GB"/>
        </w:rPr>
        <w:fldChar w:fldCharType="separate"/>
      </w:r>
      <w:r w:rsidR="001966CD" w:rsidRPr="001966CD">
        <w:rPr>
          <w:rFonts w:ascii="Aptos" w:hAnsi="Aptos"/>
          <w:sz w:val="22"/>
        </w:rPr>
        <w:t>(Dettman et al., 1999; Gonfiantini et al., 1995)</w:t>
      </w:r>
      <w:r w:rsidR="001966CD">
        <w:rPr>
          <w:sz w:val="22"/>
          <w:szCs w:val="22"/>
          <w:lang w:val="en-GB"/>
        </w:rPr>
        <w:fldChar w:fldCharType="end"/>
      </w:r>
      <w:r w:rsidR="001966CD">
        <w:rPr>
          <w:sz w:val="22"/>
          <w:szCs w:val="22"/>
          <w:lang w:val="en-GB"/>
        </w:rPr>
        <w:t>.</w:t>
      </w:r>
    </w:p>
    <w:p w14:paraId="2E4391DF" w14:textId="502CF1F3" w:rsidR="00825877" w:rsidRDefault="00F764FB" w:rsidP="00825877">
      <w:pPr>
        <w:jc w:val="both"/>
        <w:rPr>
          <w:sz w:val="22"/>
          <w:szCs w:val="22"/>
          <w:lang w:val="en-US"/>
        </w:rPr>
      </w:pPr>
      <w:r>
        <w:rPr>
          <w:sz w:val="22"/>
          <w:szCs w:val="22"/>
          <w:lang w:val="en-GB"/>
        </w:rPr>
        <w:t>After these conversions, the model outcomes were combined into</w:t>
      </w:r>
      <w:r w:rsidR="00E17C34">
        <w:rPr>
          <w:sz w:val="22"/>
          <w:szCs w:val="22"/>
          <w:lang w:val="en-GB"/>
        </w:rPr>
        <w:t>: 1) A</w:t>
      </w:r>
      <w:r>
        <w:rPr>
          <w:sz w:val="22"/>
          <w:szCs w:val="22"/>
          <w:lang w:val="en-GB"/>
        </w:rPr>
        <w:t xml:space="preserve"> state vector</w:t>
      </w:r>
      <w:r w:rsidR="00706A20">
        <w:rPr>
          <w:sz w:val="22"/>
          <w:szCs w:val="22"/>
          <w:lang w:val="en-GB"/>
        </w:rPr>
        <w:t xml:space="preserve"> (</w:t>
      </w:r>
      <w:proofErr w:type="spellStart"/>
      <w:r w:rsidR="00706A20" w:rsidRPr="00706A20">
        <w:rPr>
          <w:b/>
          <w:bCs/>
          <w:sz w:val="22"/>
          <w:szCs w:val="22"/>
          <w:lang w:val="en-GB"/>
        </w:rPr>
        <w:t>M</w:t>
      </w:r>
      <w:r w:rsidR="00706A20" w:rsidRPr="00706A20">
        <w:rPr>
          <w:b/>
          <w:bCs/>
          <w:sz w:val="22"/>
          <w:szCs w:val="22"/>
          <w:vertAlign w:val="subscript"/>
          <w:lang w:val="en-GB"/>
        </w:rPr>
        <w:t>prior</w:t>
      </w:r>
      <w:proofErr w:type="spellEnd"/>
      <w:r w:rsidR="00706A20">
        <w:rPr>
          <w:sz w:val="22"/>
          <w:szCs w:val="22"/>
          <w:lang w:val="en-GB"/>
        </w:rPr>
        <w:t>)</w:t>
      </w:r>
      <w:r>
        <w:rPr>
          <w:sz w:val="22"/>
          <w:szCs w:val="22"/>
          <w:lang w:val="en-GB"/>
        </w:rPr>
        <w:t xml:space="preserve"> listing monthly mean values </w:t>
      </w:r>
      <w:r w:rsidR="00E17C34">
        <w:rPr>
          <w:sz w:val="22"/>
          <w:szCs w:val="22"/>
          <w:lang w:val="en-GB"/>
        </w:rPr>
        <w:t>for SST-derived Δ</w:t>
      </w:r>
      <w:r w:rsidR="00E17C34" w:rsidRPr="00E17C34">
        <w:rPr>
          <w:sz w:val="22"/>
          <w:szCs w:val="22"/>
          <w:vertAlign w:val="subscript"/>
          <w:lang w:val="en-GB"/>
        </w:rPr>
        <w:t>47</w:t>
      </w:r>
      <w:r w:rsidR="00E17C34">
        <w:rPr>
          <w:sz w:val="22"/>
          <w:szCs w:val="22"/>
          <w:lang w:val="en-GB"/>
        </w:rPr>
        <w:t>, SAT-derived Δ</w:t>
      </w:r>
      <w:r w:rsidR="00E17C34" w:rsidRPr="00E17C34">
        <w:rPr>
          <w:sz w:val="22"/>
          <w:szCs w:val="22"/>
          <w:vertAlign w:val="subscript"/>
          <w:lang w:val="en-GB"/>
        </w:rPr>
        <w:t>47</w:t>
      </w:r>
      <w:r w:rsidR="00E17C34">
        <w:rPr>
          <w:sz w:val="22"/>
          <w:szCs w:val="22"/>
          <w:lang w:val="en-GB"/>
        </w:rPr>
        <w:t>, SSS- and SST-derived δ</w:t>
      </w:r>
      <w:r w:rsidR="00E17C34">
        <w:rPr>
          <w:sz w:val="22"/>
          <w:szCs w:val="22"/>
          <w:vertAlign w:val="superscript"/>
          <w:lang w:val="en-GB"/>
        </w:rPr>
        <w:t>18</w:t>
      </w:r>
      <w:r w:rsidR="00E17C34">
        <w:rPr>
          <w:sz w:val="22"/>
          <w:szCs w:val="22"/>
          <w:lang w:val="en-GB"/>
        </w:rPr>
        <w:t>O</w:t>
      </w:r>
      <w:r w:rsidR="00E17C34">
        <w:rPr>
          <w:sz w:val="22"/>
          <w:szCs w:val="22"/>
          <w:vertAlign w:val="subscript"/>
          <w:lang w:val="en-US"/>
        </w:rPr>
        <w:t>c</w:t>
      </w:r>
      <w:r w:rsidR="00E17C34">
        <w:rPr>
          <w:sz w:val="22"/>
          <w:szCs w:val="22"/>
          <w:lang w:val="en-US"/>
        </w:rPr>
        <w:t xml:space="preserve"> and precipitation</w:t>
      </w:r>
      <w:r w:rsidR="007D7503">
        <w:rPr>
          <w:sz w:val="22"/>
          <w:szCs w:val="22"/>
          <w:lang w:val="en-US"/>
        </w:rPr>
        <w:t xml:space="preserve"> (length: 4 * 12 = 48 values)</w:t>
      </w:r>
      <w:r w:rsidR="00E17C34">
        <w:rPr>
          <w:sz w:val="22"/>
          <w:szCs w:val="22"/>
          <w:lang w:val="en-US"/>
        </w:rPr>
        <w:t xml:space="preserve"> and 2) a covariance matrix</w:t>
      </w:r>
      <w:r w:rsidR="00706A20">
        <w:rPr>
          <w:sz w:val="22"/>
          <w:szCs w:val="22"/>
          <w:lang w:val="en-US"/>
        </w:rPr>
        <w:t xml:space="preserve"> (</w:t>
      </w:r>
      <w:proofErr w:type="spellStart"/>
      <w:r w:rsidR="00706A20" w:rsidRPr="00706A20">
        <w:rPr>
          <w:b/>
          <w:bCs/>
          <w:sz w:val="22"/>
          <w:szCs w:val="22"/>
          <w:lang w:val="en-US"/>
        </w:rPr>
        <w:t>COV</w:t>
      </w:r>
      <w:r w:rsidR="00706A20" w:rsidRPr="00706A20">
        <w:rPr>
          <w:b/>
          <w:bCs/>
          <w:sz w:val="22"/>
          <w:szCs w:val="22"/>
          <w:vertAlign w:val="subscript"/>
          <w:lang w:val="en-US"/>
        </w:rPr>
        <w:t>prior</w:t>
      </w:r>
      <w:proofErr w:type="spellEnd"/>
      <w:r w:rsidR="00706A20">
        <w:rPr>
          <w:sz w:val="22"/>
          <w:szCs w:val="22"/>
          <w:lang w:val="en-US"/>
        </w:rPr>
        <w:t>)</w:t>
      </w:r>
      <w:r w:rsidR="00E17C34">
        <w:rPr>
          <w:sz w:val="22"/>
          <w:szCs w:val="22"/>
          <w:lang w:val="en-US"/>
        </w:rPr>
        <w:t xml:space="preserve"> listing variances (on the diagonal) and covariances between all monthly model outcomes of these transformed parameters</w:t>
      </w:r>
      <w:r w:rsidR="007D7503">
        <w:rPr>
          <w:sz w:val="22"/>
          <w:szCs w:val="22"/>
          <w:lang w:val="en-US"/>
        </w:rPr>
        <w:t xml:space="preserve"> (dimensions: 48 * 48 values)</w:t>
      </w:r>
      <w:r w:rsidR="00E17C34">
        <w:rPr>
          <w:sz w:val="22"/>
          <w:szCs w:val="22"/>
          <w:lang w:val="en-US"/>
        </w:rPr>
        <w:t>.</w:t>
      </w:r>
    </w:p>
    <w:p w14:paraId="4D132D5F" w14:textId="63A2278D" w:rsidR="00E17C34" w:rsidRDefault="00E17C34" w:rsidP="00825877">
      <w:pPr>
        <w:jc w:val="both"/>
        <w:rPr>
          <w:sz w:val="22"/>
          <w:szCs w:val="22"/>
          <w:lang w:val="en-GB"/>
        </w:rPr>
      </w:pPr>
      <w:r>
        <w:rPr>
          <w:sz w:val="22"/>
          <w:szCs w:val="22"/>
          <w:lang w:val="en-US"/>
        </w:rPr>
        <w:t xml:space="preserve">The reconstruction </w:t>
      </w:r>
      <w:r w:rsidRPr="00256EAA">
        <w:rPr>
          <w:sz w:val="22"/>
          <w:szCs w:val="22"/>
          <w:lang w:val="en-GB"/>
        </w:rPr>
        <w:t>Δ</w:t>
      </w:r>
      <w:r w:rsidRPr="00256EAA">
        <w:rPr>
          <w:sz w:val="22"/>
          <w:szCs w:val="22"/>
          <w:vertAlign w:val="subscript"/>
          <w:lang w:val="en-GB"/>
        </w:rPr>
        <w:t>47</w:t>
      </w:r>
      <w:r w:rsidRPr="00256EAA">
        <w:rPr>
          <w:sz w:val="22"/>
          <w:szCs w:val="22"/>
          <w:lang w:val="en-GB"/>
        </w:rPr>
        <w:t xml:space="preserve"> and δ</w:t>
      </w:r>
      <w:r w:rsidRPr="00256EAA">
        <w:rPr>
          <w:sz w:val="22"/>
          <w:szCs w:val="22"/>
          <w:vertAlign w:val="superscript"/>
          <w:lang w:val="en-GB"/>
        </w:rPr>
        <w:t>18</w:t>
      </w:r>
      <w:r w:rsidRPr="00256EAA">
        <w:rPr>
          <w:sz w:val="22"/>
          <w:szCs w:val="22"/>
          <w:lang w:val="en-GB"/>
        </w:rPr>
        <w:t>O</w:t>
      </w:r>
      <w:r>
        <w:rPr>
          <w:sz w:val="22"/>
          <w:szCs w:val="22"/>
          <w:vertAlign w:val="subscript"/>
          <w:lang w:val="en-GB"/>
        </w:rPr>
        <w:t>c</w:t>
      </w:r>
      <w:r w:rsidRPr="00256EAA">
        <w:rPr>
          <w:sz w:val="22"/>
          <w:szCs w:val="22"/>
          <w:lang w:val="en-GB"/>
        </w:rPr>
        <w:t xml:space="preserve"> </w:t>
      </w:r>
      <w:r>
        <w:rPr>
          <w:sz w:val="22"/>
          <w:szCs w:val="22"/>
          <w:lang w:val="en-US"/>
        </w:rPr>
        <w:t xml:space="preserve">data was left in its original unit, but needed to be aggregated into monthly time bins for assimilation. This was done using the original internal age models of the datasets used as likelihood data </w:t>
      </w:r>
      <w:r>
        <w:rPr>
          <w:sz w:val="22"/>
          <w:szCs w:val="22"/>
          <w:lang w:val="en-US"/>
        </w:rPr>
        <w:fldChar w:fldCharType="begin"/>
      </w:r>
      <w:r>
        <w:rPr>
          <w:sz w:val="22"/>
          <w:szCs w:val="22"/>
          <w:lang w:val="en-US"/>
        </w:rPr>
        <w:instrText xml:space="preserve"> ADDIN ZOTERO_ITEM CSL_CITATION {"citationID":"M6wItmCL","properties":{"formattedCitation":"(Caldarescu et al., 2021; Van Horebeek et al., 2025; de Winter et al., 2021, 2024)","plainCitation":"(Caldarescu et al., 2021; Van Horebeek et al., 2025; de Winter et al., 2021, 2024)","noteIndex":0},"citationItems":[{"id":2059,"uris":["http://zotero.org/users/2470179/items/6WKC9THA"],"itemData":{"id":2059,"type":"article-journal","abstract":"Carbonate clumped isotope thermometry is a powerful tool for reconstructing paleotemperature and paleosalinity. Despite its broad application in biotic and abiotic materials, its use in paleoclimate studies has been limited due to the large amount of material and high precision required for each temperature estimate. In addition, it is still uncertain to what extent the clumped isotope signal is modified during calcification in various organisms. Using an analytical approach that minimizes sample size, we analysed clumped isotopes (Δ47) in two bivalve shells from the upwelling-dominated Gulf of Panama to reconstruct seasonal temperature and salinity variations. Using the high-resolution profiles in δ18Oshell, we grouped Δ47 measurements into several intervals to obtain robust average temperature estimates. The reconstructed temperatures agree with available observational data at the 95% confidence level, reflecting seasonal temperature changes of at least </w:instrText>
      </w:r>
      <w:r>
        <w:rPr>
          <w:rFonts w:ascii="Cambria Math" w:hAnsi="Cambria Math" w:cs="Cambria Math"/>
          <w:sz w:val="22"/>
          <w:szCs w:val="22"/>
          <w:lang w:val="en-US"/>
        </w:rPr>
        <w:instrText>∼</w:instrText>
      </w:r>
      <w:r>
        <w:rPr>
          <w:sz w:val="22"/>
          <w:szCs w:val="22"/>
          <w:lang w:val="en-US"/>
        </w:rPr>
        <w:instrText>6</w:instrText>
      </w:r>
      <w:r>
        <w:rPr>
          <w:rFonts w:ascii="Arial" w:hAnsi="Arial" w:cs="Arial"/>
          <w:sz w:val="22"/>
          <w:szCs w:val="22"/>
          <w:lang w:val="en-US"/>
        </w:rPr>
        <w:instrText> </w:instrText>
      </w:r>
      <w:r>
        <w:rPr>
          <w:rFonts w:ascii="Aptos" w:hAnsi="Aptos" w:cs="Aptos"/>
          <w:sz w:val="22"/>
          <w:szCs w:val="22"/>
          <w:lang w:val="en-US"/>
        </w:rPr>
        <w:instrText>°</w:instrText>
      </w:r>
      <w:r>
        <w:rPr>
          <w:sz w:val="22"/>
          <w:szCs w:val="22"/>
          <w:lang w:val="en-US"/>
        </w:rPr>
        <w:instrText xml:space="preserve">C. By combining bivalve </w:instrText>
      </w:r>
      <w:r>
        <w:rPr>
          <w:rFonts w:ascii="Aptos" w:hAnsi="Aptos" w:cs="Aptos"/>
          <w:sz w:val="22"/>
          <w:szCs w:val="22"/>
          <w:lang w:val="en-US"/>
        </w:rPr>
        <w:instrText>δ</w:instrText>
      </w:r>
      <w:r>
        <w:rPr>
          <w:sz w:val="22"/>
          <w:szCs w:val="22"/>
          <w:lang w:val="en-US"/>
        </w:rPr>
        <w:instrText xml:space="preserve">18Oshell and </w:instrText>
      </w:r>
      <w:r>
        <w:rPr>
          <w:rFonts w:ascii="Aptos" w:hAnsi="Aptos" w:cs="Aptos"/>
          <w:sz w:val="22"/>
          <w:szCs w:val="22"/>
          <w:lang w:val="en-US"/>
        </w:rPr>
        <w:instrText>Δ</w:instrText>
      </w:r>
      <w:r>
        <w:rPr>
          <w:sz w:val="22"/>
          <w:szCs w:val="22"/>
          <w:lang w:val="en-US"/>
        </w:rPr>
        <w:instrText xml:space="preserve">47-based temperatures, we obtain realistic estimates of seasonal </w:instrText>
      </w:r>
      <w:r>
        <w:rPr>
          <w:rFonts w:ascii="Aptos" w:hAnsi="Aptos" w:cs="Aptos"/>
          <w:sz w:val="22"/>
          <w:szCs w:val="22"/>
          <w:lang w:val="en-US"/>
        </w:rPr>
        <w:instrText>δ</w:instrText>
      </w:r>
      <w:r>
        <w:rPr>
          <w:sz w:val="22"/>
          <w:szCs w:val="22"/>
          <w:lang w:val="en-US"/>
        </w:rPr>
        <w:instrText>18Oseawater and salinity changes. Our results suggest that clumped isotopes in bivalve shells can be used for seasonal temperature reconstructions and for disentangling the temperature and δ18Oseawater signals in δ18Oshell variations.","container-title":"Geochimica et Cosmochimica Acta","DOI":"10.1016/j.gca.2020.11.019","ISSN":"0016-7037","journalAbbreviation":"Geochimica et Cosmochimica Acta","language":"en","page":"174-191","source":"ScienceDirect","title":"Clumped isotope thermometry in bivalve shells: A tool for reconstructing seasonal upwelling","title-short":"Clumped isotope thermometry in bivalve shells","volume":"294","author":[{"family":"Caldarescu","given":"Diana E."},{"family":"Sadatzki","given":"Henrik"},{"family":"Andersson","given":"Carin"},{"family":"Schäfer","given":"Priska"},{"family":"Fortunato","given":"Helena"},{"family":"Meckler","given":"A. Nele"}],"issued":{"date-parts":[["2021",2,1]]}}},{"id":11799,"uris":["http://zotero.org/users/2470179/items/4PVD3W5W"],"itemData":{"id":11799,"type":"article-journal","abstract":"The middle Eocene warmhouse period (45 million years ago) featured atmospheric carbon dioxide concentrations equivalent to those projected under high future emission scenarios. Seasonal- to weather timescale climate reconstructions from this period can provide critical insight into the impact of Anthropogenic warming on intra-annual variability in temperature and precipitation. Here, we combine daily-scale reconstructions of the evolution of temperature and the water cycle in western Europe based on stable oxygen and clumped isotope analyses on the fastest-growing gastropod known in the fossil record: Campanile giganteum. Our dataset shows that the middle Eocene of western Europe featured monsoon-like conditions, with seawater temperatures of ~24</w:instrText>
      </w:r>
      <w:r>
        <w:rPr>
          <w:rFonts w:ascii="Arial" w:hAnsi="Arial" w:cs="Arial"/>
          <w:sz w:val="22"/>
          <w:szCs w:val="22"/>
          <w:lang w:val="en-US"/>
        </w:rPr>
        <w:instrText> </w:instrText>
      </w:r>
      <w:r>
        <w:rPr>
          <w:rFonts w:ascii="Aptos" w:hAnsi="Aptos" w:cs="Aptos"/>
          <w:sz w:val="22"/>
          <w:szCs w:val="22"/>
          <w:lang w:val="en-US"/>
        </w:rPr>
        <w:instrText>°</w:instrText>
      </w:r>
      <w:r>
        <w:rPr>
          <w:sz w:val="22"/>
          <w:szCs w:val="22"/>
          <w:lang w:val="en-US"/>
        </w:rPr>
        <w:instrText>C during mild and wet winters, &gt;30</w:instrText>
      </w:r>
      <w:r>
        <w:rPr>
          <w:rFonts w:ascii="Arial" w:hAnsi="Arial" w:cs="Arial"/>
          <w:sz w:val="22"/>
          <w:szCs w:val="22"/>
          <w:lang w:val="en-US"/>
        </w:rPr>
        <w:instrText> </w:instrText>
      </w:r>
      <w:r>
        <w:rPr>
          <w:rFonts w:ascii="Aptos" w:hAnsi="Aptos" w:cs="Aptos"/>
          <w:sz w:val="22"/>
          <w:szCs w:val="22"/>
          <w:lang w:val="en-US"/>
        </w:rPr>
        <w:instrText>°</w:instrText>
      </w:r>
      <w:r>
        <w:rPr>
          <w:sz w:val="22"/>
          <w:szCs w:val="22"/>
          <w:lang w:val="en-US"/>
        </w:rPr>
        <w:instrText>C during hot and dry spring and autumn seasons, and ~28</w:instrText>
      </w:r>
      <w:r>
        <w:rPr>
          <w:rFonts w:ascii="Arial" w:hAnsi="Arial" w:cs="Arial"/>
          <w:sz w:val="22"/>
          <w:szCs w:val="22"/>
          <w:lang w:val="en-US"/>
        </w:rPr>
        <w:instrText> </w:instrText>
      </w:r>
      <w:r>
        <w:rPr>
          <w:rFonts w:ascii="Aptos" w:hAnsi="Aptos" w:cs="Aptos"/>
          <w:sz w:val="22"/>
          <w:szCs w:val="22"/>
          <w:lang w:val="en-US"/>
        </w:rPr>
        <w:instrText>°</w:instrText>
      </w:r>
      <w:r>
        <w:rPr>
          <w:sz w:val="22"/>
          <w:szCs w:val="22"/>
          <w:lang w:val="en-US"/>
        </w:rPr>
        <w:instrText>C during warm and comparatively wet summers. Coupled climate model simulations using the Community Earth System Model indicate these seasonal variations in temperature and precipitation were driven by shifting atmospheric and oceanic circulation regimes over Western Europe, with winds from different directions bringing distinct waters to the region and minimal wind during spring reducing cooling through diminished latent heat flux. Our results highlight that Europe may experience wetter summers with more frequent extreme rainfall events under future high emissions scenarios.","container-title":"Nature Communications","DOI":"10.1038/s41467-025-64241-0","ISSN":"2041-1723","issue":"1","journalAbbreviation":"Nat Commun","language":"en","license":"2025 The Author(s)","note":"publisher: Nature Publishing Group","page":"9207","source":"www-nature-com.vu-nl.idm.oclc.org","title":"A European monsoon-like climate in a warmhouse world","volume":"16","author":[{"family":"Van Horebeek","given":"Nick"},{"family":"Winter","given":"Niels J.","non-dropping-particle":"de"},{"family":"Baatsen","given":"Michiel"},{"family":"Ziegler","given":"Martin"},{"family":"Speijer","given":"Robert P."},{"family":"Vellekoop","given":"Johan"}],"issued":{"date-parts":[["2025",10,28]]}}},{"id":2680,"uris":["http://zotero.org/users/2470179/items/HR649PES"],"itemData":{"id":2680,"type":"article-journal","abstract":"Seasonal variability in sea surface temperatures plays a fundamental role in climate dynamics and species distribution. Seasonal bias can also severely compromise the accuracy of mean annual temperature reconstructions. It is therefore essential to better understand seasonal variability in climates of the past. Many reconstructions of climate in deep time neglect this issue and rely on controversial assumptions, such as estimates of sea water oxygen isotope composition. Here we present absolute seasonal temperature reconstructions based on clumped isotope measurements in bivalve shells which, critically, do not rely on these assumptions. We reconstruct highly precise monthly sea surface temperatures at around 50 °N latitude from individual oyster and rudist shells of the Campanian greenhouse period about 78 million years ago, when the seasonal range at 50 °N comprised 15 to 27</w:instrText>
      </w:r>
      <w:r>
        <w:rPr>
          <w:rFonts w:ascii="Arial" w:hAnsi="Arial" w:cs="Arial"/>
          <w:sz w:val="22"/>
          <w:szCs w:val="22"/>
          <w:lang w:val="en-US"/>
        </w:rPr>
        <w:instrText> </w:instrText>
      </w:r>
      <w:r>
        <w:rPr>
          <w:rFonts w:ascii="Aptos" w:hAnsi="Aptos" w:cs="Aptos"/>
          <w:sz w:val="22"/>
          <w:szCs w:val="22"/>
          <w:lang w:val="en-US"/>
        </w:rPr>
        <w:instrText>°</w:instrText>
      </w:r>
      <w:r>
        <w:rPr>
          <w:sz w:val="22"/>
          <w:szCs w:val="22"/>
          <w:lang w:val="en-US"/>
        </w:rPr>
        <w:instrText>C. In agreement with fully coupled climate model simulations, we find that greenhouse climates outside the tropics were warmer and more seasonal than previously thought. We conclude that seasonal bias and assumptions about seawater composition can distort temperature reconstructions and our understanding of past greenhouse climates.","container-title":"Communications Earth &amp; Environment","DOI":"10.1038/s43247-021-00193-9","ISSN":"2662-4435","issue":"1","journalAbbreviation":"Commun Earth Environ","language":"en","license":"2021 The Author(s)","note":"number: 1\npublisher: Nature Publishing Group","page":"1-8","source":"www.nature.com","title":"Absolute seasonal temperature estimates from clumped isotopes in bivalve shells suggest warm and variable greenhouse climate","volume":"2","author":[{"family":"Winter","given":"Niels J.","non-dropping-particle":"de"},{"family":"Müller","given":"Inigo A."},{"family":"Kocken","given":"Ilja J."},{"family":"Thibault","given":"Nicolas"},{"family":"Ullmann","given":"Clemens V."},{"family":"Farnsworth","given":"Alex"},{"family":"Lunt","given":"Daniel J."},{"family":"Claeys","given":"Philippe"},{"family":"Ziegler","given":"Martin"}],"issued":{"date-parts":[["2021",6,10]]}}},{"id":2782,"uris":["http://zotero.org/users/2470179/items/DDJJAF7R"],"itemData":{"id":2782,"type":"article-journal","abstract":"Documenting the seasonal temperature cycle constitutes an essential step toward mitigating risks associated with extreme weather events in a future warmer world. The mid-Piacenzian Warm Period (mPWP), 3.3 to 3.0 million years ago, featured global temperatures approximately 3°C above preindustrial levels. It represents an ideal period for directed paleoclimate reconstructions equivalent to model projections for 2100 under moderate Shared Socioeconomic Pathway SSP2-4.5. Here, seasonal clumped isotope analyses of fossil mollusk shells from the North Sea are presented to test Pliocene Model Intercomparison Pro</w:instrText>
      </w:r>
      <w:r w:rsidRPr="001B6F7E">
        <w:rPr>
          <w:sz w:val="22"/>
          <w:szCs w:val="22"/>
          <w:lang w:val="nl-NL"/>
        </w:rPr>
        <w:instrText>ject 2 outcomes. Joint data and model evidence reveals enhanced summe</w:instrText>
      </w:r>
      <w:r w:rsidRPr="00E17C34">
        <w:rPr>
          <w:sz w:val="22"/>
          <w:szCs w:val="22"/>
          <w:lang w:val="nl-NL"/>
        </w:rPr>
        <w:instrText xml:space="preserve">r warming (+4.3° ± 1.0°C) compared to winter (+2.5° ± 1.5°C) during the mPWP, equivalent to SSP2-4.5 outcomes for future climate. We show that Arctic amplification of global warming weakens mid-latitude summer circulation while intensifying seasonal contrast in temperature and precipitation, leading to an increased risk of summer heat waves and other extreme weather events in Europe’s future.","container-title":"Science Advances","DOI":"10.1126/sciadv.adl6717","issue":"20","note":"publisher: American Association for the Advancement of Science","page":"eadl6717","source":"science.org (Atypon)","title":"Amplified seasonality in western Europe in a warmer world","volume":"10","author":[{"family":"Winter","given":"Niels J.","non-dropping-particle":"de"},{"family":"Tindall","given":"Julia"},{"family":"Johnson","given":"Andrew L. A."},{"family":"Goudsmit-Harzevoort","given":"Barbara"},{"family":"Wichern","given":"Nina"},{"family":"Kaskes","given":"Pim"},{"family":"Claeys","given":"Philippe"},{"family":"Huygen","given":"Fynn"},{"family":"Leeuwen","given":"Sonja","non-dropping-particle":"van"},{"family":"Metcalfe","given":"Brett"},{"family":"Bakker","given":"Pepijn"},{"family":"Goolaerts","given":"Stijn"},{"family":"Wesselingh","given":"Frank"},{"family":"Ziegler","given":"Martin"}],"issued":{"date-parts":[["2024",5,15]]}}}],"schema":"https://github.com/citation-style-language/schema/raw/master/csl-citation.json"} </w:instrText>
      </w:r>
      <w:r>
        <w:rPr>
          <w:sz w:val="22"/>
          <w:szCs w:val="22"/>
          <w:lang w:val="en-US"/>
        </w:rPr>
        <w:fldChar w:fldCharType="separate"/>
      </w:r>
      <w:r w:rsidRPr="00E17C34">
        <w:rPr>
          <w:rFonts w:ascii="Aptos" w:hAnsi="Aptos"/>
          <w:sz w:val="22"/>
        </w:rPr>
        <w:t>(Caldarescu et al., 2021; Van Horebeek et al., 2025; de Winter et al., 2021, 2024)</w:t>
      </w:r>
      <w:r>
        <w:rPr>
          <w:sz w:val="22"/>
          <w:szCs w:val="22"/>
          <w:lang w:val="en-US"/>
        </w:rPr>
        <w:fldChar w:fldCharType="end"/>
      </w:r>
      <w:r w:rsidRPr="00E17C34">
        <w:rPr>
          <w:sz w:val="22"/>
          <w:szCs w:val="22"/>
          <w:lang w:val="nl-NL"/>
        </w:rPr>
        <w:t xml:space="preserve">. </w:t>
      </w:r>
      <w:r w:rsidRPr="00E17C34">
        <w:rPr>
          <w:sz w:val="22"/>
          <w:szCs w:val="22"/>
          <w:lang w:val="en-GB"/>
        </w:rPr>
        <w:t xml:space="preserve">Alignment of transient </w:t>
      </w:r>
      <w:r w:rsidRPr="00256EAA">
        <w:rPr>
          <w:sz w:val="22"/>
          <w:szCs w:val="22"/>
          <w:lang w:val="en-GB"/>
        </w:rPr>
        <w:t>Δ</w:t>
      </w:r>
      <w:r w:rsidRPr="00256EAA">
        <w:rPr>
          <w:sz w:val="22"/>
          <w:szCs w:val="22"/>
          <w:vertAlign w:val="subscript"/>
          <w:lang w:val="en-GB"/>
        </w:rPr>
        <w:t>47</w:t>
      </w:r>
      <w:r w:rsidRPr="00256EAA">
        <w:rPr>
          <w:sz w:val="22"/>
          <w:szCs w:val="22"/>
          <w:lang w:val="en-GB"/>
        </w:rPr>
        <w:t xml:space="preserve"> and δ</w:t>
      </w:r>
      <w:r w:rsidRPr="00256EAA">
        <w:rPr>
          <w:sz w:val="22"/>
          <w:szCs w:val="22"/>
          <w:vertAlign w:val="superscript"/>
          <w:lang w:val="en-GB"/>
        </w:rPr>
        <w:t>18</w:t>
      </w:r>
      <w:r w:rsidRPr="00256EAA">
        <w:rPr>
          <w:sz w:val="22"/>
          <w:szCs w:val="22"/>
          <w:lang w:val="en-GB"/>
        </w:rPr>
        <w:t>O</w:t>
      </w:r>
      <w:r>
        <w:rPr>
          <w:sz w:val="22"/>
          <w:szCs w:val="22"/>
          <w:vertAlign w:val="subscript"/>
          <w:lang w:val="en-GB"/>
        </w:rPr>
        <w:t>c</w:t>
      </w:r>
      <w:r>
        <w:rPr>
          <w:sz w:val="22"/>
          <w:szCs w:val="22"/>
          <w:lang w:val="en-GB"/>
        </w:rPr>
        <w:t xml:space="preserve"> data into monthly bins was </w:t>
      </w:r>
      <w:r w:rsidR="00706A20">
        <w:rPr>
          <w:sz w:val="22"/>
          <w:szCs w:val="22"/>
          <w:lang w:val="en-GB"/>
        </w:rPr>
        <w:t>followed</w:t>
      </w:r>
      <w:r>
        <w:rPr>
          <w:sz w:val="22"/>
          <w:szCs w:val="22"/>
          <w:lang w:val="en-GB"/>
        </w:rPr>
        <w:t xml:space="preserve"> monthly </w:t>
      </w:r>
      <w:r>
        <w:rPr>
          <w:sz w:val="22"/>
          <w:szCs w:val="22"/>
          <w:lang w:val="en-GB"/>
        </w:rPr>
        <w:fldChar w:fldCharType="begin"/>
      </w:r>
      <w:r>
        <w:rPr>
          <w:sz w:val="22"/>
          <w:szCs w:val="22"/>
          <w:lang w:val="en-GB"/>
        </w:rPr>
        <w:instrText xml:space="preserve"> ADDIN ZOTERO_ITEM CSL_CITATION {"citationID":"XpcrUGIN","properties":{"formattedCitation":"(Van Horebeek et al., 2025; de Winter et al., 2021)","plainCitation":"(Van Horebeek et al., 2025; de Winter et al., 2021)","noteIndex":0},"citationItems":[{"id":11799,"uris":["http://zotero.org/users/2470179/items/4PVD3W5W"],"itemData":{"id":11799,"type":"article-journal","abstract":"The middle Eocene warmhouse period (45 million years ago) featured atmospheric carbon dioxide concentrations equivalent to those projected under high future emission scenarios. Seasonal- to weather timescale climate reconstructions from this period can provide critical insight into the impact of Anthropogenic warming on intra-annual variability in temperature and precipitation. Here, we combine daily-scale reconstructions of the evolution of temperature and the water cycle in western Europe based on stable oxygen and clumped isotope analyses on the fastest-growing gastropod known in the fossil record: Campanile giganteum. Our dataset shows that the middle Eocene of western Europe featured monsoon-like conditions, with seawater temperatures of ~24</w:instrText>
      </w:r>
      <w:r>
        <w:rPr>
          <w:rFonts w:ascii="Arial" w:hAnsi="Arial" w:cs="Arial"/>
          <w:sz w:val="22"/>
          <w:szCs w:val="22"/>
          <w:lang w:val="en-GB"/>
        </w:rPr>
        <w:instrText> </w:instrText>
      </w:r>
      <w:r>
        <w:rPr>
          <w:rFonts w:ascii="Aptos" w:hAnsi="Aptos" w:cs="Aptos"/>
          <w:sz w:val="22"/>
          <w:szCs w:val="22"/>
          <w:lang w:val="en-GB"/>
        </w:rPr>
        <w:instrText>°</w:instrText>
      </w:r>
      <w:r>
        <w:rPr>
          <w:sz w:val="22"/>
          <w:szCs w:val="22"/>
          <w:lang w:val="en-GB"/>
        </w:rPr>
        <w:instrText>C during mild and wet winters, &gt;30</w:instrText>
      </w:r>
      <w:r>
        <w:rPr>
          <w:rFonts w:ascii="Arial" w:hAnsi="Arial" w:cs="Arial"/>
          <w:sz w:val="22"/>
          <w:szCs w:val="22"/>
          <w:lang w:val="en-GB"/>
        </w:rPr>
        <w:instrText> </w:instrText>
      </w:r>
      <w:r>
        <w:rPr>
          <w:rFonts w:ascii="Aptos" w:hAnsi="Aptos" w:cs="Aptos"/>
          <w:sz w:val="22"/>
          <w:szCs w:val="22"/>
          <w:lang w:val="en-GB"/>
        </w:rPr>
        <w:instrText>°</w:instrText>
      </w:r>
      <w:r>
        <w:rPr>
          <w:sz w:val="22"/>
          <w:szCs w:val="22"/>
          <w:lang w:val="en-GB"/>
        </w:rPr>
        <w:instrText>C during hot and dry spring and autumn seasons, and ~28</w:instrText>
      </w:r>
      <w:r>
        <w:rPr>
          <w:rFonts w:ascii="Arial" w:hAnsi="Arial" w:cs="Arial"/>
          <w:sz w:val="22"/>
          <w:szCs w:val="22"/>
          <w:lang w:val="en-GB"/>
        </w:rPr>
        <w:instrText> </w:instrText>
      </w:r>
      <w:r>
        <w:rPr>
          <w:rFonts w:ascii="Aptos" w:hAnsi="Aptos" w:cs="Aptos"/>
          <w:sz w:val="22"/>
          <w:szCs w:val="22"/>
          <w:lang w:val="en-GB"/>
        </w:rPr>
        <w:instrText>°</w:instrText>
      </w:r>
      <w:r>
        <w:rPr>
          <w:sz w:val="22"/>
          <w:szCs w:val="22"/>
          <w:lang w:val="en-GB"/>
        </w:rPr>
        <w:instrText xml:space="preserve">C during warm and comparatively wet summers. Coupled climate model simulations using the Community Earth System Model indicate these seasonal variations in temperature and precipitation were driven by shifting atmospheric and oceanic circulation regimes over Western Europe, with winds from different directions bringing distinct waters to the region and minimal wind during spring reducing cooling through diminished latent heat flux. Our results highlight that Europe may experience wetter summers with more frequent extreme rainfall events under future high emissions scenarios.","container-title":"Nature Communications","DOI":"10.1038/s41467-025-64241-0","ISSN":"2041-1723","issue":"1","journalAbbreviation":"Nat Commun","language":"en","license":"2025 The Author(s)","note":"publisher: Nature Publishing Group","page":"9207","source":"www-nature-com.vu-nl.idm.oclc.org","title":"A European monsoon-like climate in a warmhouse world","volume":"16","author":[{"family":"Van Horebeek","given":"Nick"},{"family":"Winter","given":"Niels J.","non-dropping-particle":"de"},{"family":"Baatsen","given":"Michiel"},{"family":"Ziegler","given":"Martin"},{"family":"Speijer","given":"Robert P."},{"family":"Vellekoop","given":"Johan"}],"issued":{"date-parts":[["2025",10,28]]}}},{"id":2680,"uris":["http://zotero.org/users/2470179/items/HR649PES"],"itemData":{"id":2680,"type":"article-journal","abstract":"Seasonal variability in sea surface temperatures plays a fundamental role in climate dynamics and species distribution. Seasonal bias can also severely compromise the accuracy of mean annual temperature reconstructions. It is therefore essential to better understand seasonal variability in climates of the past. Many reconstructions of climate in deep time neglect this issue and rely on controversial assumptions, such as estimates of sea water oxygen isotope composition. Here we present absolute seasonal temperature reconstructions based on clumped isotope measurements in bivalve shells which, critically, do not rely on these assumptions. We reconstruct highly precise monthly sea surface temperatures </w:instrText>
      </w:r>
      <w:r w:rsidRPr="00706A20">
        <w:rPr>
          <w:sz w:val="22"/>
          <w:szCs w:val="22"/>
          <w:lang w:val="nl-NL"/>
        </w:rPr>
        <w:instrText>at around 50 °N latitude from individual oys</w:instrText>
      </w:r>
      <w:r w:rsidRPr="00E17C34">
        <w:rPr>
          <w:sz w:val="22"/>
          <w:szCs w:val="22"/>
          <w:lang w:val="nl-NL"/>
        </w:rPr>
        <w:instrText>ter and rudist shells of the Campanian greenhouse period about 78 million years ago, when the seasonal range at 50 °N comprised 15 to 27</w:instrText>
      </w:r>
      <w:r w:rsidRPr="00E17C34">
        <w:rPr>
          <w:rFonts w:ascii="Arial" w:hAnsi="Arial" w:cs="Arial"/>
          <w:sz w:val="22"/>
          <w:szCs w:val="22"/>
          <w:lang w:val="nl-NL"/>
        </w:rPr>
        <w:instrText> </w:instrText>
      </w:r>
      <w:r w:rsidRPr="00E17C34">
        <w:rPr>
          <w:rFonts w:ascii="Aptos" w:hAnsi="Aptos" w:cs="Aptos"/>
          <w:sz w:val="22"/>
          <w:szCs w:val="22"/>
          <w:lang w:val="nl-NL"/>
        </w:rPr>
        <w:instrText>°</w:instrText>
      </w:r>
      <w:r w:rsidRPr="00E17C34">
        <w:rPr>
          <w:sz w:val="22"/>
          <w:szCs w:val="22"/>
          <w:lang w:val="nl-NL"/>
        </w:rPr>
        <w:instrText xml:space="preserve">C. In agreement with fully coupled climate model simulations, we find that greenhouse climates outside the tropics were warmer and more seasonal than previously thought. We conclude that seasonal bias and assumptions about seawater composition can distort temperature reconstructions and our understanding of past greenhouse climates.","container-title":"Communications Earth &amp; Environment","DOI":"10.1038/s43247-021-00193-9","ISSN":"2662-4435","issue":"1","journalAbbreviation":"Commun Earth Environ","language":"en","license":"2021 The Author(s)","note":"number: 1\npublisher: Nature Publishing Group","page":"1-8","source":"www.nature.com","title":"Absolute seasonal temperature estimates from clumped isotopes in bivalve shells suggest warm and variable greenhouse climate","volume":"2","author":[{"family":"Winter","given":"Niels J.","non-dropping-particle":"de"},{"family":"Müller","given":"Inigo A."},{"family":"Kocken","given":"Ilja J."},{"family":"Thibault","given":"Nicolas"},{"family":"Ullmann","given":"Clemens V."},{"family":"Farnsworth","given":"Alex"},{"family":"Lunt","given":"Daniel J."},{"family":"Claeys","given":"Philippe"},{"family":"Ziegler","given":"Martin"}],"issued":{"date-parts":[["2021",6,10]]}}}],"schema":"https://github.com/citation-style-language/schema/raw/master/csl-citation.json"} </w:instrText>
      </w:r>
      <w:r>
        <w:rPr>
          <w:sz w:val="22"/>
          <w:szCs w:val="22"/>
          <w:lang w:val="en-GB"/>
        </w:rPr>
        <w:fldChar w:fldCharType="separate"/>
      </w:r>
      <w:r w:rsidRPr="00E17C34">
        <w:rPr>
          <w:rFonts w:ascii="Aptos" w:hAnsi="Aptos"/>
          <w:sz w:val="22"/>
        </w:rPr>
        <w:t>(Van Horebeek et al., 2025; de Winter et al., 2021)</w:t>
      </w:r>
      <w:r>
        <w:rPr>
          <w:sz w:val="22"/>
          <w:szCs w:val="22"/>
          <w:lang w:val="en-GB"/>
        </w:rPr>
        <w:fldChar w:fldCharType="end"/>
      </w:r>
      <w:r w:rsidRPr="00E17C34">
        <w:rPr>
          <w:sz w:val="22"/>
          <w:szCs w:val="22"/>
          <w:lang w:val="nl-NL"/>
        </w:rPr>
        <w:t xml:space="preserve"> or </w:t>
      </w:r>
      <w:proofErr w:type="spellStart"/>
      <w:r w:rsidRPr="00E17C34">
        <w:rPr>
          <w:sz w:val="22"/>
          <w:szCs w:val="22"/>
          <w:lang w:val="nl-NL"/>
        </w:rPr>
        <w:t>seasonal</w:t>
      </w:r>
      <w:proofErr w:type="spellEnd"/>
      <w:r w:rsidRPr="00E17C34">
        <w:rPr>
          <w:sz w:val="22"/>
          <w:szCs w:val="22"/>
          <w:lang w:val="nl-NL"/>
        </w:rPr>
        <w:t xml:space="preserve"> </w:t>
      </w:r>
      <w:r>
        <w:rPr>
          <w:sz w:val="22"/>
          <w:szCs w:val="22"/>
          <w:lang w:val="en-GB"/>
        </w:rPr>
        <w:fldChar w:fldCharType="begin"/>
      </w:r>
      <w:r w:rsidR="00706A20">
        <w:rPr>
          <w:sz w:val="22"/>
          <w:szCs w:val="22"/>
          <w:lang w:val="nl-NL"/>
        </w:rPr>
        <w:instrText xml:space="preserve"> ADDIN ZOTERO_ITEM CSL_CITATION {"citationID":"GbFoKMki","properties":{"formattedCitation":"(Caldarescu et al., 2021; de Winter et al., 2024)","plainCitation":"(Caldarescu et al., 2021; de Winter et al., 2024)","noteIndex":0},"citationItems":[{"id":2059,"uris":["http://zotero.org/users/2470179/items/6WKC9THA"],"itemData":{"id":2059,"type":"article-journal","abstract":"Carbonate clumped isotope thermometry is a powerful tool for reconstructing paleotemperature and paleosalinity. Despite its broad application in biotic and abiotic materials, its use in paleoclimate studies has been limited due to the large amount of material and high precision required for each temperature estimate. In addition, it is still uncertain to what extent the clumped isotope signal is modified during calcification in various organisms. Using an analytical approach that minimizes sample size, we analysed clumped isotopes (Δ47) in two bivalve shells from the upwelling-dominated Gulf of Panama to reconstruct seasonal temperature and salinity variations. Using the high-resolution profiles in δ18Oshell, we grouped Δ47 measurements into several intervals to obtain robust average temperature estimates. The reconstructed temperatures agree with available observational data at the 95% confidence level, reflecting seasonal temperature changes of at least </w:instrText>
      </w:r>
      <w:r w:rsidR="00706A20">
        <w:rPr>
          <w:rFonts w:ascii="Cambria Math" w:hAnsi="Cambria Math" w:cs="Cambria Math"/>
          <w:sz w:val="22"/>
          <w:szCs w:val="22"/>
          <w:lang w:val="nl-NL"/>
        </w:rPr>
        <w:instrText>∼</w:instrText>
      </w:r>
      <w:r w:rsidR="00706A20">
        <w:rPr>
          <w:sz w:val="22"/>
          <w:szCs w:val="22"/>
          <w:lang w:val="nl-NL"/>
        </w:rPr>
        <w:instrText>6</w:instrText>
      </w:r>
      <w:r w:rsidR="00706A20">
        <w:rPr>
          <w:rFonts w:ascii="Arial" w:hAnsi="Arial" w:cs="Arial"/>
          <w:sz w:val="22"/>
          <w:szCs w:val="22"/>
          <w:lang w:val="nl-NL"/>
        </w:rPr>
        <w:instrText> </w:instrText>
      </w:r>
      <w:r w:rsidR="00706A20">
        <w:rPr>
          <w:rFonts w:ascii="Aptos" w:hAnsi="Aptos" w:cs="Aptos"/>
          <w:sz w:val="22"/>
          <w:szCs w:val="22"/>
          <w:lang w:val="nl-NL"/>
        </w:rPr>
        <w:instrText>°</w:instrText>
      </w:r>
      <w:r w:rsidR="00706A20">
        <w:rPr>
          <w:sz w:val="22"/>
          <w:szCs w:val="22"/>
          <w:lang w:val="nl-NL"/>
        </w:rPr>
        <w:instrText xml:space="preserve">C. By combining bivalve </w:instrText>
      </w:r>
      <w:r w:rsidR="00706A20">
        <w:rPr>
          <w:rFonts w:ascii="Aptos" w:hAnsi="Aptos" w:cs="Aptos"/>
          <w:sz w:val="22"/>
          <w:szCs w:val="22"/>
          <w:lang w:val="nl-NL"/>
        </w:rPr>
        <w:instrText>δ</w:instrText>
      </w:r>
      <w:r w:rsidR="00706A20">
        <w:rPr>
          <w:sz w:val="22"/>
          <w:szCs w:val="22"/>
          <w:lang w:val="nl-NL"/>
        </w:rPr>
        <w:instrText xml:space="preserve">18Oshell and </w:instrText>
      </w:r>
      <w:r w:rsidR="00706A20">
        <w:rPr>
          <w:rFonts w:ascii="Aptos" w:hAnsi="Aptos" w:cs="Aptos"/>
          <w:sz w:val="22"/>
          <w:szCs w:val="22"/>
          <w:lang w:val="nl-NL"/>
        </w:rPr>
        <w:instrText>Δ</w:instrText>
      </w:r>
      <w:r w:rsidR="00706A20">
        <w:rPr>
          <w:sz w:val="22"/>
          <w:szCs w:val="22"/>
          <w:lang w:val="nl-NL"/>
        </w:rPr>
        <w:instrText xml:space="preserve">47-based temperatures, we obtain realistic estimates of seasonal </w:instrText>
      </w:r>
      <w:r w:rsidR="00706A20">
        <w:rPr>
          <w:rFonts w:ascii="Aptos" w:hAnsi="Aptos" w:cs="Aptos"/>
          <w:sz w:val="22"/>
          <w:szCs w:val="22"/>
          <w:lang w:val="nl-NL"/>
        </w:rPr>
        <w:instrText>δ</w:instrText>
      </w:r>
      <w:r w:rsidR="00706A20">
        <w:rPr>
          <w:sz w:val="22"/>
          <w:szCs w:val="22"/>
          <w:lang w:val="nl-NL"/>
        </w:rPr>
        <w:instrText>18Oseawater and salinity changes. Our results suggest that clumped isotopes in bivalve shells can be used for seasonal temperature reconstructions and for disentangling the temperature and δ18Oseawater signals in δ18Oshell variations.","container-title":"Geochimica et Cosmochimica Acta","DOI":"10.1016/j.gca.2020.11.019","ISSN":"0016-7037","journalAbbreviation":"Geochimica et Cosmochimica Acta","language":"en","page":"174-191","source":"ScienceDirect","title":"Clumped isotope thermometry in bivalve shells: A tool for reconstructing seasonal upwelling","title-short":"Clumped isotope thermometry in bivalve shells","volume":"294","author":[{"family":"Caldarescu","given":"Diana E."},{"family":"Sadatzki","given":"Henrik"},{"family":"Andersson","given":"Carin"},{"family":"Schäfer","given":"Priska"},{"family":"Fortunato","given":"Helena"},{"family":"Meckler","given":"A. Nele"}],"issued":{"date-parts":[["2021",2,1]]}}},{"id":2782,"uris":["http://zotero.org/users/2470179/items/DDJJAF7R"],"itemData":{"id":2782,"type":"article-journal","abstract":"Documenting the seasonal temperature cycle constitutes an essential step toward mitigating risks associated with extreme weather events in a future warmer world. The mid-Piacenzian Warm Period (mPWP), 3.3 to 3.0 million years ago, featured global temperatures approximately 3°C above preindustrial levels. It represents an ideal period for directed paleoclimate reconstructions equivalent to model projections for 2100 under moderate Shared Socioeconomic Pathway SSP2-4.5. Here, seasonal clumped isotope analyses of fossil mollusk shells from the North Sea are presented to test Pliocene Model Intercomparison Pro</w:instrText>
      </w:r>
      <w:r w:rsidR="00706A20" w:rsidRPr="00706A20">
        <w:rPr>
          <w:sz w:val="22"/>
          <w:szCs w:val="22"/>
          <w:lang w:val="en-GB"/>
        </w:rPr>
        <w:instrText xml:space="preserve">ject 2 outcomes. Joint data and model evidence reveals enhanced summer warming (+4.3° ± 1.0°C) compared to winter (+2.5° ± 1.5°C) during the mPWP, equivalent to SSP2-4.5 outcomes for future climate. We show that Arctic amplification of global warming weakens mid-latitude summer circulation while intensifying seasonal contrast in temperature and precipitation, leading to an increased risk of summer heat waves and other extreme weather events in Europe’s future.","container-title":"Science Advances","DOI":"10.1126/sciadv.adl6717","issue":"20","note":"publisher: American Association for the Advancement of Science","page":"eadl6717","source":"science.org (Atypon)","title":"Amplified seasonality in western Europe in a warmer world","volume":"10","author":[{"family":"Winter","given":"Niels J.","non-dropping-particle":"de"},{"family":"Tindall","given":"Julia"},{"family":"Johnson","given":"Andrew L. A."},{"family":"Goudsmit-Harzevoort","given":"Barbara"},{"family":"Wichern","given":"Nina"},{"family":"Kaskes","given":"Pim"},{"family":"Claeys","given":"Philippe"},{"family":"Huygen","given":"Fynn"},{"family":"Leeuwen","given":"Sonja","non-dropping-particle":"van"},{"family":"Metcalfe","given":"Brett"},{"family":"Bakker","given":"Pepijn"},{"family":"Goolaerts","given":"Stijn"},{"family":"Wesselingh","given":"Frank"},{"family":"Ziegler","given":"Martin"}],"issued":{"date-parts":[["2024",5,15]]}}}],"schema":"https://github.com/citation-style-language/schema/raw/master/csl-citation.json"} </w:instrText>
      </w:r>
      <w:r>
        <w:rPr>
          <w:sz w:val="22"/>
          <w:szCs w:val="22"/>
          <w:lang w:val="en-GB"/>
        </w:rPr>
        <w:fldChar w:fldCharType="separate"/>
      </w:r>
      <w:r w:rsidR="00706A20" w:rsidRPr="00706A20">
        <w:rPr>
          <w:rFonts w:ascii="Aptos" w:hAnsi="Aptos"/>
          <w:sz w:val="22"/>
        </w:rPr>
        <w:t>(</w:t>
      </w:r>
      <w:proofErr w:type="spellStart"/>
      <w:r w:rsidR="00706A20" w:rsidRPr="00706A20">
        <w:rPr>
          <w:rFonts w:ascii="Aptos" w:hAnsi="Aptos"/>
          <w:sz w:val="22"/>
        </w:rPr>
        <w:t>Caldarescu</w:t>
      </w:r>
      <w:proofErr w:type="spellEnd"/>
      <w:r w:rsidR="00706A20" w:rsidRPr="00706A20">
        <w:rPr>
          <w:rFonts w:ascii="Aptos" w:hAnsi="Aptos"/>
          <w:sz w:val="22"/>
        </w:rPr>
        <w:t xml:space="preserve"> et al., 2021; de Winter et al., 2024)</w:t>
      </w:r>
      <w:r>
        <w:rPr>
          <w:sz w:val="22"/>
          <w:szCs w:val="22"/>
          <w:lang w:val="en-GB"/>
        </w:rPr>
        <w:fldChar w:fldCharType="end"/>
      </w:r>
      <w:r>
        <w:rPr>
          <w:sz w:val="22"/>
          <w:szCs w:val="22"/>
          <w:lang w:val="en-GB"/>
        </w:rPr>
        <w:t xml:space="preserve"> data assignment in the original studies</w:t>
      </w:r>
      <w:r w:rsidR="00706A20">
        <w:rPr>
          <w:sz w:val="22"/>
          <w:szCs w:val="22"/>
          <w:lang w:val="en-GB"/>
        </w:rPr>
        <w:t xml:space="preserve">. In cases where data was referenced relative to the day of the year, months were assigned by dividing the year into 12 equal time bins. Uncertainty on the timing of </w:t>
      </w:r>
      <w:r w:rsidR="00706A20" w:rsidRPr="00256EAA">
        <w:rPr>
          <w:sz w:val="22"/>
          <w:szCs w:val="22"/>
          <w:lang w:val="en-GB"/>
        </w:rPr>
        <w:t>Δ</w:t>
      </w:r>
      <w:r w:rsidR="00706A20" w:rsidRPr="00256EAA">
        <w:rPr>
          <w:sz w:val="22"/>
          <w:szCs w:val="22"/>
          <w:vertAlign w:val="subscript"/>
          <w:lang w:val="en-GB"/>
        </w:rPr>
        <w:t>47</w:t>
      </w:r>
      <w:r w:rsidR="00706A20" w:rsidRPr="00256EAA">
        <w:rPr>
          <w:sz w:val="22"/>
          <w:szCs w:val="22"/>
          <w:lang w:val="en-GB"/>
        </w:rPr>
        <w:t xml:space="preserve"> and δ</w:t>
      </w:r>
      <w:r w:rsidR="00706A20" w:rsidRPr="00256EAA">
        <w:rPr>
          <w:sz w:val="22"/>
          <w:szCs w:val="22"/>
          <w:vertAlign w:val="superscript"/>
          <w:lang w:val="en-GB"/>
        </w:rPr>
        <w:t>18</w:t>
      </w:r>
      <w:r w:rsidR="00706A20" w:rsidRPr="00256EAA">
        <w:rPr>
          <w:sz w:val="22"/>
          <w:szCs w:val="22"/>
          <w:lang w:val="en-GB"/>
        </w:rPr>
        <w:t>O</w:t>
      </w:r>
      <w:r w:rsidR="00706A20">
        <w:rPr>
          <w:sz w:val="22"/>
          <w:szCs w:val="22"/>
          <w:vertAlign w:val="subscript"/>
          <w:lang w:val="en-GB"/>
        </w:rPr>
        <w:t>c</w:t>
      </w:r>
      <w:r w:rsidR="00706A20">
        <w:rPr>
          <w:sz w:val="22"/>
          <w:szCs w:val="22"/>
          <w:lang w:val="en-GB"/>
        </w:rPr>
        <w:t xml:space="preserve"> datapoints was considered to lie within the monthly bins by default, but the effect of propagating age model uncertainty was tested (see below).</w:t>
      </w:r>
    </w:p>
    <w:p w14:paraId="0EDE3458" w14:textId="3AE583A2" w:rsidR="00706A20" w:rsidRDefault="00706A20" w:rsidP="00825877">
      <w:pPr>
        <w:jc w:val="both"/>
        <w:rPr>
          <w:sz w:val="22"/>
          <w:szCs w:val="22"/>
          <w:lang w:val="en-GB"/>
        </w:rPr>
      </w:pPr>
      <w:r>
        <w:rPr>
          <w:sz w:val="22"/>
          <w:szCs w:val="22"/>
          <w:lang w:val="en-GB"/>
        </w:rPr>
        <w:t xml:space="preserve">Monthly reconstruction outcomes were prepared for assimilation by forming </w:t>
      </w:r>
      <w:r w:rsidR="007D7503">
        <w:rPr>
          <w:sz w:val="22"/>
          <w:szCs w:val="22"/>
          <w:lang w:val="en-GB"/>
        </w:rPr>
        <w:t>three</w:t>
      </w:r>
      <w:r>
        <w:rPr>
          <w:sz w:val="22"/>
          <w:szCs w:val="22"/>
          <w:lang w:val="en-GB"/>
        </w:rPr>
        <w:t xml:space="preserve"> matrices: </w:t>
      </w:r>
      <w:r w:rsidR="007D7503">
        <w:rPr>
          <w:sz w:val="22"/>
          <w:szCs w:val="22"/>
          <w:lang w:val="en-GB"/>
        </w:rPr>
        <w:t xml:space="preserve">1) </w:t>
      </w:r>
      <w:r>
        <w:rPr>
          <w:sz w:val="22"/>
          <w:szCs w:val="22"/>
          <w:lang w:val="en-GB"/>
        </w:rPr>
        <w:t xml:space="preserve">A measurement matrix </w:t>
      </w:r>
      <w:r w:rsidR="007D7503">
        <w:rPr>
          <w:sz w:val="22"/>
          <w:szCs w:val="22"/>
          <w:lang w:val="en-GB"/>
        </w:rPr>
        <w:t>(</w:t>
      </w:r>
      <w:proofErr w:type="spellStart"/>
      <w:r w:rsidR="007D7503">
        <w:rPr>
          <w:b/>
          <w:bCs/>
          <w:sz w:val="22"/>
          <w:szCs w:val="22"/>
          <w:lang w:val="en-GB"/>
        </w:rPr>
        <w:t>Z</w:t>
      </w:r>
      <w:r w:rsidR="007D7503">
        <w:rPr>
          <w:b/>
          <w:bCs/>
          <w:sz w:val="22"/>
          <w:szCs w:val="22"/>
          <w:vertAlign w:val="subscript"/>
          <w:lang w:val="en-GB"/>
        </w:rPr>
        <w:t>obs</w:t>
      </w:r>
      <w:proofErr w:type="spellEnd"/>
      <w:r w:rsidR="007D7503">
        <w:rPr>
          <w:sz w:val="22"/>
          <w:szCs w:val="22"/>
          <w:lang w:val="en-GB"/>
        </w:rPr>
        <w:t xml:space="preserve">) listing all monthly </w:t>
      </w:r>
      <w:r w:rsidR="007D7503" w:rsidRPr="00256EAA">
        <w:rPr>
          <w:sz w:val="22"/>
          <w:szCs w:val="22"/>
          <w:lang w:val="en-GB"/>
        </w:rPr>
        <w:t>Δ</w:t>
      </w:r>
      <w:r w:rsidR="007D7503" w:rsidRPr="00256EAA">
        <w:rPr>
          <w:sz w:val="22"/>
          <w:szCs w:val="22"/>
          <w:vertAlign w:val="subscript"/>
          <w:lang w:val="en-GB"/>
        </w:rPr>
        <w:t>47</w:t>
      </w:r>
      <w:r w:rsidR="007D7503" w:rsidRPr="00256EAA">
        <w:rPr>
          <w:sz w:val="22"/>
          <w:szCs w:val="22"/>
          <w:lang w:val="en-GB"/>
        </w:rPr>
        <w:t xml:space="preserve"> and δ</w:t>
      </w:r>
      <w:r w:rsidR="007D7503" w:rsidRPr="00256EAA">
        <w:rPr>
          <w:sz w:val="22"/>
          <w:szCs w:val="22"/>
          <w:vertAlign w:val="superscript"/>
          <w:lang w:val="en-GB"/>
        </w:rPr>
        <w:t>18</w:t>
      </w:r>
      <w:r w:rsidR="007D7503" w:rsidRPr="00256EAA">
        <w:rPr>
          <w:sz w:val="22"/>
          <w:szCs w:val="22"/>
          <w:lang w:val="en-GB"/>
        </w:rPr>
        <w:t>O</w:t>
      </w:r>
      <w:r w:rsidR="007D7503">
        <w:rPr>
          <w:sz w:val="22"/>
          <w:szCs w:val="22"/>
          <w:vertAlign w:val="subscript"/>
          <w:lang w:val="en-GB"/>
        </w:rPr>
        <w:t>c</w:t>
      </w:r>
      <w:r w:rsidR="007D7503">
        <w:rPr>
          <w:sz w:val="22"/>
          <w:szCs w:val="22"/>
          <w:lang w:val="en-GB"/>
        </w:rPr>
        <w:t xml:space="preserve"> outcomes in order of appearance in the reconstruction data (length: 2 * 12 = 24 values). 2) An observation matrix (</w:t>
      </w:r>
      <w:r w:rsidR="007D7503">
        <w:rPr>
          <w:b/>
          <w:bCs/>
          <w:sz w:val="22"/>
          <w:szCs w:val="22"/>
          <w:lang w:val="en-GB"/>
        </w:rPr>
        <w:t>H</w:t>
      </w:r>
      <w:r w:rsidR="007D7503">
        <w:rPr>
          <w:b/>
          <w:bCs/>
          <w:sz w:val="22"/>
          <w:szCs w:val="22"/>
          <w:vertAlign w:val="subscript"/>
          <w:lang w:val="en-GB"/>
        </w:rPr>
        <w:t>obs</w:t>
      </w:r>
      <w:r w:rsidR="007D7503">
        <w:rPr>
          <w:sz w:val="22"/>
          <w:szCs w:val="22"/>
          <w:lang w:val="en-GB"/>
        </w:rPr>
        <w:t xml:space="preserve">) linking the index of each monthly measurement in </w:t>
      </w:r>
      <w:proofErr w:type="spellStart"/>
      <w:r w:rsidR="007D7503">
        <w:rPr>
          <w:b/>
          <w:bCs/>
          <w:sz w:val="22"/>
          <w:szCs w:val="22"/>
          <w:lang w:val="en-GB"/>
        </w:rPr>
        <w:t>Z</w:t>
      </w:r>
      <w:r w:rsidR="007D7503">
        <w:rPr>
          <w:b/>
          <w:bCs/>
          <w:sz w:val="22"/>
          <w:szCs w:val="22"/>
          <w:vertAlign w:val="subscript"/>
          <w:lang w:val="en-GB"/>
        </w:rPr>
        <w:t>obs</w:t>
      </w:r>
      <w:proofErr w:type="spellEnd"/>
      <w:r w:rsidR="007D7503">
        <w:rPr>
          <w:sz w:val="22"/>
          <w:szCs w:val="22"/>
          <w:lang w:val="en-GB"/>
        </w:rPr>
        <w:t xml:space="preserve"> to the index of the corresponding monthly model parameter in the state vector </w:t>
      </w:r>
      <w:proofErr w:type="spellStart"/>
      <w:r w:rsidR="007D7503" w:rsidRPr="00706A20">
        <w:rPr>
          <w:b/>
          <w:bCs/>
          <w:sz w:val="22"/>
          <w:szCs w:val="22"/>
          <w:lang w:val="en-GB"/>
        </w:rPr>
        <w:t>M</w:t>
      </w:r>
      <w:r w:rsidR="007D7503" w:rsidRPr="00706A20">
        <w:rPr>
          <w:b/>
          <w:bCs/>
          <w:sz w:val="22"/>
          <w:szCs w:val="22"/>
          <w:vertAlign w:val="subscript"/>
          <w:lang w:val="en-GB"/>
        </w:rPr>
        <w:t>prior</w:t>
      </w:r>
      <w:proofErr w:type="spellEnd"/>
      <w:r w:rsidR="007D7503">
        <w:rPr>
          <w:sz w:val="22"/>
          <w:szCs w:val="22"/>
          <w:lang w:val="en-GB"/>
        </w:rPr>
        <w:t xml:space="preserve"> by representing each combination of monthly </w:t>
      </w:r>
      <w:r w:rsidR="007D7503" w:rsidRPr="00256EAA">
        <w:rPr>
          <w:sz w:val="22"/>
          <w:szCs w:val="22"/>
          <w:lang w:val="en-GB"/>
        </w:rPr>
        <w:t>Δ</w:t>
      </w:r>
      <w:r w:rsidR="007D7503" w:rsidRPr="00256EAA">
        <w:rPr>
          <w:sz w:val="22"/>
          <w:szCs w:val="22"/>
          <w:vertAlign w:val="subscript"/>
          <w:lang w:val="en-GB"/>
        </w:rPr>
        <w:t>47</w:t>
      </w:r>
      <w:r w:rsidR="007D7503" w:rsidRPr="00256EAA">
        <w:rPr>
          <w:sz w:val="22"/>
          <w:szCs w:val="22"/>
          <w:lang w:val="en-GB"/>
        </w:rPr>
        <w:t xml:space="preserve"> and δ</w:t>
      </w:r>
      <w:r w:rsidR="007D7503" w:rsidRPr="00256EAA">
        <w:rPr>
          <w:sz w:val="22"/>
          <w:szCs w:val="22"/>
          <w:vertAlign w:val="superscript"/>
          <w:lang w:val="en-GB"/>
        </w:rPr>
        <w:t>18</w:t>
      </w:r>
      <w:r w:rsidR="007D7503" w:rsidRPr="00256EAA">
        <w:rPr>
          <w:sz w:val="22"/>
          <w:szCs w:val="22"/>
          <w:lang w:val="en-GB"/>
        </w:rPr>
        <w:t>O</w:t>
      </w:r>
      <w:r w:rsidR="007D7503">
        <w:rPr>
          <w:sz w:val="22"/>
          <w:szCs w:val="22"/>
          <w:vertAlign w:val="subscript"/>
          <w:lang w:val="en-GB"/>
        </w:rPr>
        <w:t>c</w:t>
      </w:r>
      <w:r w:rsidR="007D7503">
        <w:rPr>
          <w:sz w:val="22"/>
          <w:szCs w:val="22"/>
          <w:lang w:val="en-GB"/>
        </w:rPr>
        <w:t xml:space="preserve"> value with its corresponding SST-</w:t>
      </w:r>
      <w:r w:rsidR="007D7503" w:rsidRPr="007D7503">
        <w:rPr>
          <w:sz w:val="22"/>
          <w:szCs w:val="22"/>
          <w:lang w:val="en-GB"/>
        </w:rPr>
        <w:t xml:space="preserve"> </w:t>
      </w:r>
      <w:r w:rsidR="007D7503" w:rsidRPr="00256EAA">
        <w:rPr>
          <w:sz w:val="22"/>
          <w:szCs w:val="22"/>
          <w:lang w:val="en-GB"/>
        </w:rPr>
        <w:t>Δ</w:t>
      </w:r>
      <w:r w:rsidR="007D7503" w:rsidRPr="00256EAA">
        <w:rPr>
          <w:sz w:val="22"/>
          <w:szCs w:val="22"/>
          <w:vertAlign w:val="subscript"/>
          <w:lang w:val="en-GB"/>
        </w:rPr>
        <w:t>47</w:t>
      </w:r>
      <w:r w:rsidR="007D7503">
        <w:rPr>
          <w:sz w:val="22"/>
          <w:szCs w:val="22"/>
          <w:lang w:val="en-GB"/>
        </w:rPr>
        <w:t xml:space="preserve">  and SSS-</w:t>
      </w:r>
      <w:r w:rsidR="007D7503" w:rsidRPr="007D7503">
        <w:rPr>
          <w:sz w:val="22"/>
          <w:szCs w:val="22"/>
          <w:lang w:val="en-GB"/>
        </w:rPr>
        <w:t xml:space="preserve"> </w:t>
      </w:r>
      <w:r w:rsidR="007D7503" w:rsidRPr="00256EAA">
        <w:rPr>
          <w:sz w:val="22"/>
          <w:szCs w:val="22"/>
          <w:lang w:val="en-GB"/>
        </w:rPr>
        <w:t>δ</w:t>
      </w:r>
      <w:r w:rsidR="007D7503" w:rsidRPr="00256EAA">
        <w:rPr>
          <w:sz w:val="22"/>
          <w:szCs w:val="22"/>
          <w:vertAlign w:val="superscript"/>
          <w:lang w:val="en-GB"/>
        </w:rPr>
        <w:t>18</w:t>
      </w:r>
      <w:r w:rsidR="007D7503" w:rsidRPr="00256EAA">
        <w:rPr>
          <w:sz w:val="22"/>
          <w:szCs w:val="22"/>
          <w:lang w:val="en-GB"/>
        </w:rPr>
        <w:t>O</w:t>
      </w:r>
      <w:r w:rsidR="007D7503">
        <w:rPr>
          <w:sz w:val="22"/>
          <w:szCs w:val="22"/>
          <w:vertAlign w:val="subscript"/>
          <w:lang w:val="en-GB"/>
        </w:rPr>
        <w:t>c</w:t>
      </w:r>
      <w:r w:rsidR="007D7503">
        <w:rPr>
          <w:sz w:val="22"/>
          <w:szCs w:val="22"/>
          <w:lang w:val="en-GB"/>
        </w:rPr>
        <w:t xml:space="preserve"> value with a 1 </w:t>
      </w:r>
      <w:r w:rsidR="00D11201">
        <w:rPr>
          <w:sz w:val="22"/>
          <w:szCs w:val="22"/>
          <w:lang w:val="en-GB"/>
        </w:rPr>
        <w:t xml:space="preserve">in </w:t>
      </w:r>
      <w:r w:rsidR="00D11201">
        <w:rPr>
          <w:b/>
          <w:bCs/>
          <w:sz w:val="22"/>
          <w:szCs w:val="22"/>
          <w:lang w:val="en-GB"/>
        </w:rPr>
        <w:t>H</w:t>
      </w:r>
      <w:r w:rsidR="00D11201">
        <w:rPr>
          <w:b/>
          <w:bCs/>
          <w:sz w:val="22"/>
          <w:szCs w:val="22"/>
          <w:vertAlign w:val="subscript"/>
          <w:lang w:val="en-GB"/>
        </w:rPr>
        <w:t>obs</w:t>
      </w:r>
      <w:r w:rsidR="00D11201">
        <w:rPr>
          <w:sz w:val="22"/>
          <w:szCs w:val="22"/>
          <w:lang w:val="en-GB"/>
        </w:rPr>
        <w:t xml:space="preserve"> </w:t>
      </w:r>
      <w:r w:rsidR="007D7503">
        <w:rPr>
          <w:sz w:val="22"/>
          <w:szCs w:val="22"/>
          <w:lang w:val="en-GB"/>
        </w:rPr>
        <w:t xml:space="preserve">and assigning all other </w:t>
      </w:r>
      <w:r w:rsidR="007D7503">
        <w:rPr>
          <w:sz w:val="22"/>
          <w:szCs w:val="22"/>
          <w:lang w:val="en-GB"/>
        </w:rPr>
        <w:lastRenderedPageBreak/>
        <w:t xml:space="preserve">values in the </w:t>
      </w:r>
      <w:r w:rsidR="00D11201">
        <w:rPr>
          <w:sz w:val="22"/>
          <w:szCs w:val="22"/>
          <w:lang w:val="en-GB"/>
        </w:rPr>
        <w:t xml:space="preserve">observation </w:t>
      </w:r>
      <w:r w:rsidR="007D7503">
        <w:rPr>
          <w:sz w:val="22"/>
          <w:szCs w:val="22"/>
          <w:lang w:val="en-GB"/>
        </w:rPr>
        <w:t xml:space="preserve">matrix the value 0 (dimensions: 24 * 48 values). </w:t>
      </w:r>
      <w:r w:rsidR="003266CB">
        <w:rPr>
          <w:sz w:val="22"/>
          <w:szCs w:val="22"/>
          <w:lang w:val="en-GB"/>
        </w:rPr>
        <w:t xml:space="preserve">3) </w:t>
      </w:r>
      <w:r w:rsidR="007D7503">
        <w:rPr>
          <w:sz w:val="22"/>
          <w:szCs w:val="22"/>
          <w:lang w:val="en-GB"/>
        </w:rPr>
        <w:t>Finally, the propagated uncertainties on monthly reconstruction data were listed in order of appearance</w:t>
      </w:r>
      <w:r w:rsidR="003266CB">
        <w:rPr>
          <w:sz w:val="22"/>
          <w:szCs w:val="22"/>
          <w:lang w:val="en-GB"/>
        </w:rPr>
        <w:t xml:space="preserve"> on the diagonal</w:t>
      </w:r>
      <w:r w:rsidR="007D7503">
        <w:rPr>
          <w:sz w:val="22"/>
          <w:szCs w:val="22"/>
          <w:lang w:val="en-GB"/>
        </w:rPr>
        <w:t xml:space="preserve"> </w:t>
      </w:r>
      <w:r w:rsidR="003266CB">
        <w:rPr>
          <w:sz w:val="22"/>
          <w:szCs w:val="22"/>
          <w:lang w:val="en-GB"/>
        </w:rPr>
        <w:t>of</w:t>
      </w:r>
      <w:r w:rsidR="007D7503">
        <w:rPr>
          <w:sz w:val="22"/>
          <w:szCs w:val="22"/>
          <w:lang w:val="en-GB"/>
        </w:rPr>
        <w:t xml:space="preserve"> a</w:t>
      </w:r>
      <w:r w:rsidR="003266CB">
        <w:rPr>
          <w:sz w:val="22"/>
          <w:szCs w:val="22"/>
          <w:lang w:val="en-GB"/>
        </w:rPr>
        <w:t>n uncertainty matrix (</w:t>
      </w:r>
      <w:r w:rsidR="003266CB">
        <w:rPr>
          <w:b/>
          <w:bCs/>
          <w:sz w:val="22"/>
          <w:szCs w:val="22"/>
          <w:lang w:val="en-GB"/>
        </w:rPr>
        <w:t>R</w:t>
      </w:r>
      <w:r w:rsidR="003266CB" w:rsidRPr="003266CB">
        <w:rPr>
          <w:b/>
          <w:bCs/>
          <w:sz w:val="22"/>
          <w:szCs w:val="22"/>
          <w:vertAlign w:val="subscript"/>
          <w:lang w:val="en-GB"/>
        </w:rPr>
        <w:t>obs</w:t>
      </w:r>
      <w:r w:rsidR="003266CB">
        <w:rPr>
          <w:sz w:val="22"/>
          <w:szCs w:val="22"/>
          <w:lang w:val="en-GB"/>
        </w:rPr>
        <w:t>; dimensions: 24 * 24), of which all non-diagonal positions were given the value 0. The latter represents the fact that the reconstructions are statistically independent (while the climate parameters in the model outcomes are not).</w:t>
      </w:r>
    </w:p>
    <w:p w14:paraId="0D843455" w14:textId="61EF4F3E" w:rsidR="0074699D" w:rsidRDefault="0074699D" w:rsidP="00825877">
      <w:pPr>
        <w:jc w:val="both"/>
        <w:rPr>
          <w:sz w:val="22"/>
          <w:szCs w:val="22"/>
          <w:lang w:val="en-GB"/>
        </w:rPr>
      </w:pPr>
      <w:r>
        <w:rPr>
          <w:sz w:val="22"/>
          <w:szCs w:val="22"/>
          <w:lang w:val="en-GB"/>
        </w:rPr>
        <w:t>2.2.2 Data assimilation</w:t>
      </w:r>
    </w:p>
    <w:p w14:paraId="14DB178A" w14:textId="5BF2C926" w:rsidR="005A4F83" w:rsidRDefault="00EF23F4" w:rsidP="00825877">
      <w:pPr>
        <w:jc w:val="both"/>
        <w:rPr>
          <w:sz w:val="22"/>
          <w:szCs w:val="22"/>
          <w:lang w:val="en-US"/>
        </w:rPr>
      </w:pPr>
      <w:r>
        <w:rPr>
          <w:sz w:val="22"/>
          <w:szCs w:val="22"/>
          <w:lang w:val="en-US"/>
        </w:rPr>
        <w:t xml:space="preserve">Reconstruction and model data </w:t>
      </w:r>
      <w:r w:rsidR="003E7FF0">
        <w:rPr>
          <w:sz w:val="22"/>
          <w:szCs w:val="22"/>
          <w:lang w:val="en-US"/>
        </w:rPr>
        <w:t>were assimilated</w:t>
      </w:r>
      <w:r>
        <w:rPr>
          <w:sz w:val="22"/>
          <w:szCs w:val="22"/>
          <w:lang w:val="en-US"/>
        </w:rPr>
        <w:t xml:space="preserve"> through an offline Kalman filter </w:t>
      </w:r>
      <w:r>
        <w:rPr>
          <w:sz w:val="22"/>
          <w:szCs w:val="22"/>
          <w:lang w:val="en-US"/>
        </w:rPr>
        <w:fldChar w:fldCharType="begin"/>
      </w:r>
      <w:r>
        <w:rPr>
          <w:sz w:val="22"/>
          <w:szCs w:val="22"/>
          <w:lang w:val="en-US"/>
        </w:rPr>
        <w:instrText xml:space="preserve"> ADDIN ZOTERO_ITEM CSL_CITATION {"citationID":"lj3XHqgS","properties":{"formattedCitation":"(Kalman, 1960)","plainCitation":"(Kalman, 1960)","noteIndex":0},"citationItems":[{"id":11757,"uris":["http://zotero.org/users/2470179/items/68RPQSVF"],"itemData":{"id":11757,"type":"article-journal","abstract":"The classical filtering and prediction problem is re-examined using the Bode-Shannon representation of random processes and the “state-transition” method of analysis of dynamic systems. New results are: (1) The formulation and methods of solution of the problem apply without modification to stationary and nonstationary statistics and to growing-memory and infinite-memory filters. (2) A nonlinear difference (or differential) equation is derived for the covariance matrix of the optimal estimation error. From the solution of this equation the co-efficients of the difference (or differential) equation of the optimal linear filter are obtained without further calculations. (3) The filtering problem is shown to be the dual of the noise-free regulator problem. The new method developed here is applied to two well-known problems, confirming and extending earlier results. The discussion is largely self-contained and proceeds from first principles; basic concepts of the theory of random processes are reviewed in the Appendix.","container-title":"Journal of Basic Engineering","DOI":"10.1115/1.3662552","ISSN":"0021-9223","issue":"1","journalAbbreviation":"J. Basic Eng","page":"35-45","source":"Silverchair","title":"A New Approach to Linear Filtering and Prediction Problems","volume":"82","author":[{"family":"Kalman","given":"R. E."}],"issued":{"date-parts":[["1960",3,1]]}}}],"schema":"https://github.com/citation-style-language/schema/raw/master/csl-citation.json"} </w:instrText>
      </w:r>
      <w:r>
        <w:rPr>
          <w:sz w:val="22"/>
          <w:szCs w:val="22"/>
          <w:lang w:val="en-US"/>
        </w:rPr>
        <w:fldChar w:fldCharType="separate"/>
      </w:r>
      <w:r w:rsidRPr="00EF23F4">
        <w:rPr>
          <w:rFonts w:ascii="Aptos" w:hAnsi="Aptos"/>
          <w:sz w:val="22"/>
        </w:rPr>
        <w:t>(Kalman, 1960)</w:t>
      </w:r>
      <w:r>
        <w:rPr>
          <w:sz w:val="22"/>
          <w:szCs w:val="22"/>
          <w:lang w:val="en-US"/>
        </w:rPr>
        <w:fldChar w:fldCharType="end"/>
      </w:r>
      <w:r>
        <w:rPr>
          <w:sz w:val="22"/>
          <w:szCs w:val="22"/>
          <w:lang w:val="en-US"/>
        </w:rPr>
        <w:t>, meaning that all data is ass</w:t>
      </w:r>
      <w:r w:rsidR="003E7FF0">
        <w:rPr>
          <w:sz w:val="22"/>
          <w:szCs w:val="22"/>
          <w:lang w:val="en-US"/>
        </w:rPr>
        <w:t>imilated</w:t>
      </w:r>
      <w:r>
        <w:rPr>
          <w:sz w:val="22"/>
          <w:szCs w:val="22"/>
          <w:lang w:val="en-US"/>
        </w:rPr>
        <w:t xml:space="preserve"> </w:t>
      </w:r>
      <w:r w:rsidR="003E7FF0">
        <w:rPr>
          <w:sz w:val="22"/>
          <w:szCs w:val="22"/>
          <w:lang w:val="en-US"/>
        </w:rPr>
        <w:t>at one time</w:t>
      </w:r>
      <w:r>
        <w:rPr>
          <w:sz w:val="22"/>
          <w:szCs w:val="22"/>
          <w:lang w:val="en-US"/>
        </w:rPr>
        <w:t xml:space="preserve"> (batch processing). The Kalman filter, or linear quadratic estimator, minimizes the mean square error of the parameters in the end result (posterior) by estimating an optimal joint posterior distribution. Kalman filtering assumes that the uncertainty around the parameters being estimated is normally distributed, which is one of the main reasons why assimilation is done in the proxy domain: The uncertainty on proxy measurements</w:t>
      </w:r>
      <w:r w:rsidR="00B9176A">
        <w:rPr>
          <w:sz w:val="22"/>
          <w:szCs w:val="22"/>
          <w:lang w:val="en-US"/>
        </w:rPr>
        <w:t xml:space="preserve"> is often produced by a stochastic process that can be approximated with a normal distribution (e.g. shot noise in Faraday cups in mass spectrometry; </w:t>
      </w:r>
      <w:r w:rsidR="00B9176A">
        <w:rPr>
          <w:sz w:val="22"/>
          <w:szCs w:val="22"/>
          <w:lang w:val="en-US"/>
        </w:rPr>
        <w:fldChar w:fldCharType="begin"/>
      </w:r>
      <w:r w:rsidR="00B9176A">
        <w:rPr>
          <w:sz w:val="22"/>
          <w:szCs w:val="22"/>
          <w:lang w:val="en-US"/>
        </w:rPr>
        <w:instrText xml:space="preserve"> ADDIN ZOTERO_ITEM CSL_CITATION {"citationID":"levg792G","properties":{"formattedCitation":"(Appelblad et al., 2001)","plainCitation":"(Appelblad et al., 2001)","noteIndex":0},"citationItems":[{"id":11806,"uris":["http://zotero.org/users/2470179/items/64JVTH7K"],"itemData":{"id":11806,"type":"article-journal","abstract":"A model is presented describing the effects of dead time and mass bias correction factor uncertainties, flicker noise, and counting statistics on isotope ratio measurement precision using inductively coupled plasma mass spectrometry (ICPMS) with a single collector. Noise spectral analysis is exploited to enable estimation of the flicker noise parameters. For the instrument used, the flicker noise component exhibited a fairly weak frequency (f) dependence (</w:instrText>
      </w:r>
      <w:r w:rsidR="00B9176A">
        <w:rPr>
          <w:rFonts w:ascii="Cambria Math" w:hAnsi="Cambria Math" w:cs="Cambria Math"/>
          <w:sz w:val="22"/>
          <w:szCs w:val="22"/>
          <w:lang w:val="en-US"/>
        </w:rPr>
        <w:instrText>∝</w:instrText>
      </w:r>
      <w:r w:rsidR="00B9176A">
        <w:rPr>
          <w:sz w:val="22"/>
          <w:szCs w:val="22"/>
          <w:lang w:val="en-US"/>
        </w:rPr>
        <w:instrText xml:space="preserve"> f -0.33</w:instrText>
      </w:r>
      <w:r w:rsidR="00B9176A">
        <w:rPr>
          <w:rFonts w:ascii="Aptos" w:hAnsi="Aptos" w:cs="Aptos"/>
          <w:sz w:val="22"/>
          <w:szCs w:val="22"/>
          <w:lang w:val="en-US"/>
        </w:rPr>
        <w:instrText>±</w:instrText>
      </w:r>
      <w:r w:rsidR="00B9176A">
        <w:rPr>
          <w:sz w:val="22"/>
          <w:szCs w:val="22"/>
          <w:lang w:val="en-US"/>
        </w:rPr>
        <w:instrText xml:space="preserve">0.12), but was directly proportional to the total number of counts, Q. As white noise, determined by counting statistics, is given by Q0.5, the isotope ratio measurement uncertainties will actually cease to improve when Q exceeds a certain threshold. This would suggest that flicker noise could become the limiting factor for the precision with which isotope ratios can be determined by ICPMS. However, under most experimental conditions, uncertainties associated with mass discrimination and dead time correction factors are decisive. For ratios up to </w:instrText>
      </w:r>
      <w:r w:rsidR="00B9176A">
        <w:rPr>
          <w:rFonts w:ascii="Cambria Math" w:hAnsi="Cambria Math" w:cs="Cambria Math"/>
          <w:sz w:val="22"/>
          <w:szCs w:val="22"/>
          <w:lang w:val="en-US"/>
        </w:rPr>
        <w:instrText>∼</w:instrText>
      </w:r>
      <w:r w:rsidR="00B9176A">
        <w:rPr>
          <w:sz w:val="22"/>
          <w:szCs w:val="22"/>
          <w:lang w:val="en-US"/>
        </w:rPr>
        <w:instrText xml:space="preserve">22 (115In/113In), optimum major isotope count rates are generally below 0.3 MHz, for which precision in the mass discrimination factor is limiting. The model derived could be used as a starting point for determining optimum conditions and understanding the limitations of single-collector ICPMS for precise isotope ratio measurements.","container-title":"Analytical Chemistry","DOI":"10.1021/ac001537y","ISSN":"0003-2700","issue":"13","journalAbbreviation":"Anal. Chem.","note":"publisher: American Chemical Society","page":"2911-2919","source":"ACS Publications","title":"Sources of Uncertainty in Isotope Ratio Measurements by Inductively Coupled Plasma Mass Spectrometry","volume":"73","author":[{"family":"Appelblad","given":"Petra K."},{"family":"Rodushkin","given":"Ilia"},{"family":"Baxter","given":"Douglas C."}],"issued":{"date-parts":[["2001",7,1]]}}}],"schema":"https://github.com/citation-style-language/schema/raw/master/csl-citation.json"} </w:instrText>
      </w:r>
      <w:r w:rsidR="00B9176A">
        <w:rPr>
          <w:sz w:val="22"/>
          <w:szCs w:val="22"/>
          <w:lang w:val="en-US"/>
        </w:rPr>
        <w:fldChar w:fldCharType="separate"/>
      </w:r>
      <w:r w:rsidR="00B9176A" w:rsidRPr="00B9176A">
        <w:rPr>
          <w:rFonts w:ascii="Aptos" w:hAnsi="Aptos"/>
          <w:sz w:val="22"/>
        </w:rPr>
        <w:t>(Appelblad et al., 2001)</w:t>
      </w:r>
      <w:r w:rsidR="00B9176A">
        <w:rPr>
          <w:sz w:val="22"/>
          <w:szCs w:val="22"/>
          <w:lang w:val="en-US"/>
        </w:rPr>
        <w:fldChar w:fldCharType="end"/>
      </w:r>
      <w:r w:rsidR="00B9176A">
        <w:rPr>
          <w:sz w:val="22"/>
          <w:szCs w:val="22"/>
          <w:lang w:val="en-US"/>
        </w:rPr>
        <w:t xml:space="preserve">). The fact that Kalman filtering is comparatively analytically straightforward and the fact that proxy data uncertainty can often be considered normally distributed has made the Kalman filter the most common posterior estimator in </w:t>
      </w:r>
      <w:proofErr w:type="spellStart"/>
      <w:r w:rsidR="00B9176A">
        <w:rPr>
          <w:sz w:val="22"/>
          <w:szCs w:val="22"/>
          <w:lang w:val="en-US"/>
        </w:rPr>
        <w:t>paleoDA</w:t>
      </w:r>
      <w:proofErr w:type="spellEnd"/>
      <w:r w:rsidR="00B9176A">
        <w:rPr>
          <w:sz w:val="22"/>
          <w:szCs w:val="22"/>
          <w:lang w:val="en-US"/>
        </w:rPr>
        <w:t xml:space="preserve"> </w:t>
      </w:r>
      <w:r w:rsidR="00B9176A">
        <w:rPr>
          <w:sz w:val="22"/>
          <w:szCs w:val="22"/>
          <w:lang w:val="en-US"/>
        </w:rPr>
        <w:fldChar w:fldCharType="begin"/>
      </w:r>
      <w:r w:rsidR="005A4F83">
        <w:rPr>
          <w:sz w:val="22"/>
          <w:szCs w:val="22"/>
          <w:lang w:val="en-US"/>
        </w:rPr>
        <w:instrText xml:space="preserve"> ADDIN ZOTERO_ITEM CSL_CITATION {"citationID":"pcv8pOZB","properties":{"formattedCitation":"(Hakim et al., 2016; Judd et al., 2024; Osman et al., 2021; Steiger et al., 2014)","plainCitation":"(Hakim et al., 2016; Judd et al., 2024; Osman et al., 2021; Steiger et al., 2014)","noteIndex":0},"citationItems":[{"id":7775,"uris":["http://zotero.org/users/2470179/items/92NVWCH3"],"itemData":{"id":7775,"type":"article-journal","abstract":"An “offline” approach to DA is used, where static ensemble samples are drawn from existing CMIP climate-model simulations to serve as the prior estimate of climate variables. We use linear, univariate forward models (“proxy system models (PSMs)”) that map climate variables to proxy measurements by fitting proxy data to 2 m air temperature from gridded instrumental temperature data; the linear PSMs are then used to predict proxy values from the prior estimate. Results for the LMR are compared against six gridded instrumental temperature data sets and 25% of the proxy records are withheld from assimilation for independent verification. Results show broad agreement with previous reconstructions of Northern Hemisphere mean 2 m air temperature, with millennial-scale cooling, a multicentennial warm period around 1000 C.E., and a cold period coincident with the Little Ice Age (circa 1450–1800 C.E.). Verification against gridded instrumental data sets during 1880–2000 C.E. reveals greatest skill in the tropics and lowest skill over Northern Hemisphere land areas. Verification against independent proxy records indicates substantial improvement relative to the model (prior) data without proxy assimilation. As an illustrative example, we present multivariate reconstructed fields for a singular event, the 1808/1809 “mystery” volcanic eruption, which reveal global cooling that is strongly enhanced locally due to the presence of the Pacific-North America wave pattern in the 500 hPa geopotential height field.","container-title":"Journal of Geophysical Research: Atmospheres","DOI":"10.1002/2016JD024751","ISSN":"2169-8996","issue":"12","language":"en","license":"©2016. The Authors.","note":"_eprint: https://agupubs.onlinelibrary.wiley.com/doi/pdf/10.1002/2016JD024751","page":"6745-6764","source":"Wiley Online Library","title":"The last millennium climate reanalysis project: Framework and first results","title-short":"The last millennium climate reanalysis project","volume":"121","author":[{"family":"Hakim","given":"Gregory J."},{"family":"Emile-Geay","given":"Julien"},{"family":"Steig","given":"Eric J."},{"family":"Noone","given":"David"},{"family":"Anderson","given":"David M."},{"family":"Tardif","given":"Robert"},{"family":"Steiger","given":"Nathan"},{"family":"Perkins","given":"Walter A."}],"issued":{"date-parts":[["2016"]]}}},{"id":7701,"uris":["http://zotero.org/users/2470179/items/M7EKCRHN"],"itemData":{"id":7701,"type":"article-journal","abstract":"A long-term record of global mean surface temperature (GMST) provides critical insight into the dynamical limits of Earth’s climate and the complex feedbacks between temperature and the broader Earth system. Here, we present PhanDA, a reconstruction of GMST over the past 485 million years, generated by statistically integrating proxy data with climate model simulations. PhanDA exhibits a large range of GMST, spanning 11° to 36°C. Partitioning the reconstruction into climate states indicates that more time was spent in warmer rather than colder climates and reveals consistent latitudinal temperature gradients within each state. There is a strong correlation between atmospheric carbon dioxide (CO2) concentrations and GMST, identifying CO2 as the dominant control on variations in Phanerozoic global climate and suggesting an apparent Earth system sensitivity of ~8°C.","container-title":"Science","DOI":"10.1126/science.adk3705","issue":"6715","note":"publisher: American Association for the Advancement of Science","page":"eadk3705","source":"science.org (Atypon)","title":"A 485-million-year history of Earth’s surface temperature","volume":"385","author":[{"family":"Judd","given":"Emily J."},{"family":"Tierney","given":"Jessica E."},{"family":"Lunt","given":"Daniel J."},{"family":"Montañez","given":"Isabel P."},{"family":"Huber","given":"Brian T."},{"family":"Wing","given":"Scott L."},{"family":"Valdes","given":"Paul J."}],"issued":{"date-parts":[["2024",9,20]]}}},{"id":2106,"uris":["http://zotero.org/users/2470179/items/PZFTZJ3P"],"itemData":{"id":2106,"type":"article-journal","abstract":"Climate changes across the past 24,000 years provide key insights into Earth system responses to external forcing. Climate model simulations1,2 and proxy data3–8 have independently allowed for study of this crucial interval; however, they have at times yielded disparate conclusions. Here, we leverage both types of information using paleoclimate data assimilation9,10 to produce the first proxy-constrained, full-field reanalysis of surface temperature change spanning the Last Glacial Maximum to present at 200-year resolution. We demonstrate that temperature variability across the past 24</w:instrText>
      </w:r>
      <w:r w:rsidR="005A4F83">
        <w:rPr>
          <w:rFonts w:ascii="Arial" w:hAnsi="Arial" w:cs="Arial"/>
          <w:sz w:val="22"/>
          <w:szCs w:val="22"/>
          <w:lang w:val="en-US"/>
        </w:rPr>
        <w:instrText> </w:instrText>
      </w:r>
      <w:r w:rsidR="005A4F83">
        <w:rPr>
          <w:sz w:val="22"/>
          <w:szCs w:val="22"/>
          <w:lang w:val="en-US"/>
        </w:rPr>
        <w:instrText>thousand years was linked to two primary climatic mechanisms: radiative forcing from ice sheets and greenhouse gases; and a superposition of changes in the ocean overturning circulation and seasonal insolation. In contrast with previous proxy-based reconstructions6,7 our results show that global mean temperature has slightly but steadily warmed, by ~0.5</w:instrText>
      </w:r>
      <w:r w:rsidR="005A4F83">
        <w:rPr>
          <w:rFonts w:ascii="Arial" w:hAnsi="Arial" w:cs="Arial"/>
          <w:sz w:val="22"/>
          <w:szCs w:val="22"/>
          <w:lang w:val="en-US"/>
        </w:rPr>
        <w:instrText> </w:instrText>
      </w:r>
      <w:r w:rsidR="005A4F83">
        <w:rPr>
          <w:rFonts w:ascii="Aptos" w:hAnsi="Aptos" w:cs="Aptos"/>
          <w:sz w:val="22"/>
          <w:szCs w:val="22"/>
          <w:lang w:val="en-US"/>
        </w:rPr>
        <w:instrText>°</w:instrText>
      </w:r>
      <w:r w:rsidR="005A4F83">
        <w:rPr>
          <w:sz w:val="22"/>
          <w:szCs w:val="22"/>
          <w:lang w:val="en-US"/>
        </w:rPr>
        <w:instrText>C, since the early Holocene (around 9</w:instrText>
      </w:r>
      <w:r w:rsidR="005A4F83">
        <w:rPr>
          <w:rFonts w:ascii="Aptos" w:hAnsi="Aptos" w:cs="Aptos"/>
          <w:sz w:val="22"/>
          <w:szCs w:val="22"/>
          <w:lang w:val="en-US"/>
        </w:rPr>
        <w:instrText> </w:instrText>
      </w:r>
      <w:r w:rsidR="005A4F83">
        <w:rPr>
          <w:sz w:val="22"/>
          <w:szCs w:val="22"/>
          <w:lang w:val="en-US"/>
        </w:rPr>
        <w:instrText>thousand years ago). When compared with recent temperature changes11, our reanalysis indicates that both the rate and magnitude of modern warming are unusual relative to the changes of the past 24 thousand years.","container-title":"Nature","DOI":"10.1038/s41586-021-03984-4","ISSN":"1476-4687","issue":"7884","language":"en","license":"2021 The Author(s), under exclusive licence to Springer Nature Limited","note":"number: 7884\npublisher: Nature Publishing Group","page":"239-244","source":"www-nature-com.vu-nl.idm.oclc.org","title":"Globally resolved surface temperatures since the Last Glacial Maximum","volume":"599","author":[{"family":"Osman","given":"Matthew B."},{"family":"Tierney","given":"Jessica E."},{"family":"Zhu","given":"Jiang"},{"family":"Tardif","given":"Robert"},{"family":"Hakim","given":"Gregory J."},{"family":"King","given":"Jonathan"},{"family":"Poulsen","given":"Christopher J."}],"issued":{"date-parts":[["2021",11]]}}},{"id":7979,"uris":["http://zotero.org/users/2470179/items/8SXVAMRC"],"itemData":{"id":7979,"type":"article-journal","abstract":"The efﬁcacy of a novel ensemble data assimilation (DA) technique is examined in the climate ﬁeld reconstruction (CFR) of surface temperature. A minimalistic, computationally inexpensive DA technique is employed that requires only a static ensemble of climatologically plausible states. Pseudoproxy experiments are performed with both general circulation model (GCM) and Twentieth Century Reanalysis (20CR) data by reconstructing surface temperature ﬁelds from a sparse network of noisy pseudoproxies. The DA approach is compared to a conventional CFR approach based on principal component analysis (PCA) for experiments on global domains. DA outp</w:instrText>
      </w:r>
      <w:r w:rsidR="005A4F83" w:rsidRPr="005A4F83">
        <w:rPr>
          <w:sz w:val="22"/>
          <w:szCs w:val="22"/>
          <w:lang w:val="nl-NL"/>
        </w:rPr>
        <w:instrText xml:space="preserve">erforms PCA in reconstructing global-mean temperature in all experiments and is more consistent across experiments, with a range of time series correlations of 0.69–0.94 compared to 0.19–0.87 for the PCA method. DA improvements are even more evident in spatial reconstruction skill, especially in sparsely sampled pseudoproxy regions and for 20CR experiments. It is hypothesized that DA improves spatial reconstructions because it relies on coherent, spatially local temperature patterns, which remain robust even when glacial states are used to reconstruct nonglacial states and vice versa. These local relationships, as utilized by DA, appear to be more robust than the orthogonal patterns of variability utilized by PCA. Comparing results for GCM and 20CR data indicates that pseudoproxy experiments that rely solely on GCM data may give a false impression of reconstruction skill.","container-title":"Journal of Climate","DOI":"10.1175/JCLI-D-12-00693.1","ISSN":"0894-8755, 1520-0442","issue":"1","language":"en","page":"426-441","source":"DOI.org (Crossref)","title":"Assimilation of Time-Averaged Pseudoproxies for Climate Reconstruction","volume":"27","author":[{"family":"Steiger","given":"Nathan J."},{"family":"Hakim","given":"Gregory J."},{"family":"Steig","given":"Eric J."},{"family":"Battisti","given":"David S."},{"family":"Roe","given":"Gerard H."}],"issued":{"date-parts":[["2014",1,1]]}}}],"schema":"https://github.com/citation-style-language/schema/raw/master/csl-citation.json"} </w:instrText>
      </w:r>
      <w:r w:rsidR="00B9176A">
        <w:rPr>
          <w:sz w:val="22"/>
          <w:szCs w:val="22"/>
          <w:lang w:val="en-US"/>
        </w:rPr>
        <w:fldChar w:fldCharType="separate"/>
      </w:r>
      <w:r w:rsidR="005A4F83" w:rsidRPr="005A4F83">
        <w:rPr>
          <w:rFonts w:ascii="Aptos" w:hAnsi="Aptos"/>
          <w:sz w:val="22"/>
        </w:rPr>
        <w:t>(Hakim et al., 2016; Judd et al., 2024; Osman et al., 2021; Steiger et al., 2014)</w:t>
      </w:r>
      <w:r w:rsidR="00B9176A">
        <w:rPr>
          <w:sz w:val="22"/>
          <w:szCs w:val="22"/>
          <w:lang w:val="en-US"/>
        </w:rPr>
        <w:fldChar w:fldCharType="end"/>
      </w:r>
      <w:r w:rsidR="005A4F83" w:rsidRPr="005A4F83">
        <w:rPr>
          <w:sz w:val="22"/>
          <w:szCs w:val="22"/>
          <w:lang w:val="nl-NL"/>
        </w:rPr>
        <w:t>.</w:t>
      </w:r>
      <w:r w:rsidR="005A4F83">
        <w:rPr>
          <w:sz w:val="22"/>
          <w:szCs w:val="22"/>
          <w:lang w:val="nl-NL"/>
        </w:rPr>
        <w:t xml:space="preserve"> </w:t>
      </w:r>
      <w:r w:rsidR="005A4F83" w:rsidRPr="005A4F83">
        <w:rPr>
          <w:sz w:val="22"/>
          <w:szCs w:val="22"/>
          <w:lang w:val="en-GB"/>
        </w:rPr>
        <w:t xml:space="preserve">To apply Kalman filtering, we first calculated the </w:t>
      </w:r>
      <w:r w:rsidR="00EF2CE9">
        <w:rPr>
          <w:sz w:val="22"/>
          <w:szCs w:val="22"/>
          <w:lang w:val="en-GB"/>
        </w:rPr>
        <w:t xml:space="preserve">matrix </w:t>
      </w:r>
      <w:r w:rsidR="005A4F83">
        <w:rPr>
          <w:b/>
          <w:bCs/>
          <w:sz w:val="22"/>
          <w:szCs w:val="22"/>
          <w:lang w:val="en-GB"/>
        </w:rPr>
        <w:t>K</w:t>
      </w:r>
      <w:r w:rsidR="005A4F83">
        <w:rPr>
          <w:sz w:val="22"/>
          <w:szCs w:val="22"/>
          <w:lang w:val="en-GB"/>
        </w:rPr>
        <w:t xml:space="preserve"> from the prior covariance</w:t>
      </w:r>
      <w:r w:rsidR="00D17E14">
        <w:rPr>
          <w:sz w:val="22"/>
          <w:szCs w:val="22"/>
          <w:lang w:val="en-US"/>
        </w:rPr>
        <w:t>, the observation matrix and the uncertainty matrix:</w:t>
      </w:r>
    </w:p>
    <w:p w14:paraId="6A763B73" w14:textId="1615374E" w:rsidR="00D17E14" w:rsidRPr="00D17E14" w:rsidRDefault="00D17E14" w:rsidP="00825877">
      <w:pPr>
        <w:jc w:val="both"/>
        <w:rPr>
          <w:rFonts w:eastAsiaTheme="minorEastAsia"/>
          <w:b/>
          <w:bCs/>
          <w:sz w:val="22"/>
          <w:szCs w:val="22"/>
          <w:lang w:val="en-US"/>
        </w:rPr>
      </w:pPr>
      <m:oMathPara>
        <m:oMath>
          <m:r>
            <m:rPr>
              <m:sty m:val="bi"/>
            </m:rPr>
            <w:rPr>
              <w:rFonts w:ascii="Cambria Math" w:hAnsi="Cambria Math"/>
              <w:sz w:val="22"/>
              <w:szCs w:val="22"/>
              <w:lang w:val="en-US"/>
            </w:rPr>
            <m:t>K=</m:t>
          </m:r>
          <m:sSub>
            <m:sSubPr>
              <m:ctrlPr>
                <w:rPr>
                  <w:rFonts w:ascii="Cambria Math" w:hAnsi="Cambria Math"/>
                  <w:b/>
                  <w:bCs/>
                  <w:i/>
                  <w:sz w:val="22"/>
                  <w:szCs w:val="22"/>
                  <w:lang w:val="en-US"/>
                </w:rPr>
              </m:ctrlPr>
            </m:sSubPr>
            <m:e>
              <m:r>
                <m:rPr>
                  <m:sty m:val="bi"/>
                </m:rPr>
                <w:rPr>
                  <w:rFonts w:ascii="Cambria Math" w:hAnsi="Cambria Math"/>
                  <w:sz w:val="22"/>
                  <w:szCs w:val="22"/>
                  <w:lang w:val="en-US"/>
                </w:rPr>
                <m:t>COV</m:t>
              </m:r>
            </m:e>
            <m:sub>
              <m:r>
                <m:rPr>
                  <m:sty m:val="bi"/>
                </m:rPr>
                <w:rPr>
                  <w:rFonts w:ascii="Cambria Math" w:hAnsi="Cambria Math"/>
                  <w:sz w:val="22"/>
                  <w:szCs w:val="22"/>
                  <w:lang w:val="en-US"/>
                </w:rPr>
                <m:t>prior</m:t>
              </m:r>
            </m:sub>
          </m:sSub>
          <m:r>
            <m:rPr>
              <m:sty m:val="bi"/>
            </m:rPr>
            <w:rPr>
              <w:rFonts w:ascii="Cambria Math" w:hAnsi="Cambria Math"/>
              <w:sz w:val="22"/>
              <w:szCs w:val="22"/>
              <w:lang w:val="en-US"/>
            </w:rPr>
            <m:t>∙</m:t>
          </m:r>
          <m:sSup>
            <m:sSupPr>
              <m:ctrlPr>
                <w:rPr>
                  <w:rFonts w:ascii="Cambria Math" w:hAnsi="Cambria Math"/>
                  <w:b/>
                  <w:bCs/>
                  <w:i/>
                  <w:sz w:val="22"/>
                  <w:szCs w:val="22"/>
                  <w:lang w:val="en-US"/>
                </w:rPr>
              </m:ctrlPr>
            </m:sSupPr>
            <m:e>
              <m:sSub>
                <m:sSubPr>
                  <m:ctrlPr>
                    <w:rPr>
                      <w:rFonts w:ascii="Cambria Math" w:hAnsi="Cambria Math"/>
                      <w:b/>
                      <w:bCs/>
                      <w:i/>
                      <w:sz w:val="22"/>
                      <w:szCs w:val="22"/>
                      <w:lang w:val="en-US"/>
                    </w:rPr>
                  </m:ctrlPr>
                </m:sSubPr>
                <m:e>
                  <m:r>
                    <m:rPr>
                      <m:sty m:val="bi"/>
                    </m:rPr>
                    <w:rPr>
                      <w:rFonts w:ascii="Cambria Math" w:hAnsi="Cambria Math"/>
                      <w:sz w:val="22"/>
                      <w:szCs w:val="22"/>
                      <w:lang w:val="en-US"/>
                    </w:rPr>
                    <m:t>H</m:t>
                  </m:r>
                </m:e>
                <m:sub>
                  <m:r>
                    <m:rPr>
                      <m:sty m:val="bi"/>
                    </m:rPr>
                    <w:rPr>
                      <w:rFonts w:ascii="Cambria Math" w:hAnsi="Cambria Math"/>
                      <w:sz w:val="22"/>
                      <w:szCs w:val="22"/>
                      <w:lang w:val="en-US"/>
                    </w:rPr>
                    <m:t>obs</m:t>
                  </m:r>
                </m:sub>
              </m:sSub>
            </m:e>
            <m:sup>
              <m:r>
                <m:rPr>
                  <m:sty m:val="bi"/>
                </m:rPr>
                <w:rPr>
                  <w:rFonts w:ascii="Cambria Math" w:hAnsi="Cambria Math"/>
                  <w:sz w:val="22"/>
                  <w:szCs w:val="22"/>
                  <w:lang w:val="en-US"/>
                </w:rPr>
                <m:t>T</m:t>
              </m:r>
            </m:sup>
          </m:sSup>
          <m:r>
            <m:rPr>
              <m:sty m:val="bi"/>
            </m:rPr>
            <w:rPr>
              <w:rFonts w:ascii="Cambria Math" w:hAnsi="Cambria Math"/>
              <w:sz w:val="22"/>
              <w:szCs w:val="22"/>
              <w:lang w:val="en-US"/>
            </w:rPr>
            <m:t>∙</m:t>
          </m:r>
          <m:sSup>
            <m:sSupPr>
              <m:ctrlPr>
                <w:rPr>
                  <w:rFonts w:ascii="Cambria Math" w:hAnsi="Cambria Math"/>
                  <w:b/>
                  <w:bCs/>
                  <w:i/>
                  <w:sz w:val="22"/>
                  <w:szCs w:val="22"/>
                  <w:lang w:val="en-US"/>
                </w:rPr>
              </m:ctrlPr>
            </m:sSupPr>
            <m:e>
              <m:d>
                <m:dPr>
                  <m:ctrlPr>
                    <w:rPr>
                      <w:rFonts w:ascii="Cambria Math" w:hAnsi="Cambria Math"/>
                      <w:b/>
                      <w:bCs/>
                      <w:i/>
                      <w:sz w:val="22"/>
                      <w:szCs w:val="22"/>
                      <w:lang w:val="en-US"/>
                    </w:rPr>
                  </m:ctrlPr>
                </m:dPr>
                <m:e>
                  <m:sSub>
                    <m:sSubPr>
                      <m:ctrlPr>
                        <w:rPr>
                          <w:rFonts w:ascii="Cambria Math" w:hAnsi="Cambria Math"/>
                          <w:b/>
                          <w:bCs/>
                          <w:i/>
                          <w:sz w:val="22"/>
                          <w:szCs w:val="22"/>
                          <w:lang w:val="en-US"/>
                        </w:rPr>
                      </m:ctrlPr>
                    </m:sSubPr>
                    <m:e>
                      <m:sSub>
                        <m:sSubPr>
                          <m:ctrlPr>
                            <w:rPr>
                              <w:rFonts w:ascii="Cambria Math" w:hAnsi="Cambria Math"/>
                              <w:b/>
                              <w:bCs/>
                              <w:i/>
                              <w:sz w:val="22"/>
                              <w:szCs w:val="22"/>
                              <w:lang w:val="en-US"/>
                            </w:rPr>
                          </m:ctrlPr>
                        </m:sSubPr>
                        <m:e>
                          <m:r>
                            <m:rPr>
                              <m:sty m:val="bi"/>
                            </m:rPr>
                            <w:rPr>
                              <w:rFonts w:ascii="Cambria Math" w:hAnsi="Cambria Math"/>
                              <w:sz w:val="22"/>
                              <w:szCs w:val="22"/>
                              <w:lang w:val="en-US"/>
                            </w:rPr>
                            <m:t>H</m:t>
                          </m:r>
                        </m:e>
                        <m:sub>
                          <m:r>
                            <m:rPr>
                              <m:sty m:val="bi"/>
                            </m:rPr>
                            <w:rPr>
                              <w:rFonts w:ascii="Cambria Math" w:hAnsi="Cambria Math"/>
                              <w:sz w:val="22"/>
                              <w:szCs w:val="22"/>
                              <w:lang w:val="en-US"/>
                            </w:rPr>
                            <m:t>obs</m:t>
                          </m:r>
                        </m:sub>
                      </m:sSub>
                      <m:r>
                        <m:rPr>
                          <m:sty m:val="bi"/>
                        </m:rPr>
                        <w:rPr>
                          <w:rFonts w:ascii="Cambria Math" w:hAnsi="Cambria Math"/>
                          <w:sz w:val="22"/>
                          <w:szCs w:val="22"/>
                          <w:lang w:val="en-US"/>
                        </w:rPr>
                        <m:t>∙COV</m:t>
                      </m:r>
                    </m:e>
                    <m:sub>
                      <m:r>
                        <m:rPr>
                          <m:sty m:val="bi"/>
                        </m:rPr>
                        <w:rPr>
                          <w:rFonts w:ascii="Cambria Math" w:hAnsi="Cambria Math"/>
                          <w:sz w:val="22"/>
                          <w:szCs w:val="22"/>
                          <w:lang w:val="en-US"/>
                        </w:rPr>
                        <m:t>prior</m:t>
                      </m:r>
                    </m:sub>
                  </m:sSub>
                  <m:r>
                    <m:rPr>
                      <m:sty m:val="bi"/>
                    </m:rPr>
                    <w:rPr>
                      <w:rFonts w:ascii="Cambria Math" w:hAnsi="Cambria Math"/>
                      <w:sz w:val="22"/>
                      <w:szCs w:val="22"/>
                      <w:lang w:val="en-US"/>
                    </w:rPr>
                    <m:t>∙</m:t>
                  </m:r>
                  <m:sSup>
                    <m:sSupPr>
                      <m:ctrlPr>
                        <w:rPr>
                          <w:rFonts w:ascii="Cambria Math" w:hAnsi="Cambria Math"/>
                          <w:b/>
                          <w:bCs/>
                          <w:i/>
                          <w:sz w:val="22"/>
                          <w:szCs w:val="22"/>
                          <w:lang w:val="en-US"/>
                        </w:rPr>
                      </m:ctrlPr>
                    </m:sSupPr>
                    <m:e>
                      <m:sSub>
                        <m:sSubPr>
                          <m:ctrlPr>
                            <w:rPr>
                              <w:rFonts w:ascii="Cambria Math" w:hAnsi="Cambria Math"/>
                              <w:b/>
                              <w:bCs/>
                              <w:i/>
                              <w:sz w:val="22"/>
                              <w:szCs w:val="22"/>
                              <w:lang w:val="en-US"/>
                            </w:rPr>
                          </m:ctrlPr>
                        </m:sSubPr>
                        <m:e>
                          <m:r>
                            <m:rPr>
                              <m:sty m:val="bi"/>
                            </m:rPr>
                            <w:rPr>
                              <w:rFonts w:ascii="Cambria Math" w:hAnsi="Cambria Math"/>
                              <w:sz w:val="22"/>
                              <w:szCs w:val="22"/>
                              <w:lang w:val="en-US"/>
                            </w:rPr>
                            <m:t>H</m:t>
                          </m:r>
                        </m:e>
                        <m:sub>
                          <m:r>
                            <m:rPr>
                              <m:sty m:val="bi"/>
                            </m:rPr>
                            <w:rPr>
                              <w:rFonts w:ascii="Cambria Math" w:hAnsi="Cambria Math"/>
                              <w:sz w:val="22"/>
                              <w:szCs w:val="22"/>
                              <w:lang w:val="en-US"/>
                            </w:rPr>
                            <m:t>obs</m:t>
                          </m:r>
                        </m:sub>
                      </m:sSub>
                    </m:e>
                    <m:sup>
                      <m:r>
                        <m:rPr>
                          <m:sty m:val="bi"/>
                        </m:rPr>
                        <w:rPr>
                          <w:rFonts w:ascii="Cambria Math" w:hAnsi="Cambria Math"/>
                          <w:sz w:val="22"/>
                          <w:szCs w:val="22"/>
                          <w:lang w:val="en-US"/>
                        </w:rPr>
                        <m:t>T</m:t>
                      </m:r>
                    </m:sup>
                  </m:sSup>
                  <m:r>
                    <m:rPr>
                      <m:sty m:val="bi"/>
                    </m:rPr>
                    <w:rPr>
                      <w:rFonts w:ascii="Cambria Math" w:hAnsi="Cambria Math"/>
                      <w:sz w:val="22"/>
                      <w:szCs w:val="22"/>
                      <w:lang w:val="en-US"/>
                    </w:rPr>
                    <m:t>+</m:t>
                  </m:r>
                  <m:sSub>
                    <m:sSubPr>
                      <m:ctrlPr>
                        <w:rPr>
                          <w:rFonts w:ascii="Cambria Math" w:hAnsi="Cambria Math"/>
                          <w:b/>
                          <w:bCs/>
                          <w:i/>
                          <w:sz w:val="22"/>
                          <w:szCs w:val="22"/>
                          <w:lang w:val="en-US"/>
                        </w:rPr>
                      </m:ctrlPr>
                    </m:sSubPr>
                    <m:e>
                      <m:r>
                        <m:rPr>
                          <m:sty m:val="bi"/>
                        </m:rPr>
                        <w:rPr>
                          <w:rFonts w:ascii="Cambria Math" w:hAnsi="Cambria Math"/>
                          <w:sz w:val="22"/>
                          <w:szCs w:val="22"/>
                          <w:lang w:val="en-US"/>
                        </w:rPr>
                        <m:t>R</m:t>
                      </m:r>
                    </m:e>
                    <m:sub>
                      <m:r>
                        <m:rPr>
                          <m:sty m:val="bi"/>
                        </m:rPr>
                        <w:rPr>
                          <w:rFonts w:ascii="Cambria Math" w:hAnsi="Cambria Math"/>
                          <w:sz w:val="22"/>
                          <w:szCs w:val="22"/>
                          <w:lang w:val="en-US"/>
                        </w:rPr>
                        <m:t>obs</m:t>
                      </m:r>
                    </m:sub>
                  </m:sSub>
                </m:e>
              </m:d>
            </m:e>
            <m:sup>
              <m:r>
                <m:rPr>
                  <m:sty m:val="bi"/>
                </m:rPr>
                <w:rPr>
                  <w:rFonts w:ascii="Cambria Math" w:hAnsi="Cambria Math"/>
                  <w:sz w:val="22"/>
                  <w:szCs w:val="22"/>
                  <w:lang w:val="en-US"/>
                </w:rPr>
                <m:t>-1</m:t>
              </m:r>
            </m:sup>
          </m:sSup>
        </m:oMath>
      </m:oMathPara>
    </w:p>
    <w:p w14:paraId="6F60BA95" w14:textId="3EBF96FF" w:rsidR="00D17E14" w:rsidRDefault="00D17E14" w:rsidP="00825877">
      <w:pPr>
        <w:jc w:val="both"/>
        <w:rPr>
          <w:rFonts w:eastAsiaTheme="minorEastAsia"/>
          <w:bCs/>
          <w:sz w:val="22"/>
          <w:szCs w:val="22"/>
          <w:lang w:val="en-US"/>
        </w:rPr>
      </w:pPr>
      <w:r>
        <w:rPr>
          <w:rFonts w:eastAsiaTheme="minorEastAsia"/>
          <w:sz w:val="22"/>
          <w:szCs w:val="22"/>
          <w:lang w:val="en-US"/>
        </w:rPr>
        <w:t xml:space="preserve">The </w:t>
      </w:r>
      <w:r w:rsidR="00EF2CE9">
        <w:rPr>
          <w:rFonts w:eastAsiaTheme="minorEastAsia"/>
          <w:sz w:val="22"/>
          <w:szCs w:val="22"/>
          <w:lang w:val="en-US"/>
        </w:rPr>
        <w:t>K-matrix</w:t>
      </w:r>
      <w:r>
        <w:rPr>
          <w:rFonts w:eastAsiaTheme="minorEastAsia"/>
          <w:sz w:val="22"/>
          <w:szCs w:val="22"/>
          <w:lang w:val="en-US"/>
        </w:rPr>
        <w:t xml:space="preserve"> </w:t>
      </w:r>
      <w:r w:rsidR="00DE1E1D">
        <w:rPr>
          <w:rFonts w:eastAsiaTheme="minorEastAsia"/>
          <w:sz w:val="22"/>
          <w:szCs w:val="22"/>
          <w:lang w:val="en-US"/>
        </w:rPr>
        <w:t>is a matrix with dimensions opposite to the observation matrix (48 * 24)</w:t>
      </w:r>
      <w:r w:rsidR="00EF2CE9">
        <w:rPr>
          <w:rFonts w:eastAsiaTheme="minorEastAsia"/>
          <w:sz w:val="22"/>
          <w:szCs w:val="22"/>
          <w:lang w:val="en-US"/>
        </w:rPr>
        <w:t>.</w:t>
      </w:r>
      <w:r w:rsidR="00DE1E1D">
        <w:rPr>
          <w:rFonts w:eastAsiaTheme="minorEastAsia"/>
          <w:sz w:val="22"/>
          <w:szCs w:val="22"/>
          <w:lang w:val="en-US"/>
        </w:rPr>
        <w:t xml:space="preserve"> </w:t>
      </w:r>
      <w:r w:rsidR="00EF2CE9">
        <w:rPr>
          <w:rFonts w:eastAsiaTheme="minorEastAsia"/>
          <w:sz w:val="22"/>
          <w:szCs w:val="22"/>
          <w:lang w:val="en-US"/>
        </w:rPr>
        <w:t>It</w:t>
      </w:r>
      <w:r w:rsidR="00DE1E1D">
        <w:rPr>
          <w:rFonts w:eastAsiaTheme="minorEastAsia"/>
          <w:sz w:val="22"/>
          <w:szCs w:val="22"/>
          <w:lang w:val="en-US"/>
        </w:rPr>
        <w:t xml:space="preserve"> links the uncertainty in the reconstructions (</w:t>
      </w:r>
      <w:r w:rsidR="00DE1E1D">
        <w:rPr>
          <w:rFonts w:eastAsiaTheme="minorEastAsia"/>
          <w:b/>
          <w:bCs/>
          <w:sz w:val="22"/>
          <w:szCs w:val="22"/>
          <w:lang w:val="en-US"/>
        </w:rPr>
        <w:t>R</w:t>
      </w:r>
      <w:r w:rsidR="00DE1E1D">
        <w:rPr>
          <w:rFonts w:eastAsiaTheme="minorEastAsia"/>
          <w:b/>
          <w:bCs/>
          <w:sz w:val="22"/>
          <w:szCs w:val="22"/>
          <w:vertAlign w:val="subscript"/>
          <w:lang w:val="en-US"/>
        </w:rPr>
        <w:t>obs</w:t>
      </w:r>
      <w:r w:rsidR="00DE1E1D">
        <w:rPr>
          <w:rFonts w:eastAsiaTheme="minorEastAsia"/>
          <w:bCs/>
          <w:sz w:val="22"/>
          <w:szCs w:val="22"/>
          <w:lang w:val="en-US"/>
        </w:rPr>
        <w:t>) to the covariance in the models (</w:t>
      </w:r>
      <w:proofErr w:type="spellStart"/>
      <w:r w:rsidR="00DE1E1D">
        <w:rPr>
          <w:rFonts w:eastAsiaTheme="minorEastAsia"/>
          <w:b/>
          <w:sz w:val="22"/>
          <w:szCs w:val="22"/>
          <w:lang w:val="en-US"/>
        </w:rPr>
        <w:t>COV</w:t>
      </w:r>
      <w:r w:rsidR="00DE1E1D" w:rsidRPr="00DE1E1D">
        <w:rPr>
          <w:rFonts w:eastAsiaTheme="minorEastAsia"/>
          <w:b/>
          <w:sz w:val="22"/>
          <w:szCs w:val="22"/>
          <w:vertAlign w:val="subscript"/>
          <w:lang w:val="en-US"/>
        </w:rPr>
        <w:t>prior</w:t>
      </w:r>
      <w:proofErr w:type="spellEnd"/>
      <w:r w:rsidR="00DE1E1D">
        <w:rPr>
          <w:rFonts w:eastAsiaTheme="minorEastAsia"/>
          <w:bCs/>
          <w:sz w:val="22"/>
          <w:szCs w:val="22"/>
          <w:lang w:val="en-US"/>
        </w:rPr>
        <w:t>)</w:t>
      </w:r>
      <w:r w:rsidR="00BF3E88">
        <w:rPr>
          <w:rFonts w:eastAsiaTheme="minorEastAsia"/>
          <w:bCs/>
          <w:sz w:val="22"/>
          <w:szCs w:val="22"/>
          <w:lang w:val="en-US"/>
        </w:rPr>
        <w:t xml:space="preserve"> and the connection between reconstructions and model parameters (</w:t>
      </w:r>
      <w:r w:rsidR="00BF3E88">
        <w:rPr>
          <w:rFonts w:eastAsiaTheme="minorEastAsia"/>
          <w:b/>
          <w:bCs/>
          <w:sz w:val="22"/>
          <w:szCs w:val="22"/>
          <w:lang w:val="en-US"/>
        </w:rPr>
        <w:t>H</w:t>
      </w:r>
      <w:r w:rsidR="00BF3E88">
        <w:rPr>
          <w:rFonts w:eastAsiaTheme="minorEastAsia"/>
          <w:b/>
          <w:bCs/>
          <w:sz w:val="22"/>
          <w:szCs w:val="22"/>
          <w:vertAlign w:val="subscript"/>
          <w:lang w:val="en-US"/>
        </w:rPr>
        <w:t>obs</w:t>
      </w:r>
      <w:r w:rsidR="00BF3E88">
        <w:rPr>
          <w:rFonts w:eastAsiaTheme="minorEastAsia"/>
          <w:bCs/>
          <w:sz w:val="22"/>
          <w:szCs w:val="22"/>
          <w:lang w:val="en-US"/>
        </w:rPr>
        <w:t xml:space="preserve">) to “distribute” the new information gained by the reconstructions over the model parameters. To do so, first the </w:t>
      </w:r>
      <w:r w:rsidR="00BF3E88">
        <w:rPr>
          <w:rFonts w:eastAsiaTheme="minorEastAsia"/>
          <w:b/>
          <w:sz w:val="22"/>
          <w:szCs w:val="22"/>
          <w:lang w:val="en-US"/>
        </w:rPr>
        <w:t>innovation</w:t>
      </w:r>
      <w:r w:rsidR="00BF3E88">
        <w:rPr>
          <w:rFonts w:eastAsiaTheme="minorEastAsia"/>
          <w:bCs/>
          <w:sz w:val="22"/>
          <w:szCs w:val="22"/>
          <w:lang w:val="en-US"/>
        </w:rPr>
        <w:t xml:space="preserve"> is calculated. The innovation</w:t>
      </w:r>
      <w:r w:rsidR="00EF2CE9">
        <w:rPr>
          <w:rFonts w:eastAsiaTheme="minorEastAsia"/>
          <w:bCs/>
          <w:sz w:val="22"/>
          <w:szCs w:val="22"/>
          <w:lang w:val="en-US"/>
        </w:rPr>
        <w:t xml:space="preserve"> represents this “new information” that is gained by adding the reconstructions to the assimilation and</w:t>
      </w:r>
      <w:r w:rsidR="00BF3E88">
        <w:rPr>
          <w:rFonts w:eastAsiaTheme="minorEastAsia"/>
          <w:bCs/>
          <w:sz w:val="22"/>
          <w:szCs w:val="22"/>
          <w:lang w:val="en-US"/>
        </w:rPr>
        <w:t xml:space="preserve"> is defined as the difference between the reconstructions and the </w:t>
      </w:r>
      <w:r w:rsidR="00EF2CE9">
        <w:rPr>
          <w:rFonts w:eastAsiaTheme="minorEastAsia"/>
          <w:bCs/>
          <w:sz w:val="22"/>
          <w:szCs w:val="22"/>
          <w:lang w:val="en-US"/>
        </w:rPr>
        <w:t>model predictions for the same parameters:</w:t>
      </w:r>
    </w:p>
    <w:p w14:paraId="4D3DC454" w14:textId="774F7CE6" w:rsidR="00EF2CE9" w:rsidRPr="00EF2CE9" w:rsidRDefault="00EF2CE9" w:rsidP="00825877">
      <w:pPr>
        <w:jc w:val="both"/>
        <w:rPr>
          <w:rFonts w:eastAsiaTheme="minorEastAsia"/>
          <w:bCs/>
          <w:sz w:val="22"/>
          <w:szCs w:val="22"/>
          <w:lang w:val="en-US"/>
        </w:rPr>
      </w:pPr>
      <m:oMathPara>
        <m:oMath>
          <m:r>
            <w:rPr>
              <w:rFonts w:ascii="Cambria Math" w:eastAsiaTheme="minorEastAsia" w:hAnsi="Cambria Math"/>
              <w:sz w:val="22"/>
              <w:szCs w:val="22"/>
              <w:lang w:val="en-US"/>
            </w:rPr>
            <m:t>innovation=</m:t>
          </m:r>
          <m:sSub>
            <m:sSubPr>
              <m:ctrlPr>
                <w:rPr>
                  <w:rFonts w:ascii="Cambria Math" w:eastAsiaTheme="minorEastAsia" w:hAnsi="Cambria Math"/>
                  <w:bCs/>
                  <w:i/>
                  <w:sz w:val="22"/>
                  <w:szCs w:val="22"/>
                  <w:lang w:val="en-US"/>
                </w:rPr>
              </m:ctrlPr>
            </m:sSubPr>
            <m:e>
              <m:r>
                <w:rPr>
                  <w:rFonts w:ascii="Cambria Math" w:eastAsiaTheme="minorEastAsia" w:hAnsi="Cambria Math"/>
                  <w:sz w:val="22"/>
                  <w:szCs w:val="22"/>
                  <w:lang w:val="en-US"/>
                </w:rPr>
                <m:t>Z</m:t>
              </m:r>
            </m:e>
            <m:sub>
              <m:r>
                <w:rPr>
                  <w:rFonts w:ascii="Cambria Math" w:eastAsiaTheme="minorEastAsia" w:hAnsi="Cambria Math"/>
                  <w:sz w:val="22"/>
                  <w:szCs w:val="22"/>
                  <w:lang w:val="en-US"/>
                </w:rPr>
                <m:t>obs</m:t>
              </m:r>
            </m:sub>
          </m:sSub>
          <m:r>
            <w:rPr>
              <w:rFonts w:ascii="Cambria Math" w:eastAsiaTheme="minorEastAsia" w:hAnsi="Cambria Math"/>
              <w:sz w:val="22"/>
              <w:szCs w:val="22"/>
              <w:lang w:val="en-US"/>
            </w:rPr>
            <m:t>-</m:t>
          </m:r>
          <m:acc>
            <m:accPr>
              <m:ctrlPr>
                <w:rPr>
                  <w:rFonts w:ascii="Cambria Math" w:eastAsiaTheme="minorEastAsia" w:hAnsi="Cambria Math"/>
                  <w:bCs/>
                  <w:i/>
                  <w:sz w:val="22"/>
                  <w:szCs w:val="22"/>
                  <w:lang w:val="en-US"/>
                </w:rPr>
              </m:ctrlPr>
            </m:accPr>
            <m:e>
              <m:r>
                <w:rPr>
                  <w:rFonts w:ascii="Cambria Math" w:eastAsiaTheme="minorEastAsia" w:hAnsi="Cambria Math"/>
                  <w:sz w:val="22"/>
                  <w:szCs w:val="22"/>
                  <w:lang w:val="en-US"/>
                </w:rPr>
                <m:t>Y</m:t>
              </m:r>
            </m:e>
          </m:acc>
        </m:oMath>
      </m:oMathPara>
    </w:p>
    <w:p w14:paraId="1A86E9CA" w14:textId="537263D3" w:rsidR="00EF2CE9" w:rsidRDefault="00EF2CE9" w:rsidP="00825877">
      <w:pPr>
        <w:jc w:val="both"/>
        <w:rPr>
          <w:rFonts w:eastAsiaTheme="minorEastAsia"/>
          <w:bCs/>
          <w:sz w:val="22"/>
          <w:szCs w:val="22"/>
          <w:lang w:val="en-US"/>
        </w:rPr>
      </w:pPr>
      <w:r>
        <w:rPr>
          <w:rFonts w:eastAsiaTheme="minorEastAsia"/>
          <w:bCs/>
          <w:sz w:val="22"/>
          <w:szCs w:val="22"/>
          <w:lang w:val="en-US"/>
        </w:rPr>
        <w:t>With:</w:t>
      </w:r>
    </w:p>
    <w:p w14:paraId="47560F5C" w14:textId="49382C1B" w:rsidR="00EF2CE9" w:rsidRPr="00EF2CE9" w:rsidRDefault="00000000" w:rsidP="00825877">
      <w:pPr>
        <w:jc w:val="both"/>
        <w:rPr>
          <w:rFonts w:eastAsiaTheme="minorEastAsia"/>
          <w:bCs/>
          <w:sz w:val="22"/>
          <w:szCs w:val="22"/>
          <w:lang w:val="en-US"/>
        </w:rPr>
      </w:pPr>
      <m:oMathPara>
        <m:oMath>
          <m:acc>
            <m:accPr>
              <m:ctrlPr>
                <w:rPr>
                  <w:rFonts w:ascii="Cambria Math" w:eastAsiaTheme="minorEastAsia" w:hAnsi="Cambria Math"/>
                  <w:bCs/>
                  <w:i/>
                  <w:sz w:val="22"/>
                  <w:szCs w:val="22"/>
                  <w:lang w:val="en-US"/>
                </w:rPr>
              </m:ctrlPr>
            </m:accPr>
            <m:e>
              <m:r>
                <w:rPr>
                  <w:rFonts w:ascii="Cambria Math" w:eastAsiaTheme="minorEastAsia" w:hAnsi="Cambria Math"/>
                  <w:sz w:val="22"/>
                  <w:szCs w:val="22"/>
                  <w:lang w:val="en-US"/>
                </w:rPr>
                <m:t>Y</m:t>
              </m:r>
            </m:e>
          </m:acc>
          <m:r>
            <w:rPr>
              <w:rFonts w:ascii="Cambria Math" w:eastAsiaTheme="minorEastAsia" w:hAnsi="Cambria Math"/>
              <w:sz w:val="22"/>
              <w:szCs w:val="22"/>
              <w:lang w:val="en-US"/>
            </w:rPr>
            <m:t>=</m:t>
          </m:r>
          <m:sSub>
            <m:sSubPr>
              <m:ctrlPr>
                <w:rPr>
                  <w:rFonts w:ascii="Cambria Math" w:hAnsi="Cambria Math"/>
                  <w:b/>
                  <w:bCs/>
                  <w:i/>
                  <w:sz w:val="22"/>
                  <w:szCs w:val="22"/>
                  <w:lang w:val="en-US"/>
                </w:rPr>
              </m:ctrlPr>
            </m:sSubPr>
            <m:e>
              <m:r>
                <m:rPr>
                  <m:sty m:val="bi"/>
                </m:rPr>
                <w:rPr>
                  <w:rFonts w:ascii="Cambria Math" w:hAnsi="Cambria Math"/>
                  <w:sz w:val="22"/>
                  <w:szCs w:val="22"/>
                  <w:lang w:val="en-US"/>
                </w:rPr>
                <m:t>H</m:t>
              </m:r>
            </m:e>
            <m:sub>
              <m:r>
                <m:rPr>
                  <m:sty m:val="bi"/>
                </m:rPr>
                <w:rPr>
                  <w:rFonts w:ascii="Cambria Math" w:hAnsi="Cambria Math"/>
                  <w:sz w:val="22"/>
                  <w:szCs w:val="22"/>
                  <w:lang w:val="en-US"/>
                </w:rPr>
                <m:t>obs</m:t>
              </m:r>
            </m:sub>
          </m:sSub>
          <m:r>
            <m:rPr>
              <m:sty m:val="bi"/>
            </m:rPr>
            <w:rPr>
              <w:rFonts w:ascii="Cambria Math" w:hAnsi="Cambria Math"/>
              <w:sz w:val="22"/>
              <w:szCs w:val="22"/>
              <w:lang w:val="en-US"/>
            </w:rPr>
            <m:t>∙</m:t>
          </m:r>
          <m:sSub>
            <m:sSubPr>
              <m:ctrlPr>
                <w:rPr>
                  <w:rFonts w:ascii="Cambria Math" w:hAnsi="Cambria Math"/>
                  <w:b/>
                  <w:bCs/>
                  <w:i/>
                  <w:sz w:val="22"/>
                  <w:szCs w:val="22"/>
                  <w:lang w:val="en-US"/>
                </w:rPr>
              </m:ctrlPr>
            </m:sSubPr>
            <m:e>
              <m:r>
                <m:rPr>
                  <m:sty m:val="bi"/>
                </m:rPr>
                <w:rPr>
                  <w:rFonts w:ascii="Cambria Math" w:hAnsi="Cambria Math"/>
                  <w:sz w:val="22"/>
                  <w:szCs w:val="22"/>
                  <w:lang w:val="en-US"/>
                </w:rPr>
                <m:t>M</m:t>
              </m:r>
            </m:e>
            <m:sub>
              <m:r>
                <m:rPr>
                  <m:sty m:val="bi"/>
                </m:rPr>
                <w:rPr>
                  <w:rFonts w:ascii="Cambria Math" w:hAnsi="Cambria Math"/>
                  <w:sz w:val="22"/>
                  <w:szCs w:val="22"/>
                  <w:lang w:val="en-US"/>
                </w:rPr>
                <m:t>prior</m:t>
              </m:r>
            </m:sub>
          </m:sSub>
        </m:oMath>
      </m:oMathPara>
    </w:p>
    <w:p w14:paraId="4EDB9F42" w14:textId="421CABD7" w:rsidR="00D17E14" w:rsidRDefault="00EF2CE9" w:rsidP="00825877">
      <w:pPr>
        <w:jc w:val="both"/>
        <w:rPr>
          <w:sz w:val="22"/>
          <w:szCs w:val="22"/>
          <w:lang w:val="en-US"/>
        </w:rPr>
      </w:pPr>
      <w:r>
        <w:rPr>
          <w:sz w:val="22"/>
          <w:szCs w:val="22"/>
          <w:lang w:val="en-US"/>
        </w:rPr>
        <w:t xml:space="preserve">The innovation is a vector with the same length as the measurement matrix. Finally, the </w:t>
      </w:r>
      <w:r w:rsidRPr="00EF2CE9">
        <w:rPr>
          <w:b/>
          <w:bCs/>
          <w:sz w:val="22"/>
          <w:szCs w:val="22"/>
          <w:lang w:val="en-US"/>
        </w:rPr>
        <w:t>Kalman gain</w:t>
      </w:r>
      <w:r>
        <w:rPr>
          <w:sz w:val="22"/>
          <w:szCs w:val="22"/>
          <w:lang w:val="en-US"/>
        </w:rPr>
        <w:t xml:space="preserve"> is calculated by multiplying the K-matrix with the innovation:</w:t>
      </w:r>
    </w:p>
    <w:p w14:paraId="3FA51F37" w14:textId="0D52036D" w:rsidR="00EF2CE9" w:rsidRPr="00EF2CE9" w:rsidRDefault="00EF2CE9" w:rsidP="00EF2CE9">
      <w:pPr>
        <w:jc w:val="both"/>
        <w:rPr>
          <w:rFonts w:eastAsiaTheme="minorEastAsia"/>
          <w:bCs/>
          <w:sz w:val="22"/>
          <w:szCs w:val="22"/>
          <w:lang w:val="en-US"/>
        </w:rPr>
      </w:pPr>
      <m:oMathPara>
        <m:oMath>
          <m:r>
            <w:rPr>
              <w:rFonts w:ascii="Cambria Math" w:eastAsiaTheme="minorEastAsia" w:hAnsi="Cambria Math"/>
              <w:sz w:val="22"/>
              <w:szCs w:val="22"/>
              <w:lang w:val="en-US"/>
            </w:rPr>
            <m:t>Kalman gain=K∙innovation</m:t>
          </m:r>
        </m:oMath>
      </m:oMathPara>
    </w:p>
    <w:p w14:paraId="36559B1B" w14:textId="1220D0BA" w:rsidR="00EF2CE9" w:rsidRDefault="00EF2CE9" w:rsidP="00825877">
      <w:pPr>
        <w:jc w:val="both"/>
        <w:rPr>
          <w:sz w:val="22"/>
          <w:szCs w:val="22"/>
          <w:lang w:val="en-US"/>
        </w:rPr>
      </w:pPr>
      <w:r>
        <w:rPr>
          <w:sz w:val="22"/>
          <w:szCs w:val="22"/>
          <w:lang w:val="en-US"/>
        </w:rPr>
        <w:t>The Kalman gain is a vector with the same length as the state vector (</w:t>
      </w:r>
      <w:proofErr w:type="spellStart"/>
      <w:r>
        <w:rPr>
          <w:b/>
          <w:bCs/>
          <w:sz w:val="22"/>
          <w:szCs w:val="22"/>
          <w:lang w:val="en-US"/>
        </w:rPr>
        <w:t>M</w:t>
      </w:r>
      <w:r w:rsidRPr="00EF2CE9">
        <w:rPr>
          <w:b/>
          <w:bCs/>
          <w:sz w:val="22"/>
          <w:szCs w:val="22"/>
          <w:vertAlign w:val="subscript"/>
          <w:lang w:val="en-US"/>
        </w:rPr>
        <w:t>prior</w:t>
      </w:r>
      <w:proofErr w:type="spellEnd"/>
      <w:r>
        <w:rPr>
          <w:sz w:val="22"/>
          <w:szCs w:val="22"/>
          <w:lang w:val="en-US"/>
        </w:rPr>
        <w:t>) and can therefore be used to directly update the state vector to obtain the posterior state vector (</w:t>
      </w:r>
      <w:proofErr w:type="spellStart"/>
      <w:r>
        <w:rPr>
          <w:b/>
          <w:bCs/>
          <w:sz w:val="22"/>
          <w:szCs w:val="22"/>
          <w:lang w:val="en-US"/>
        </w:rPr>
        <w:t>M</w:t>
      </w:r>
      <w:r w:rsidRPr="00EF2CE9">
        <w:rPr>
          <w:b/>
          <w:bCs/>
          <w:sz w:val="22"/>
          <w:szCs w:val="22"/>
          <w:vertAlign w:val="subscript"/>
          <w:lang w:val="en-US"/>
        </w:rPr>
        <w:t>post</w:t>
      </w:r>
      <w:proofErr w:type="spellEnd"/>
      <w:r>
        <w:rPr>
          <w:sz w:val="22"/>
          <w:szCs w:val="22"/>
          <w:lang w:val="en-US"/>
        </w:rPr>
        <w:t>):</w:t>
      </w:r>
    </w:p>
    <w:p w14:paraId="3ED3FD3E" w14:textId="2449F5E4" w:rsidR="00EF2CE9" w:rsidRPr="00C34200" w:rsidRDefault="00000000" w:rsidP="00825877">
      <w:pPr>
        <w:jc w:val="both"/>
        <w:rPr>
          <w:rFonts w:eastAsiaTheme="minorEastAsia"/>
          <w:sz w:val="22"/>
          <w:szCs w:val="22"/>
          <w:lang w:val="en-US"/>
        </w:rPr>
      </w:pPr>
      <m:oMathPara>
        <m:oMath>
          <m:sSub>
            <m:sSubPr>
              <m:ctrlPr>
                <w:rPr>
                  <w:rFonts w:ascii="Cambria Math" w:hAnsi="Cambria Math"/>
                  <w:i/>
                  <w:sz w:val="22"/>
                  <w:szCs w:val="22"/>
                  <w:lang w:val="en-US"/>
                </w:rPr>
              </m:ctrlPr>
            </m:sSubPr>
            <m:e>
              <m:r>
                <w:rPr>
                  <w:rFonts w:ascii="Cambria Math" w:hAnsi="Cambria Math"/>
                  <w:sz w:val="22"/>
                  <w:szCs w:val="22"/>
                  <w:lang w:val="en-US"/>
                </w:rPr>
                <m:t>M</m:t>
              </m:r>
            </m:e>
            <m:sub>
              <m:r>
                <w:rPr>
                  <w:rFonts w:ascii="Cambria Math" w:hAnsi="Cambria Math"/>
                  <w:sz w:val="22"/>
                  <w:szCs w:val="22"/>
                  <w:lang w:val="en-US"/>
                </w:rPr>
                <m:t>post</m:t>
              </m:r>
            </m:sub>
          </m:sSub>
          <m:r>
            <w:rPr>
              <w:rFonts w:ascii="Cambria Math" w:hAnsi="Cambria Math"/>
              <w:sz w:val="22"/>
              <w:szCs w:val="22"/>
              <w:lang w:val="en-US"/>
            </w:rPr>
            <m:t>=</m:t>
          </m:r>
          <m:sSub>
            <m:sSubPr>
              <m:ctrlPr>
                <w:rPr>
                  <w:rFonts w:ascii="Cambria Math" w:hAnsi="Cambria Math"/>
                  <w:i/>
                  <w:sz w:val="22"/>
                  <w:szCs w:val="22"/>
                  <w:lang w:val="en-US"/>
                </w:rPr>
              </m:ctrlPr>
            </m:sSubPr>
            <m:e>
              <m:r>
                <w:rPr>
                  <w:rFonts w:ascii="Cambria Math" w:hAnsi="Cambria Math"/>
                  <w:sz w:val="22"/>
                  <w:szCs w:val="22"/>
                  <w:lang w:val="en-US"/>
                </w:rPr>
                <m:t>M</m:t>
              </m:r>
            </m:e>
            <m:sub>
              <m:r>
                <w:rPr>
                  <w:rFonts w:ascii="Cambria Math" w:hAnsi="Cambria Math"/>
                  <w:sz w:val="22"/>
                  <w:szCs w:val="22"/>
                  <w:lang w:val="en-US"/>
                </w:rPr>
                <m:t>prior</m:t>
              </m:r>
            </m:sub>
          </m:sSub>
          <m:r>
            <w:rPr>
              <w:rFonts w:ascii="Cambria Math" w:hAnsi="Cambria Math"/>
              <w:sz w:val="22"/>
              <w:szCs w:val="22"/>
              <w:lang w:val="en-US"/>
            </w:rPr>
            <m:t>+Kalman gain</m:t>
          </m:r>
        </m:oMath>
      </m:oMathPara>
    </w:p>
    <w:p w14:paraId="53EFBAE1" w14:textId="0098CC5F" w:rsidR="00C34200" w:rsidRPr="00C34200" w:rsidRDefault="00C34200" w:rsidP="00825877">
      <w:pPr>
        <w:jc w:val="both"/>
        <w:rPr>
          <w:rFonts w:eastAsiaTheme="minorEastAsia"/>
          <w:sz w:val="22"/>
          <w:szCs w:val="22"/>
          <w:lang w:val="en-US"/>
        </w:rPr>
      </w:pPr>
      <w:r>
        <w:rPr>
          <w:sz w:val="22"/>
          <w:szCs w:val="22"/>
          <w:lang w:val="en-US"/>
        </w:rPr>
        <w:lastRenderedPageBreak/>
        <w:t>The posterior covariance matrix (</w:t>
      </w:r>
      <w:proofErr w:type="spellStart"/>
      <w:r>
        <w:rPr>
          <w:b/>
          <w:bCs/>
          <w:sz w:val="22"/>
          <w:szCs w:val="22"/>
          <w:lang w:val="en-US"/>
        </w:rPr>
        <w:t>COV</w:t>
      </w:r>
      <w:r w:rsidRPr="00EF2CE9">
        <w:rPr>
          <w:b/>
          <w:bCs/>
          <w:sz w:val="22"/>
          <w:szCs w:val="22"/>
          <w:vertAlign w:val="subscript"/>
          <w:lang w:val="en-US"/>
        </w:rPr>
        <w:t>post</w:t>
      </w:r>
      <w:proofErr w:type="spellEnd"/>
      <w:r>
        <w:rPr>
          <w:sz w:val="22"/>
          <w:szCs w:val="22"/>
          <w:lang w:val="en-US"/>
        </w:rPr>
        <w:t>) is obtained by updating the prior covariance matrix with the innovation in terms of estimate uncertainty which follows from combining the K-matrix with the prior covariance matrix:</w:t>
      </w:r>
    </w:p>
    <w:p w14:paraId="4D5C4C26" w14:textId="28286DF7" w:rsidR="00C34200" w:rsidRPr="00C34200" w:rsidRDefault="00000000" w:rsidP="00C34200">
      <w:pPr>
        <w:jc w:val="both"/>
        <w:rPr>
          <w:rFonts w:eastAsiaTheme="minorEastAsia"/>
          <w:sz w:val="22"/>
          <w:szCs w:val="22"/>
          <w:lang w:val="en-US"/>
        </w:rPr>
      </w:pPr>
      <m:oMathPara>
        <m:oMath>
          <m:sSub>
            <m:sSubPr>
              <m:ctrlPr>
                <w:rPr>
                  <w:rFonts w:ascii="Cambria Math" w:hAnsi="Cambria Math"/>
                  <w:i/>
                  <w:sz w:val="22"/>
                  <w:szCs w:val="22"/>
                  <w:lang w:val="en-US"/>
                </w:rPr>
              </m:ctrlPr>
            </m:sSubPr>
            <m:e>
              <m:r>
                <w:rPr>
                  <w:rFonts w:ascii="Cambria Math" w:hAnsi="Cambria Math"/>
                  <w:sz w:val="22"/>
                  <w:szCs w:val="22"/>
                  <w:lang w:val="en-US"/>
                </w:rPr>
                <m:t>COV</m:t>
              </m:r>
            </m:e>
            <m:sub>
              <m:r>
                <w:rPr>
                  <w:rFonts w:ascii="Cambria Math" w:hAnsi="Cambria Math"/>
                  <w:sz w:val="22"/>
                  <w:szCs w:val="22"/>
                  <w:lang w:val="en-US"/>
                </w:rPr>
                <m:t>post</m:t>
              </m:r>
            </m:sub>
          </m:sSub>
          <m:r>
            <w:rPr>
              <w:rFonts w:ascii="Cambria Math" w:hAnsi="Cambria Math"/>
              <w:sz w:val="22"/>
              <w:szCs w:val="22"/>
              <w:lang w:val="en-US"/>
            </w:rPr>
            <m:t>=</m:t>
          </m:r>
          <m:sSub>
            <m:sSubPr>
              <m:ctrlPr>
                <w:rPr>
                  <w:rFonts w:ascii="Cambria Math" w:hAnsi="Cambria Math"/>
                  <w:i/>
                  <w:sz w:val="22"/>
                  <w:szCs w:val="22"/>
                  <w:lang w:val="en-US"/>
                </w:rPr>
              </m:ctrlPr>
            </m:sSubPr>
            <m:e>
              <m:r>
                <w:rPr>
                  <w:rFonts w:ascii="Cambria Math" w:hAnsi="Cambria Math"/>
                  <w:sz w:val="22"/>
                  <w:szCs w:val="22"/>
                  <w:lang w:val="en-US"/>
                </w:rPr>
                <m:t>COV</m:t>
              </m:r>
            </m:e>
            <m:sub>
              <m:r>
                <w:rPr>
                  <w:rFonts w:ascii="Cambria Math" w:hAnsi="Cambria Math"/>
                  <w:sz w:val="22"/>
                  <w:szCs w:val="22"/>
                  <w:lang w:val="en-US"/>
                </w:rPr>
                <m:t>prior</m:t>
              </m:r>
            </m:sub>
          </m:sSub>
          <m:r>
            <w:rPr>
              <w:rFonts w:ascii="Cambria Math" w:hAnsi="Cambria Math"/>
              <w:sz w:val="22"/>
              <w:szCs w:val="22"/>
              <w:lang w:val="en-US"/>
            </w:rPr>
            <m:t>-Kalman gain∙K∙</m:t>
          </m:r>
          <m:sSub>
            <m:sSubPr>
              <m:ctrlPr>
                <w:rPr>
                  <w:rFonts w:ascii="Cambria Math" w:hAnsi="Cambria Math"/>
                  <w:i/>
                  <w:sz w:val="22"/>
                  <w:szCs w:val="22"/>
                  <w:lang w:val="en-US"/>
                </w:rPr>
              </m:ctrlPr>
            </m:sSubPr>
            <m:e>
              <m:r>
                <w:rPr>
                  <w:rFonts w:ascii="Cambria Math" w:hAnsi="Cambria Math"/>
                  <w:sz w:val="22"/>
                  <w:szCs w:val="22"/>
                  <w:lang w:val="en-US"/>
                </w:rPr>
                <m:t>COV</m:t>
              </m:r>
            </m:e>
            <m:sub>
              <m:r>
                <w:rPr>
                  <w:rFonts w:ascii="Cambria Math" w:hAnsi="Cambria Math"/>
                  <w:sz w:val="22"/>
                  <w:szCs w:val="22"/>
                  <w:lang w:val="en-US"/>
                </w:rPr>
                <m:t>prior</m:t>
              </m:r>
            </m:sub>
          </m:sSub>
        </m:oMath>
      </m:oMathPara>
    </w:p>
    <w:p w14:paraId="2771F93A" w14:textId="2E924BA2" w:rsidR="00C34200" w:rsidRDefault="00C34200" w:rsidP="00825877">
      <w:pPr>
        <w:jc w:val="both"/>
        <w:rPr>
          <w:rFonts w:eastAsiaTheme="minorEastAsia"/>
          <w:sz w:val="22"/>
          <w:szCs w:val="22"/>
          <w:lang w:val="en-US"/>
        </w:rPr>
      </w:pPr>
      <w:r>
        <w:rPr>
          <w:rFonts w:eastAsiaTheme="minorEastAsia"/>
          <w:sz w:val="22"/>
          <w:szCs w:val="22"/>
          <w:lang w:val="en-US"/>
        </w:rPr>
        <w:t>The posterior state vector and covariance matrix repre</w:t>
      </w:r>
      <w:r w:rsidR="00AE4C39">
        <w:rPr>
          <w:rFonts w:eastAsiaTheme="minorEastAsia"/>
          <w:sz w:val="22"/>
          <w:szCs w:val="22"/>
          <w:lang w:val="en-US"/>
        </w:rPr>
        <w:t>sent the updated state of the climate parameters after data assimilation.</w:t>
      </w:r>
    </w:p>
    <w:p w14:paraId="64FD4A3C" w14:textId="087BA725" w:rsidR="00AE4C39" w:rsidRDefault="00AE4C39" w:rsidP="00825877">
      <w:pPr>
        <w:jc w:val="both"/>
        <w:rPr>
          <w:rFonts w:eastAsiaTheme="minorEastAsia"/>
          <w:sz w:val="22"/>
          <w:szCs w:val="22"/>
          <w:lang w:val="en-US"/>
        </w:rPr>
      </w:pPr>
      <w:r>
        <w:rPr>
          <w:rFonts w:eastAsiaTheme="minorEastAsia"/>
          <w:sz w:val="22"/>
          <w:szCs w:val="22"/>
          <w:lang w:val="en-US"/>
        </w:rPr>
        <w:t>2.2.3 Converting posteriors into climate parameter space</w:t>
      </w:r>
    </w:p>
    <w:p w14:paraId="2D2B96E1" w14:textId="77777777" w:rsidR="008E464A" w:rsidRDefault="008E464A" w:rsidP="00825877">
      <w:pPr>
        <w:jc w:val="both"/>
        <w:rPr>
          <w:rFonts w:eastAsiaTheme="minorEastAsia"/>
          <w:sz w:val="22"/>
          <w:szCs w:val="22"/>
          <w:lang w:val="en-US"/>
        </w:rPr>
      </w:pPr>
      <w:r>
        <w:rPr>
          <w:rFonts w:eastAsiaTheme="minorEastAsia"/>
          <w:sz w:val="22"/>
          <w:szCs w:val="22"/>
          <w:lang w:val="en-US"/>
        </w:rPr>
        <w:t xml:space="preserve">The final step in the data assimilation routine is the conversion of posterior estimates of proxy values and their uncertainties back into the climate parameter space. For the SST and SAT parameters, this is achieved by reapplying the </w:t>
      </w:r>
      <w:proofErr w:type="spellStart"/>
      <w:r>
        <w:rPr>
          <w:rFonts w:eastAsiaTheme="minorEastAsia"/>
          <w:sz w:val="22"/>
          <w:szCs w:val="22"/>
          <w:lang w:val="en-US"/>
        </w:rPr>
        <w:t>Omnivariant</w:t>
      </w:r>
      <w:proofErr w:type="spellEnd"/>
      <w:r>
        <w:rPr>
          <w:rFonts w:eastAsiaTheme="minorEastAsia"/>
          <w:sz w:val="22"/>
          <w:szCs w:val="22"/>
          <w:lang w:val="en-US"/>
        </w:rPr>
        <w:t xml:space="preserve"> Generalized Least Squares clumped isotope temperature calibration </w:t>
      </w:r>
      <w:r>
        <w:rPr>
          <w:rFonts w:eastAsiaTheme="minorEastAsia"/>
          <w:sz w:val="22"/>
          <w:szCs w:val="22"/>
          <w:lang w:val="en-US"/>
        </w:rPr>
        <w:fldChar w:fldCharType="begin"/>
      </w:r>
      <w:r>
        <w:rPr>
          <w:rFonts w:eastAsiaTheme="minorEastAsia"/>
          <w:sz w:val="22"/>
          <w:szCs w:val="22"/>
          <w:lang w:val="en-US"/>
        </w:rPr>
        <w:instrText xml:space="preserve"> ADDIN ZOTERO_ITEM CSL_CITATION {"citationID":"Iqdbs9VW","properties":{"formattedCitation":"(Da\\uc0\\u235{}ron and Vermeesch, 2023)","plainCitation":"(Daëron and Vermeesch, 2023)","noteIndex":0},"citationItems":[{"id":2693,"uris":["http://zotero.org/users/2470179/items/3XDLGVX9"],"itemData":{"id":2693,"type":"article-journal","abstract":"Least-squares regression methods are mathematically powerful, conceptually and computationally simple, and widely used in many fields. However, none of the commonly-used flavors of least-squares regression, such as York regression or Generalized Least Squares (GLS), take into account the full set of covariances between all observed (x, y) values. Here we describe the Omnivariant Generalized Least Squares (OGLS) method to fit a model of the form y</w:instrText>
      </w:r>
      <w:r>
        <w:rPr>
          <w:rFonts w:ascii="Arial" w:eastAsiaTheme="minorEastAsia" w:hAnsi="Arial" w:cs="Arial"/>
          <w:sz w:val="22"/>
          <w:szCs w:val="22"/>
          <w:lang w:val="en-US"/>
        </w:rPr>
        <w:instrText> </w:instrText>
      </w:r>
      <w:r>
        <w:rPr>
          <w:rFonts w:eastAsiaTheme="minorEastAsia"/>
          <w:sz w:val="22"/>
          <w:szCs w:val="22"/>
          <w:lang w:val="en-US"/>
        </w:rPr>
        <w:instrText>=</w:instrText>
      </w:r>
      <w:r>
        <w:rPr>
          <w:rFonts w:ascii="Arial" w:eastAsiaTheme="minorEastAsia" w:hAnsi="Arial" w:cs="Arial"/>
          <w:sz w:val="22"/>
          <w:szCs w:val="22"/>
          <w:lang w:val="en-US"/>
        </w:rPr>
        <w:instrText> </w:instrText>
      </w:r>
      <w:r>
        <w:rPr>
          <w:rFonts w:eastAsiaTheme="minorEastAsia"/>
          <w:sz w:val="22"/>
          <w:szCs w:val="22"/>
          <w:lang w:val="en-US"/>
        </w:rPr>
        <w:instrText xml:space="preserve">f(x), accounting for the full error correlation structure of the (x, y) data, based on a first-order linear propagation of the uncertainties in all variables into errors in y residuals, followed by minimizing the vector of y residuals with respect to the Mahalanobis norm defined by its covariance matrix. This approach may be described as a generalization of both York regression and GLS. It is mathematically exact for straight-line fits, and is also suitable for many non-linear models. Here we describe the principles of OGLS regression and discuss its properties, caveats, and practical use, and provide two consistent open-source implementations in Python and R. To illustrate how various fields of geochronology and stable-isotope geochemistry may benefit from this new method, we discuss how OGLS may specifically apply to 40Ar/39Ar dating and how it provides robust mathematical evidence that Δ47 carbonate calibrations in the recently defined I-CDES metrological scale are statistically indistinguishable, effectively solving long-standing methodological discrepancies.","container-title":"Chemical Geology","DOI":"10.1016/j.chemgeo.2023.121881","ISSN":"0009-2541","journalAbbreviation":"Chemical Geology","page":"121881","source":"ScienceDirect","title":"Omnivariant generalized least squares regression: Theory, geochronological applications, and making the case for reconciled Δ47 calibrations","title-short":"Omnivariant generalized least squares regression","author":[{"family":"Daëron","given":"M."},{"family":"Vermeesch","given":"P."}],"issued":{"date-parts":[["2023",12,18]]}}}],"schema":"https://github.com/citation-style-language/schema/raw/master/csl-citation.json"} </w:instrText>
      </w:r>
      <w:r>
        <w:rPr>
          <w:rFonts w:eastAsiaTheme="minorEastAsia"/>
          <w:sz w:val="22"/>
          <w:szCs w:val="22"/>
          <w:lang w:val="en-US"/>
        </w:rPr>
        <w:fldChar w:fldCharType="separate"/>
      </w:r>
      <w:r w:rsidRPr="008E464A">
        <w:rPr>
          <w:rFonts w:ascii="Aptos" w:hAnsi="Aptos" w:cs="Times New Roman"/>
          <w:kern w:val="0"/>
          <w:sz w:val="22"/>
        </w:rPr>
        <w:t>(Daëron and Vermeesch, 2023)</w:t>
      </w:r>
      <w:r>
        <w:rPr>
          <w:rFonts w:eastAsiaTheme="minorEastAsia"/>
          <w:sz w:val="22"/>
          <w:szCs w:val="22"/>
          <w:lang w:val="en-US"/>
        </w:rPr>
        <w:fldChar w:fldCharType="end"/>
      </w:r>
      <w:r>
        <w:rPr>
          <w:rFonts w:eastAsiaTheme="minorEastAsia"/>
          <w:sz w:val="22"/>
          <w:szCs w:val="22"/>
          <w:lang w:val="en-US"/>
        </w:rPr>
        <w:t xml:space="preserve"> in reverse direction to obtain monthly posterior temperature estimates and their variance. The “D47calib” package allows this conversion back into temperature space while propagating uncertainties on the posterior Δ</w:t>
      </w:r>
      <w:r w:rsidRPr="008E464A">
        <w:rPr>
          <w:rFonts w:eastAsiaTheme="minorEastAsia"/>
          <w:sz w:val="22"/>
          <w:szCs w:val="22"/>
          <w:vertAlign w:val="subscript"/>
          <w:lang w:val="en-US"/>
        </w:rPr>
        <w:t>47</w:t>
      </w:r>
      <w:r>
        <w:rPr>
          <w:rFonts w:eastAsiaTheme="minorEastAsia"/>
          <w:sz w:val="22"/>
          <w:szCs w:val="22"/>
          <w:lang w:val="en-US"/>
        </w:rPr>
        <w:t xml:space="preserve"> estimate as well as on the regression equation.</w:t>
      </w:r>
    </w:p>
    <w:p w14:paraId="29CB2213" w14:textId="6322FED2" w:rsidR="00AE4C39" w:rsidRDefault="008E464A" w:rsidP="00825877">
      <w:pPr>
        <w:jc w:val="both"/>
        <w:rPr>
          <w:sz w:val="22"/>
          <w:szCs w:val="22"/>
          <w:lang w:val="en-GB"/>
        </w:rPr>
      </w:pPr>
      <w:r>
        <w:rPr>
          <w:rFonts w:eastAsiaTheme="minorEastAsia"/>
          <w:sz w:val="22"/>
          <w:szCs w:val="22"/>
          <w:lang w:val="en-US"/>
        </w:rPr>
        <w:t xml:space="preserve">Posterior monthly </w:t>
      </w:r>
      <w:r w:rsidRPr="00256EAA">
        <w:rPr>
          <w:sz w:val="22"/>
          <w:szCs w:val="22"/>
          <w:lang w:val="en-GB"/>
        </w:rPr>
        <w:t>δ</w:t>
      </w:r>
      <w:r w:rsidRPr="00256EAA">
        <w:rPr>
          <w:sz w:val="22"/>
          <w:szCs w:val="22"/>
          <w:vertAlign w:val="superscript"/>
          <w:lang w:val="en-GB"/>
        </w:rPr>
        <w:t>18</w:t>
      </w:r>
      <w:r w:rsidRPr="00256EAA">
        <w:rPr>
          <w:sz w:val="22"/>
          <w:szCs w:val="22"/>
          <w:lang w:val="en-GB"/>
        </w:rPr>
        <w:t>O</w:t>
      </w:r>
      <w:r>
        <w:rPr>
          <w:sz w:val="22"/>
          <w:szCs w:val="22"/>
          <w:vertAlign w:val="subscript"/>
          <w:lang w:val="en-GB"/>
        </w:rPr>
        <w:t>w</w:t>
      </w:r>
      <w:r>
        <w:rPr>
          <w:sz w:val="22"/>
          <w:szCs w:val="22"/>
          <w:lang w:val="en-GB"/>
        </w:rPr>
        <w:t xml:space="preserve"> estimates are obtained by inverting the updated </w:t>
      </w:r>
      <w:r w:rsidRPr="00256EAA">
        <w:rPr>
          <w:sz w:val="22"/>
          <w:szCs w:val="22"/>
          <w:lang w:val="en-GB"/>
        </w:rPr>
        <w:t>δ</w:t>
      </w:r>
      <w:r w:rsidRPr="00256EAA">
        <w:rPr>
          <w:sz w:val="22"/>
          <w:szCs w:val="22"/>
          <w:vertAlign w:val="superscript"/>
          <w:lang w:val="en-GB"/>
        </w:rPr>
        <w:t>18</w:t>
      </w:r>
      <w:r w:rsidRPr="00256EAA">
        <w:rPr>
          <w:sz w:val="22"/>
          <w:szCs w:val="22"/>
          <w:lang w:val="en-GB"/>
        </w:rPr>
        <w:t>O</w:t>
      </w:r>
      <w:r>
        <w:rPr>
          <w:sz w:val="22"/>
          <w:szCs w:val="22"/>
          <w:vertAlign w:val="subscript"/>
          <w:lang w:val="en-GB"/>
        </w:rPr>
        <w:t>w</w:t>
      </w:r>
      <w:r>
        <w:rPr>
          <w:sz w:val="22"/>
          <w:szCs w:val="22"/>
          <w:lang w:val="en-GB"/>
        </w:rPr>
        <w:t>-</w:t>
      </w:r>
      <w:r w:rsidRPr="00256EAA">
        <w:rPr>
          <w:sz w:val="22"/>
          <w:szCs w:val="22"/>
          <w:lang w:val="en-GB"/>
        </w:rPr>
        <w:t>δ</w:t>
      </w:r>
      <w:r w:rsidRPr="00256EAA">
        <w:rPr>
          <w:sz w:val="22"/>
          <w:szCs w:val="22"/>
          <w:vertAlign w:val="superscript"/>
          <w:lang w:val="en-GB"/>
        </w:rPr>
        <w:t>18</w:t>
      </w:r>
      <w:r w:rsidRPr="00256EAA">
        <w:rPr>
          <w:sz w:val="22"/>
          <w:szCs w:val="22"/>
          <w:lang w:val="en-GB"/>
        </w:rPr>
        <w:t>O</w:t>
      </w:r>
      <w:r>
        <w:rPr>
          <w:sz w:val="22"/>
          <w:szCs w:val="22"/>
          <w:vertAlign w:val="subscript"/>
          <w:lang w:val="en-GB"/>
        </w:rPr>
        <w:t>c</w:t>
      </w:r>
      <w:r>
        <w:rPr>
          <w:sz w:val="22"/>
          <w:szCs w:val="22"/>
          <w:lang w:val="en-GB"/>
        </w:rPr>
        <w:t xml:space="preserve">-temperature equation </w:t>
      </w:r>
      <w:r>
        <w:rPr>
          <w:sz w:val="22"/>
          <w:szCs w:val="22"/>
          <w:lang w:val="en-GB"/>
        </w:rPr>
        <w:fldChar w:fldCharType="begin"/>
      </w:r>
      <w:r>
        <w:rPr>
          <w:sz w:val="22"/>
          <w:szCs w:val="22"/>
          <w:lang w:val="en-GB"/>
        </w:rPr>
        <w:instrText xml:space="preserve"> ADDIN ZOTERO_ITEM CSL_CITATION {"citationID":"CIqmPy9C","properties":{"formattedCitation":"(Grossman and Ku, 1986)","plainCitation":"(Grossman and Ku, 1986)","noteIndex":0},"citationItems":[{"id":267,"uris":["http://zotero.org/users/2470179/items/H8UCKH5N"],"itemData":{"id":267,"type":"article-journal","container-title":"Chemical Geology: Isotope Geoscience section","page":"59–74","source":"Google Scholar","title":"Oxygen and carbon isotope fractionation in biogenic aragonite: temperature effects","title-short":"Oxygen and carbon isotope fractionation in biogenic aragonite","volume":"59","author":[{"family":"Grossman","given":"Ethan L."},{"family":"Ku","given":"Teh-Lung"}],"issued":{"date-parts":[["1986"]]}}}],"schema":"https://github.com/citation-style-language/schema/raw/master/csl-citation.json"} </w:instrText>
      </w:r>
      <w:r>
        <w:rPr>
          <w:sz w:val="22"/>
          <w:szCs w:val="22"/>
          <w:lang w:val="en-GB"/>
        </w:rPr>
        <w:fldChar w:fldCharType="separate"/>
      </w:r>
      <w:r w:rsidRPr="008E464A">
        <w:rPr>
          <w:rFonts w:ascii="Aptos" w:hAnsi="Aptos"/>
          <w:sz w:val="22"/>
        </w:rPr>
        <w:t>(Grossman and Ku, 1986)</w:t>
      </w:r>
      <w:r>
        <w:rPr>
          <w:sz w:val="22"/>
          <w:szCs w:val="22"/>
          <w:lang w:val="en-GB"/>
        </w:rPr>
        <w:fldChar w:fldCharType="end"/>
      </w:r>
      <w:r>
        <w:rPr>
          <w:sz w:val="22"/>
          <w:szCs w:val="22"/>
          <w:lang w:val="en-GB"/>
        </w:rPr>
        <w:t xml:space="preserve"> to solve for the </w:t>
      </w:r>
      <w:r w:rsidRPr="00256EAA">
        <w:rPr>
          <w:sz w:val="22"/>
          <w:szCs w:val="22"/>
          <w:lang w:val="en-GB"/>
        </w:rPr>
        <w:t>δ</w:t>
      </w:r>
      <w:r w:rsidRPr="00256EAA">
        <w:rPr>
          <w:sz w:val="22"/>
          <w:szCs w:val="22"/>
          <w:vertAlign w:val="superscript"/>
          <w:lang w:val="en-GB"/>
        </w:rPr>
        <w:t>18</w:t>
      </w:r>
      <w:r w:rsidRPr="00256EAA">
        <w:rPr>
          <w:sz w:val="22"/>
          <w:szCs w:val="22"/>
          <w:lang w:val="en-GB"/>
        </w:rPr>
        <w:t>O</w:t>
      </w:r>
      <w:r>
        <w:rPr>
          <w:sz w:val="22"/>
          <w:szCs w:val="22"/>
          <w:vertAlign w:val="subscript"/>
          <w:lang w:val="en-GB"/>
        </w:rPr>
        <w:t>w</w:t>
      </w:r>
      <w:r>
        <w:rPr>
          <w:sz w:val="22"/>
          <w:szCs w:val="22"/>
          <w:lang w:val="en-GB"/>
        </w:rPr>
        <w:t xml:space="preserve"> value:</w:t>
      </w:r>
    </w:p>
    <w:p w14:paraId="232C7C1C" w14:textId="59B2F3A7" w:rsidR="008E464A" w:rsidRPr="009F1935" w:rsidRDefault="00000000" w:rsidP="00825877">
      <w:pPr>
        <w:jc w:val="both"/>
        <w:rPr>
          <w:rFonts w:eastAsiaTheme="minorEastAsia"/>
          <w:sz w:val="22"/>
          <w:szCs w:val="22"/>
          <w:lang w:val="en-US"/>
        </w:rPr>
      </w:pPr>
      <m:oMathPara>
        <m:oMath>
          <m:sSub>
            <m:sSubPr>
              <m:ctrlPr>
                <w:rPr>
                  <w:rFonts w:ascii="Cambria Math" w:eastAsiaTheme="minorEastAsia" w:hAnsi="Cambria Math"/>
                  <w:i/>
                  <w:sz w:val="22"/>
                  <w:szCs w:val="22"/>
                  <w:lang w:val="en-US"/>
                </w:rPr>
              </m:ctrlPr>
            </m:sSubPr>
            <m:e>
              <m:r>
                <w:rPr>
                  <w:rFonts w:ascii="Cambria Math" w:eastAsiaTheme="minorEastAsia" w:hAnsi="Cambria Math"/>
                  <w:sz w:val="22"/>
                  <w:szCs w:val="22"/>
                  <w:lang w:val="en-US"/>
                </w:rPr>
                <m:t>δ</m:t>
              </m:r>
              <m:sPre>
                <m:sPrePr>
                  <m:ctrlPr>
                    <w:rPr>
                      <w:rFonts w:ascii="Cambria Math" w:eastAsiaTheme="minorEastAsia" w:hAnsi="Cambria Math"/>
                      <w:i/>
                      <w:sz w:val="22"/>
                      <w:szCs w:val="22"/>
                      <w:lang w:val="en-US"/>
                    </w:rPr>
                  </m:ctrlPr>
                </m:sPrePr>
                <m:sub/>
                <m:sup>
                  <m:r>
                    <w:rPr>
                      <w:rFonts w:ascii="Cambria Math" w:eastAsiaTheme="minorEastAsia" w:hAnsi="Cambria Math"/>
                      <w:sz w:val="22"/>
                      <w:szCs w:val="22"/>
                      <w:lang w:val="en-US"/>
                    </w:rPr>
                    <m:t>18</m:t>
                  </m:r>
                </m:sup>
                <m:e>
                  <m:r>
                    <w:rPr>
                      <w:rFonts w:ascii="Cambria Math" w:eastAsiaTheme="minorEastAsia" w:hAnsi="Cambria Math"/>
                      <w:sz w:val="22"/>
                      <w:szCs w:val="22"/>
                      <w:lang w:val="en-US"/>
                    </w:rPr>
                    <m:t>O</m:t>
                  </m:r>
                </m:e>
              </m:sPre>
            </m:e>
            <m:sub>
              <m:r>
                <w:rPr>
                  <w:rFonts w:ascii="Cambria Math" w:eastAsiaTheme="minorEastAsia" w:hAnsi="Cambria Math"/>
                  <w:sz w:val="22"/>
                  <w:szCs w:val="22"/>
                  <w:lang w:val="en-US"/>
                </w:rPr>
                <m:t>w,post</m:t>
              </m:r>
            </m:sub>
          </m:sSub>
          <m:r>
            <w:rPr>
              <w:rFonts w:ascii="Cambria Math" w:eastAsiaTheme="minorEastAsia" w:hAnsi="Cambria Math"/>
              <w:sz w:val="22"/>
              <w:szCs w:val="22"/>
              <w:lang w:val="en-US"/>
            </w:rPr>
            <m:t>=</m:t>
          </m:r>
          <m:sSub>
            <m:sSubPr>
              <m:ctrlPr>
                <w:rPr>
                  <w:rFonts w:ascii="Cambria Math" w:eastAsiaTheme="minorEastAsia" w:hAnsi="Cambria Math"/>
                  <w:i/>
                  <w:sz w:val="22"/>
                  <w:szCs w:val="22"/>
                  <w:lang w:val="en-US"/>
                </w:rPr>
              </m:ctrlPr>
            </m:sSubPr>
            <m:e>
              <m:r>
                <w:rPr>
                  <w:rFonts w:ascii="Cambria Math" w:eastAsiaTheme="minorEastAsia" w:hAnsi="Cambria Math"/>
                  <w:sz w:val="22"/>
                  <w:szCs w:val="22"/>
                  <w:lang w:val="en-US"/>
                </w:rPr>
                <m:t>δ</m:t>
              </m:r>
              <m:sPre>
                <m:sPrePr>
                  <m:ctrlPr>
                    <w:rPr>
                      <w:rFonts w:ascii="Cambria Math" w:eastAsiaTheme="minorEastAsia" w:hAnsi="Cambria Math"/>
                      <w:i/>
                      <w:sz w:val="22"/>
                      <w:szCs w:val="22"/>
                      <w:lang w:val="en-US"/>
                    </w:rPr>
                  </m:ctrlPr>
                </m:sPrePr>
                <m:sub/>
                <m:sup>
                  <m:r>
                    <w:rPr>
                      <w:rFonts w:ascii="Cambria Math" w:eastAsiaTheme="minorEastAsia" w:hAnsi="Cambria Math"/>
                      <w:sz w:val="22"/>
                      <w:szCs w:val="22"/>
                      <w:lang w:val="en-US"/>
                    </w:rPr>
                    <m:t>18</m:t>
                  </m:r>
                </m:sup>
                <m:e>
                  <m:r>
                    <w:rPr>
                      <w:rFonts w:ascii="Cambria Math" w:eastAsiaTheme="minorEastAsia" w:hAnsi="Cambria Math"/>
                      <w:sz w:val="22"/>
                      <w:szCs w:val="22"/>
                      <w:lang w:val="en-US"/>
                    </w:rPr>
                    <m:t>O</m:t>
                  </m:r>
                </m:e>
              </m:sPre>
            </m:e>
            <m:sub>
              <m:r>
                <w:rPr>
                  <w:rFonts w:ascii="Cambria Math" w:eastAsiaTheme="minorEastAsia" w:hAnsi="Cambria Math"/>
                  <w:sz w:val="22"/>
                  <w:szCs w:val="22"/>
                  <w:lang w:val="en-US"/>
                </w:rPr>
                <m:t>c,post</m:t>
              </m:r>
            </m:sub>
          </m:sSub>
          <m:r>
            <w:rPr>
              <w:rFonts w:ascii="Cambria Math" w:eastAsiaTheme="minorEastAsia" w:hAnsi="Cambria Math"/>
              <w:sz w:val="22"/>
              <w:szCs w:val="22"/>
              <w:lang w:val="en-US"/>
            </w:rPr>
            <m:t>-</m:t>
          </m:r>
          <m:f>
            <m:fPr>
              <m:ctrlPr>
                <w:rPr>
                  <w:rFonts w:ascii="Cambria Math" w:eastAsiaTheme="minorEastAsia" w:hAnsi="Cambria Math"/>
                  <w:i/>
                  <w:sz w:val="22"/>
                  <w:szCs w:val="22"/>
                  <w:lang w:val="en-US"/>
                </w:rPr>
              </m:ctrlPr>
            </m:fPr>
            <m:num>
              <m:r>
                <w:rPr>
                  <w:rFonts w:ascii="Cambria Math" w:eastAsiaTheme="minorEastAsia" w:hAnsi="Cambria Math"/>
                  <w:sz w:val="22"/>
                  <w:szCs w:val="22"/>
                  <w:lang w:val="en-US"/>
                </w:rPr>
                <m:t>20.6-</m:t>
              </m:r>
              <m:sSub>
                <m:sSubPr>
                  <m:ctrlPr>
                    <w:rPr>
                      <w:rFonts w:ascii="Cambria Math" w:eastAsiaTheme="minorEastAsia" w:hAnsi="Cambria Math"/>
                      <w:i/>
                      <w:sz w:val="22"/>
                      <w:szCs w:val="22"/>
                      <w:lang w:val="en-US"/>
                    </w:rPr>
                  </m:ctrlPr>
                </m:sSubPr>
                <m:e>
                  <m:r>
                    <w:rPr>
                      <w:rFonts w:ascii="Cambria Math" w:eastAsiaTheme="minorEastAsia" w:hAnsi="Cambria Math"/>
                      <w:sz w:val="22"/>
                      <w:szCs w:val="22"/>
                      <w:lang w:val="en-US"/>
                    </w:rPr>
                    <m:t>SST</m:t>
                  </m:r>
                </m:e>
                <m:sub>
                  <m:r>
                    <w:rPr>
                      <w:rFonts w:ascii="Cambria Math" w:eastAsiaTheme="minorEastAsia" w:hAnsi="Cambria Math"/>
                      <w:sz w:val="22"/>
                      <w:szCs w:val="22"/>
                      <w:lang w:val="en-US"/>
                    </w:rPr>
                    <m:t>post</m:t>
                  </m:r>
                </m:sub>
              </m:sSub>
            </m:num>
            <m:den>
              <m:r>
                <w:rPr>
                  <w:rFonts w:ascii="Cambria Math" w:eastAsiaTheme="minorEastAsia" w:hAnsi="Cambria Math"/>
                  <w:sz w:val="22"/>
                  <w:szCs w:val="22"/>
                  <w:lang w:val="en-US"/>
                </w:rPr>
                <m:t>4.34</m:t>
              </m:r>
            </m:den>
          </m:f>
          <m:r>
            <w:rPr>
              <w:rFonts w:ascii="Cambria Math" w:eastAsiaTheme="minorEastAsia" w:hAnsi="Cambria Math"/>
              <w:sz w:val="22"/>
              <w:szCs w:val="22"/>
              <w:lang w:val="en-US"/>
            </w:rPr>
            <m:t>+0.27‰</m:t>
          </m:r>
        </m:oMath>
      </m:oMathPara>
    </w:p>
    <w:p w14:paraId="5B8439AA" w14:textId="14CEE106" w:rsidR="009F1935" w:rsidRDefault="009F1935" w:rsidP="00825877">
      <w:pPr>
        <w:jc w:val="both"/>
        <w:rPr>
          <w:sz w:val="22"/>
          <w:szCs w:val="22"/>
          <w:lang w:val="en-GB"/>
        </w:rPr>
      </w:pPr>
      <w:r>
        <w:rPr>
          <w:rFonts w:eastAsiaTheme="minorEastAsia"/>
          <w:sz w:val="22"/>
          <w:szCs w:val="22"/>
          <w:lang w:val="en-US"/>
        </w:rPr>
        <w:t xml:space="preserve">The covariance on the posterior </w:t>
      </w:r>
      <w:bookmarkStart w:id="2" w:name="_Hlk212814293"/>
      <w:r w:rsidRPr="00256EAA">
        <w:rPr>
          <w:sz w:val="22"/>
          <w:szCs w:val="22"/>
          <w:lang w:val="en-GB"/>
        </w:rPr>
        <w:t>δ</w:t>
      </w:r>
      <w:r w:rsidRPr="00256EAA">
        <w:rPr>
          <w:sz w:val="22"/>
          <w:szCs w:val="22"/>
          <w:vertAlign w:val="superscript"/>
          <w:lang w:val="en-GB"/>
        </w:rPr>
        <w:t>18</w:t>
      </w:r>
      <w:r w:rsidRPr="00256EAA">
        <w:rPr>
          <w:sz w:val="22"/>
          <w:szCs w:val="22"/>
          <w:lang w:val="en-GB"/>
        </w:rPr>
        <w:t>O</w:t>
      </w:r>
      <w:r>
        <w:rPr>
          <w:sz w:val="22"/>
          <w:szCs w:val="22"/>
          <w:vertAlign w:val="subscript"/>
          <w:lang w:val="en-GB"/>
        </w:rPr>
        <w:t>w</w:t>
      </w:r>
      <w:r>
        <w:rPr>
          <w:sz w:val="22"/>
          <w:szCs w:val="22"/>
          <w:lang w:val="en-GB"/>
        </w:rPr>
        <w:t xml:space="preserve"> </w:t>
      </w:r>
      <w:bookmarkEnd w:id="2"/>
      <w:r>
        <w:rPr>
          <w:sz w:val="22"/>
          <w:szCs w:val="22"/>
          <w:lang w:val="en-GB"/>
        </w:rPr>
        <w:t xml:space="preserve">estimates can be obtained by applying the square derivative of this equation to the posterior covariance matrices of </w:t>
      </w:r>
      <w:r w:rsidRPr="00256EAA">
        <w:rPr>
          <w:sz w:val="22"/>
          <w:szCs w:val="22"/>
          <w:lang w:val="en-GB"/>
        </w:rPr>
        <w:t>δ</w:t>
      </w:r>
      <w:r w:rsidRPr="00256EAA">
        <w:rPr>
          <w:sz w:val="22"/>
          <w:szCs w:val="22"/>
          <w:vertAlign w:val="superscript"/>
          <w:lang w:val="en-GB"/>
        </w:rPr>
        <w:t>18</w:t>
      </w:r>
      <w:r w:rsidRPr="00256EAA">
        <w:rPr>
          <w:sz w:val="22"/>
          <w:szCs w:val="22"/>
          <w:lang w:val="en-GB"/>
        </w:rPr>
        <w:t>O</w:t>
      </w:r>
      <w:r>
        <w:rPr>
          <w:sz w:val="22"/>
          <w:szCs w:val="22"/>
          <w:vertAlign w:val="subscript"/>
          <w:lang w:val="en-GB"/>
        </w:rPr>
        <w:t>c</w:t>
      </w:r>
      <w:r>
        <w:rPr>
          <w:sz w:val="22"/>
          <w:szCs w:val="22"/>
          <w:lang w:val="en-GB"/>
        </w:rPr>
        <w:t xml:space="preserve"> and SST:</w:t>
      </w:r>
    </w:p>
    <w:p w14:paraId="40497795" w14:textId="728735C0" w:rsidR="009F1935" w:rsidRPr="00C34200" w:rsidRDefault="00000000" w:rsidP="009F1935">
      <w:pPr>
        <w:jc w:val="both"/>
        <w:rPr>
          <w:rFonts w:eastAsiaTheme="minorEastAsia"/>
          <w:sz w:val="22"/>
          <w:szCs w:val="22"/>
          <w:lang w:val="en-US"/>
        </w:rPr>
      </w:pPr>
      <m:oMathPara>
        <m:oMath>
          <m:sSub>
            <m:sSubPr>
              <m:ctrlPr>
                <w:rPr>
                  <w:rFonts w:ascii="Cambria Math" w:eastAsiaTheme="minorEastAsia" w:hAnsi="Cambria Math"/>
                  <w:i/>
                  <w:sz w:val="22"/>
                  <w:szCs w:val="22"/>
                  <w:lang w:val="en-US"/>
                </w:rPr>
              </m:ctrlPr>
            </m:sSubPr>
            <m:e>
              <m:r>
                <w:rPr>
                  <w:rFonts w:ascii="Cambria Math" w:eastAsiaTheme="minorEastAsia" w:hAnsi="Cambria Math"/>
                  <w:sz w:val="22"/>
                  <w:szCs w:val="22"/>
                  <w:lang w:val="en-US"/>
                </w:rPr>
                <m:t>COV</m:t>
              </m:r>
            </m:e>
            <m:sub>
              <m:sSub>
                <m:sSubPr>
                  <m:ctrlPr>
                    <w:rPr>
                      <w:rFonts w:ascii="Cambria Math" w:eastAsiaTheme="minorEastAsia" w:hAnsi="Cambria Math"/>
                      <w:i/>
                      <w:sz w:val="22"/>
                      <w:szCs w:val="22"/>
                      <w:lang w:val="en-US"/>
                    </w:rPr>
                  </m:ctrlPr>
                </m:sSubPr>
                <m:e>
                  <m:r>
                    <w:rPr>
                      <w:rFonts w:ascii="Cambria Math" w:eastAsiaTheme="minorEastAsia" w:hAnsi="Cambria Math"/>
                      <w:sz w:val="22"/>
                      <w:szCs w:val="22"/>
                      <w:lang w:val="en-US"/>
                    </w:rPr>
                    <m:t>δ</m:t>
                  </m:r>
                  <m:sPre>
                    <m:sPrePr>
                      <m:ctrlPr>
                        <w:rPr>
                          <w:rFonts w:ascii="Cambria Math" w:eastAsiaTheme="minorEastAsia" w:hAnsi="Cambria Math"/>
                          <w:i/>
                          <w:sz w:val="22"/>
                          <w:szCs w:val="22"/>
                          <w:lang w:val="en-US"/>
                        </w:rPr>
                      </m:ctrlPr>
                    </m:sPrePr>
                    <m:sub/>
                    <m:sup>
                      <m:r>
                        <w:rPr>
                          <w:rFonts w:ascii="Cambria Math" w:eastAsiaTheme="minorEastAsia" w:hAnsi="Cambria Math"/>
                          <w:sz w:val="22"/>
                          <w:szCs w:val="22"/>
                          <w:lang w:val="en-US"/>
                        </w:rPr>
                        <m:t>18</m:t>
                      </m:r>
                    </m:sup>
                    <m:e>
                      <m:r>
                        <w:rPr>
                          <w:rFonts w:ascii="Cambria Math" w:eastAsiaTheme="minorEastAsia" w:hAnsi="Cambria Math"/>
                          <w:sz w:val="22"/>
                          <w:szCs w:val="22"/>
                          <w:lang w:val="en-US"/>
                        </w:rPr>
                        <m:t>O</m:t>
                      </m:r>
                    </m:e>
                  </m:sPre>
                </m:e>
                <m:sub>
                  <m:r>
                    <w:rPr>
                      <w:rFonts w:ascii="Cambria Math" w:eastAsiaTheme="minorEastAsia" w:hAnsi="Cambria Math"/>
                      <w:sz w:val="22"/>
                      <w:szCs w:val="22"/>
                      <w:lang w:val="en-US"/>
                    </w:rPr>
                    <m:t>w,post</m:t>
                  </m:r>
                </m:sub>
              </m:sSub>
            </m:sub>
          </m:sSub>
          <m:r>
            <w:rPr>
              <w:rFonts w:ascii="Cambria Math" w:eastAsiaTheme="minorEastAsia" w:hAnsi="Cambria Math"/>
              <w:sz w:val="22"/>
              <w:szCs w:val="22"/>
              <w:lang w:val="en-US"/>
            </w:rPr>
            <m:t>=</m:t>
          </m:r>
          <m:sSub>
            <m:sSubPr>
              <m:ctrlPr>
                <w:rPr>
                  <w:rFonts w:ascii="Cambria Math" w:eastAsiaTheme="minorEastAsia" w:hAnsi="Cambria Math"/>
                  <w:i/>
                  <w:sz w:val="22"/>
                  <w:szCs w:val="22"/>
                  <w:lang w:val="en-US"/>
                </w:rPr>
              </m:ctrlPr>
            </m:sSubPr>
            <m:e>
              <m:r>
                <w:rPr>
                  <w:rFonts w:ascii="Cambria Math" w:eastAsiaTheme="minorEastAsia" w:hAnsi="Cambria Math"/>
                  <w:sz w:val="22"/>
                  <w:szCs w:val="22"/>
                  <w:lang w:val="en-US"/>
                </w:rPr>
                <m:t>COV</m:t>
              </m:r>
            </m:e>
            <m:sub>
              <m:sSub>
                <m:sSubPr>
                  <m:ctrlPr>
                    <w:rPr>
                      <w:rFonts w:ascii="Cambria Math" w:eastAsiaTheme="minorEastAsia" w:hAnsi="Cambria Math"/>
                      <w:i/>
                      <w:sz w:val="22"/>
                      <w:szCs w:val="22"/>
                      <w:lang w:val="en-US"/>
                    </w:rPr>
                  </m:ctrlPr>
                </m:sSubPr>
                <m:e>
                  <m:r>
                    <w:rPr>
                      <w:rFonts w:ascii="Cambria Math" w:eastAsiaTheme="minorEastAsia" w:hAnsi="Cambria Math"/>
                      <w:sz w:val="22"/>
                      <w:szCs w:val="22"/>
                      <w:lang w:val="en-US"/>
                    </w:rPr>
                    <m:t>δ</m:t>
                  </m:r>
                  <m:sPre>
                    <m:sPrePr>
                      <m:ctrlPr>
                        <w:rPr>
                          <w:rFonts w:ascii="Cambria Math" w:eastAsiaTheme="minorEastAsia" w:hAnsi="Cambria Math"/>
                          <w:i/>
                          <w:sz w:val="22"/>
                          <w:szCs w:val="22"/>
                          <w:lang w:val="en-US"/>
                        </w:rPr>
                      </m:ctrlPr>
                    </m:sPrePr>
                    <m:sub/>
                    <m:sup>
                      <m:r>
                        <w:rPr>
                          <w:rFonts w:ascii="Cambria Math" w:eastAsiaTheme="minorEastAsia" w:hAnsi="Cambria Math"/>
                          <w:sz w:val="22"/>
                          <w:szCs w:val="22"/>
                          <w:lang w:val="en-US"/>
                        </w:rPr>
                        <m:t>18</m:t>
                      </m:r>
                    </m:sup>
                    <m:e>
                      <m:r>
                        <w:rPr>
                          <w:rFonts w:ascii="Cambria Math" w:eastAsiaTheme="minorEastAsia" w:hAnsi="Cambria Math"/>
                          <w:sz w:val="22"/>
                          <w:szCs w:val="22"/>
                          <w:lang w:val="en-US"/>
                        </w:rPr>
                        <m:t>O</m:t>
                      </m:r>
                    </m:e>
                  </m:sPre>
                </m:e>
                <m:sub>
                  <m:r>
                    <w:rPr>
                      <w:rFonts w:ascii="Cambria Math" w:eastAsiaTheme="minorEastAsia" w:hAnsi="Cambria Math"/>
                      <w:sz w:val="22"/>
                      <w:szCs w:val="22"/>
                      <w:lang w:val="en-US"/>
                    </w:rPr>
                    <m:t>c,post</m:t>
                  </m:r>
                </m:sub>
              </m:sSub>
            </m:sub>
          </m:sSub>
          <m:r>
            <w:rPr>
              <w:rFonts w:ascii="Cambria Math" w:eastAsiaTheme="minorEastAsia" w:hAnsi="Cambria Math"/>
              <w:sz w:val="22"/>
              <w:szCs w:val="22"/>
              <w:lang w:val="en-US"/>
            </w:rPr>
            <m:t>+</m:t>
          </m:r>
          <m:sSup>
            <m:sSupPr>
              <m:ctrlPr>
                <w:rPr>
                  <w:rFonts w:ascii="Cambria Math" w:eastAsiaTheme="minorEastAsia" w:hAnsi="Cambria Math"/>
                  <w:i/>
                  <w:sz w:val="22"/>
                  <w:szCs w:val="22"/>
                  <w:lang w:val="en-US"/>
                </w:rPr>
              </m:ctrlPr>
            </m:sSupPr>
            <m:e>
              <m:d>
                <m:dPr>
                  <m:ctrlPr>
                    <w:rPr>
                      <w:rFonts w:ascii="Cambria Math" w:eastAsiaTheme="minorEastAsia" w:hAnsi="Cambria Math"/>
                      <w:i/>
                      <w:sz w:val="22"/>
                      <w:szCs w:val="22"/>
                      <w:lang w:val="en-US"/>
                    </w:rPr>
                  </m:ctrlPr>
                </m:dPr>
                <m:e>
                  <m:f>
                    <m:fPr>
                      <m:ctrlPr>
                        <w:rPr>
                          <w:rFonts w:ascii="Cambria Math" w:eastAsiaTheme="minorEastAsia" w:hAnsi="Cambria Math"/>
                          <w:i/>
                          <w:sz w:val="22"/>
                          <w:szCs w:val="22"/>
                          <w:lang w:val="en-US"/>
                        </w:rPr>
                      </m:ctrlPr>
                    </m:fPr>
                    <m:num>
                      <m:r>
                        <w:rPr>
                          <w:rFonts w:ascii="Cambria Math" w:eastAsiaTheme="minorEastAsia" w:hAnsi="Cambria Math"/>
                          <w:sz w:val="22"/>
                          <w:szCs w:val="22"/>
                          <w:lang w:val="en-US"/>
                        </w:rPr>
                        <m:t>1</m:t>
                      </m:r>
                    </m:num>
                    <m:den>
                      <m:r>
                        <w:rPr>
                          <w:rFonts w:ascii="Cambria Math" w:eastAsiaTheme="minorEastAsia" w:hAnsi="Cambria Math"/>
                          <w:sz w:val="22"/>
                          <w:szCs w:val="22"/>
                          <w:lang w:val="en-US"/>
                        </w:rPr>
                        <m:t>4.34</m:t>
                      </m:r>
                    </m:den>
                  </m:f>
                </m:e>
              </m:d>
            </m:e>
            <m:sup>
              <m:r>
                <w:rPr>
                  <w:rFonts w:ascii="Cambria Math" w:eastAsiaTheme="minorEastAsia" w:hAnsi="Cambria Math"/>
                  <w:sz w:val="22"/>
                  <w:szCs w:val="22"/>
                  <w:lang w:val="en-US"/>
                </w:rPr>
                <m:t>2</m:t>
              </m:r>
            </m:sup>
          </m:sSup>
          <m:r>
            <w:rPr>
              <w:rFonts w:ascii="Cambria Math" w:eastAsiaTheme="minorEastAsia" w:hAnsi="Cambria Math"/>
              <w:sz w:val="22"/>
              <w:szCs w:val="22"/>
              <w:lang w:val="en-US"/>
            </w:rPr>
            <m:t>*</m:t>
          </m:r>
          <m:sSub>
            <m:sSubPr>
              <m:ctrlPr>
                <w:rPr>
                  <w:rFonts w:ascii="Cambria Math" w:eastAsiaTheme="minorEastAsia" w:hAnsi="Cambria Math"/>
                  <w:i/>
                  <w:sz w:val="22"/>
                  <w:szCs w:val="22"/>
                  <w:lang w:val="en-US"/>
                </w:rPr>
              </m:ctrlPr>
            </m:sSubPr>
            <m:e>
              <m:r>
                <w:rPr>
                  <w:rFonts w:ascii="Cambria Math" w:eastAsiaTheme="minorEastAsia" w:hAnsi="Cambria Math"/>
                  <w:sz w:val="22"/>
                  <w:szCs w:val="22"/>
                  <w:lang w:val="en-US"/>
                </w:rPr>
                <m:t>COV</m:t>
              </m:r>
            </m:e>
            <m:sub>
              <m:sSub>
                <m:sSubPr>
                  <m:ctrlPr>
                    <w:rPr>
                      <w:rFonts w:ascii="Cambria Math" w:eastAsiaTheme="minorEastAsia" w:hAnsi="Cambria Math"/>
                      <w:i/>
                      <w:sz w:val="22"/>
                      <w:szCs w:val="22"/>
                      <w:lang w:val="en-US"/>
                    </w:rPr>
                  </m:ctrlPr>
                </m:sSubPr>
                <m:e>
                  <m:r>
                    <w:rPr>
                      <w:rFonts w:ascii="Cambria Math" w:eastAsiaTheme="minorEastAsia" w:hAnsi="Cambria Math"/>
                      <w:sz w:val="22"/>
                      <w:szCs w:val="22"/>
                      <w:lang w:val="en-US"/>
                    </w:rPr>
                    <m:t>SST</m:t>
                  </m:r>
                </m:e>
                <m:sub>
                  <m:r>
                    <w:rPr>
                      <w:rFonts w:ascii="Cambria Math" w:eastAsiaTheme="minorEastAsia" w:hAnsi="Cambria Math"/>
                      <w:sz w:val="22"/>
                      <w:szCs w:val="22"/>
                      <w:lang w:val="en-US"/>
                    </w:rPr>
                    <m:t>post</m:t>
                  </m:r>
                </m:sub>
              </m:sSub>
            </m:sub>
          </m:sSub>
        </m:oMath>
      </m:oMathPara>
    </w:p>
    <w:p w14:paraId="18912D9E" w14:textId="59FD5786" w:rsidR="009F1935" w:rsidRDefault="009F1935" w:rsidP="00825877">
      <w:pPr>
        <w:jc w:val="both"/>
        <w:rPr>
          <w:sz w:val="22"/>
          <w:szCs w:val="22"/>
          <w:lang w:val="en-GB"/>
        </w:rPr>
      </w:pPr>
      <w:r>
        <w:rPr>
          <w:rFonts w:eastAsiaTheme="minorEastAsia"/>
          <w:sz w:val="22"/>
          <w:szCs w:val="22"/>
          <w:lang w:val="en-US"/>
        </w:rPr>
        <w:t>To calculate the posterior SSS estimate, the SSS-</w:t>
      </w:r>
      <w:r w:rsidRPr="00256EAA">
        <w:rPr>
          <w:sz w:val="22"/>
          <w:szCs w:val="22"/>
          <w:lang w:val="en-GB"/>
        </w:rPr>
        <w:t>δ</w:t>
      </w:r>
      <w:r w:rsidRPr="00256EAA">
        <w:rPr>
          <w:sz w:val="22"/>
          <w:szCs w:val="22"/>
          <w:vertAlign w:val="superscript"/>
          <w:lang w:val="en-GB"/>
        </w:rPr>
        <w:t>18</w:t>
      </w:r>
      <w:r w:rsidRPr="00256EAA">
        <w:rPr>
          <w:sz w:val="22"/>
          <w:szCs w:val="22"/>
          <w:lang w:val="en-GB"/>
        </w:rPr>
        <w:t>O</w:t>
      </w:r>
      <w:r>
        <w:rPr>
          <w:sz w:val="22"/>
          <w:szCs w:val="22"/>
          <w:vertAlign w:val="subscript"/>
          <w:lang w:val="en-GB"/>
        </w:rPr>
        <w:t>w</w:t>
      </w:r>
      <w:r>
        <w:rPr>
          <w:sz w:val="22"/>
          <w:szCs w:val="22"/>
          <w:lang w:val="en-GB"/>
        </w:rPr>
        <w:t xml:space="preserve"> equation is applied in a similar way to the posterior </w:t>
      </w:r>
      <w:r w:rsidRPr="00256EAA">
        <w:rPr>
          <w:sz w:val="22"/>
          <w:szCs w:val="22"/>
          <w:lang w:val="en-GB"/>
        </w:rPr>
        <w:t>δ</w:t>
      </w:r>
      <w:r w:rsidRPr="00256EAA">
        <w:rPr>
          <w:sz w:val="22"/>
          <w:szCs w:val="22"/>
          <w:vertAlign w:val="superscript"/>
          <w:lang w:val="en-GB"/>
        </w:rPr>
        <w:t>18</w:t>
      </w:r>
      <w:r w:rsidRPr="00256EAA">
        <w:rPr>
          <w:sz w:val="22"/>
          <w:szCs w:val="22"/>
          <w:lang w:val="en-GB"/>
        </w:rPr>
        <w:t>O</w:t>
      </w:r>
      <w:r>
        <w:rPr>
          <w:sz w:val="22"/>
          <w:szCs w:val="22"/>
          <w:vertAlign w:val="subscript"/>
          <w:lang w:val="en-GB"/>
        </w:rPr>
        <w:t>w</w:t>
      </w:r>
      <w:r>
        <w:rPr>
          <w:sz w:val="22"/>
          <w:szCs w:val="22"/>
          <w:lang w:val="en-GB"/>
        </w:rPr>
        <w:t xml:space="preserve"> estimates and their covariance matrix. In the case of the North Sea </w:t>
      </w:r>
      <w:r>
        <w:rPr>
          <w:sz w:val="22"/>
          <w:szCs w:val="22"/>
          <w:lang w:val="en-GB"/>
        </w:rPr>
        <w:fldChar w:fldCharType="begin"/>
      </w:r>
      <w:r>
        <w:rPr>
          <w:sz w:val="22"/>
          <w:szCs w:val="22"/>
          <w:lang w:val="en-GB"/>
        </w:rPr>
        <w:instrText xml:space="preserve"> ADDIN ZOTERO_ITEM CSL_CITATION {"citationID":"WVPRuGDA","properties":{"formattedCitation":"(Harwood et al., 2008)","plainCitation":"(Harwood et al., 2008)","noteIndex":0},"citationItems":[{"id":1628,"uris":["http://zotero.org/users/2470179/items/7N6RNMEZ"],"itemData":{"id":1628,"type":"article-journal","abstract":"Based on measurements of the 18O isotope composition of 247 samples collected over a 3-year period we have assessed the oxygen isotope composition of water masses in the North Sea. This is the ﬁrst d18O data set that covers the entire North Sea basin. The waters lie on a mixing line: d18O (&amp;VSMOW) ¼ À9.300 þ 0.274(S ) with North Atlantic sub-polar mode water (SPMW) and surface waters, and Baltic Sea water representing the saline and freshwater end members respectively. Patterns exhibited in surface and bottom water d18O distributions are representative of the general circulation of the North Sea. Oxygen-18 enriched waters from the North Atlantic enter the North Sea between Scotland and Norway and to a lesser extent through the English Channel. In contrast, oxygen-18 depleted waters mainly inﬂow from the Baltic Sea, the rivers Rhine and Elbe, and to a lesser degree, the Norwegian Fjords and other river sources. Locally the d18Oesalinity relationship will be controlled by the isotopic composition of the freshwater inputs. However, the range of local freshwater compositions around the North Sea basin is too narrow to characterise the relative contributions of individual sources to the overall seawater composition. This dataset provides important information for a number of related disciplines including biogeochemical research and oceanographic studies.","container-title":"Estuarine, Coastal and Shelf Science","DOI":"10.1016/j.ecss.2007.12.010","ISSN":"02727714","issue":"2","journalAbbreviation":"Estuarine, Coastal and Shelf Science","language":"en","page":"353-359","source":"DOI.org (Crossref)","title":"The oxygen isotope composition of water masses within the North Sea","volume":"78","author":[{"family":"Harwood","given":"Andrew J.P."},{"family":"Dennis","given":"Paul F."},{"family":"Marca","given":"Alina D."},{"family":"Pilling","given":"Graham M."},{"family":"Millner","given":"Richard S."}],"issued":{"date-parts":[["2008",6]]}}}],"schema":"https://github.com/citation-style-language/schema/raw/master/csl-citation.json"} </w:instrText>
      </w:r>
      <w:r>
        <w:rPr>
          <w:sz w:val="22"/>
          <w:szCs w:val="22"/>
          <w:lang w:val="en-GB"/>
        </w:rPr>
        <w:fldChar w:fldCharType="separate"/>
      </w:r>
      <w:r w:rsidRPr="009F1935">
        <w:rPr>
          <w:rFonts w:ascii="Aptos" w:hAnsi="Aptos"/>
          <w:sz w:val="22"/>
        </w:rPr>
        <w:t>(Harwood et al., 2008)</w:t>
      </w:r>
      <w:r>
        <w:rPr>
          <w:sz w:val="22"/>
          <w:szCs w:val="22"/>
          <w:lang w:val="en-GB"/>
        </w:rPr>
        <w:fldChar w:fldCharType="end"/>
      </w:r>
      <w:r>
        <w:rPr>
          <w:sz w:val="22"/>
          <w:szCs w:val="22"/>
          <w:lang w:val="en-GB"/>
        </w:rPr>
        <w:t xml:space="preserve"> equation, the calculations are as follows:</w:t>
      </w:r>
    </w:p>
    <w:p w14:paraId="6639695B" w14:textId="36C9D03B" w:rsidR="009F1935" w:rsidRPr="009F1935" w:rsidRDefault="00000000" w:rsidP="00825877">
      <w:pPr>
        <w:jc w:val="both"/>
        <w:rPr>
          <w:rFonts w:eastAsiaTheme="minorEastAsia"/>
          <w:sz w:val="22"/>
          <w:szCs w:val="22"/>
          <w:lang w:val="en-GB"/>
        </w:rPr>
      </w:pPr>
      <m:oMathPara>
        <m:oMath>
          <m:sSub>
            <m:sSubPr>
              <m:ctrlPr>
                <w:rPr>
                  <w:rFonts w:ascii="Cambria Math" w:hAnsi="Cambria Math"/>
                  <w:i/>
                  <w:sz w:val="22"/>
                  <w:szCs w:val="22"/>
                  <w:lang w:val="en-GB"/>
                </w:rPr>
              </m:ctrlPr>
            </m:sSubPr>
            <m:e>
              <m:r>
                <w:rPr>
                  <w:rFonts w:ascii="Cambria Math" w:hAnsi="Cambria Math"/>
                  <w:sz w:val="22"/>
                  <w:szCs w:val="22"/>
                  <w:lang w:val="en-GB"/>
                </w:rPr>
                <m:t>SSS</m:t>
              </m:r>
            </m:e>
            <m:sub>
              <m:r>
                <w:rPr>
                  <w:rFonts w:ascii="Cambria Math" w:hAnsi="Cambria Math"/>
                  <w:sz w:val="22"/>
                  <w:szCs w:val="22"/>
                  <w:lang w:val="en-GB"/>
                </w:rPr>
                <m:t>post</m:t>
              </m:r>
            </m:sub>
          </m:sSub>
          <m:r>
            <w:rPr>
              <w:rFonts w:ascii="Cambria Math" w:hAnsi="Cambria Math"/>
              <w:sz w:val="22"/>
              <w:szCs w:val="22"/>
              <w:lang w:val="en-GB"/>
            </w:rPr>
            <m:t>=</m:t>
          </m:r>
          <m:f>
            <m:fPr>
              <m:ctrlPr>
                <w:rPr>
                  <w:rFonts w:ascii="Cambria Math" w:hAnsi="Cambria Math"/>
                  <w:i/>
                  <w:sz w:val="22"/>
                  <w:szCs w:val="22"/>
                  <w:lang w:val="en-GB"/>
                </w:rPr>
              </m:ctrlPr>
            </m:fPr>
            <m:num>
              <m:d>
                <m:dPr>
                  <m:ctrlPr>
                    <w:rPr>
                      <w:rFonts w:ascii="Cambria Math" w:hAnsi="Cambria Math"/>
                      <w:i/>
                      <w:sz w:val="22"/>
                      <w:szCs w:val="22"/>
                      <w:lang w:val="en-GB"/>
                    </w:rPr>
                  </m:ctrlPr>
                </m:dPr>
                <m:e>
                  <m:sSub>
                    <m:sSubPr>
                      <m:ctrlPr>
                        <w:rPr>
                          <w:rFonts w:ascii="Cambria Math" w:eastAsiaTheme="minorEastAsia" w:hAnsi="Cambria Math"/>
                          <w:i/>
                          <w:sz w:val="22"/>
                          <w:szCs w:val="22"/>
                          <w:lang w:val="en-US"/>
                        </w:rPr>
                      </m:ctrlPr>
                    </m:sSubPr>
                    <m:e>
                      <m:r>
                        <w:rPr>
                          <w:rFonts w:ascii="Cambria Math" w:eastAsiaTheme="minorEastAsia" w:hAnsi="Cambria Math"/>
                          <w:sz w:val="22"/>
                          <w:szCs w:val="22"/>
                          <w:lang w:val="en-US"/>
                        </w:rPr>
                        <m:t>δ</m:t>
                      </m:r>
                      <m:sPre>
                        <m:sPrePr>
                          <m:ctrlPr>
                            <w:rPr>
                              <w:rFonts w:ascii="Cambria Math" w:eastAsiaTheme="minorEastAsia" w:hAnsi="Cambria Math"/>
                              <w:i/>
                              <w:sz w:val="22"/>
                              <w:szCs w:val="22"/>
                              <w:lang w:val="en-US"/>
                            </w:rPr>
                          </m:ctrlPr>
                        </m:sPrePr>
                        <m:sub/>
                        <m:sup>
                          <m:r>
                            <w:rPr>
                              <w:rFonts w:ascii="Cambria Math" w:eastAsiaTheme="minorEastAsia" w:hAnsi="Cambria Math"/>
                              <w:sz w:val="22"/>
                              <w:szCs w:val="22"/>
                              <w:lang w:val="en-US"/>
                            </w:rPr>
                            <m:t>18</m:t>
                          </m:r>
                        </m:sup>
                        <m:e>
                          <m:r>
                            <w:rPr>
                              <w:rFonts w:ascii="Cambria Math" w:eastAsiaTheme="minorEastAsia" w:hAnsi="Cambria Math"/>
                              <w:sz w:val="22"/>
                              <w:szCs w:val="22"/>
                              <w:lang w:val="en-US"/>
                            </w:rPr>
                            <m:t>O</m:t>
                          </m:r>
                        </m:e>
                      </m:sPre>
                    </m:e>
                    <m:sub>
                      <m:r>
                        <w:rPr>
                          <w:rFonts w:ascii="Cambria Math" w:eastAsiaTheme="minorEastAsia" w:hAnsi="Cambria Math"/>
                          <w:sz w:val="22"/>
                          <w:szCs w:val="22"/>
                          <w:lang w:val="en-US"/>
                        </w:rPr>
                        <m:t>w,post</m:t>
                      </m:r>
                    </m:sub>
                  </m:sSub>
                  <m:r>
                    <w:rPr>
                      <w:rFonts w:ascii="Cambria Math" w:eastAsiaTheme="minorEastAsia" w:hAnsi="Cambria Math"/>
                      <w:sz w:val="22"/>
                      <w:szCs w:val="22"/>
                      <w:lang w:val="en-US"/>
                    </w:rPr>
                    <m:t>+7.89</m:t>
                  </m:r>
                </m:e>
              </m:d>
            </m:num>
            <m:den>
              <m:r>
                <w:rPr>
                  <w:rFonts w:ascii="Cambria Math" w:hAnsi="Cambria Math"/>
                  <w:sz w:val="22"/>
                  <w:szCs w:val="22"/>
                  <w:lang w:val="en-GB"/>
                </w:rPr>
                <m:t>0.23</m:t>
              </m:r>
            </m:den>
          </m:f>
        </m:oMath>
      </m:oMathPara>
    </w:p>
    <w:p w14:paraId="065398A8" w14:textId="066D5714" w:rsidR="009F1935" w:rsidRPr="009F1935" w:rsidRDefault="00000000" w:rsidP="00825877">
      <w:pPr>
        <w:jc w:val="both"/>
        <w:rPr>
          <w:sz w:val="22"/>
          <w:szCs w:val="22"/>
          <w:lang w:val="en-GB"/>
        </w:rPr>
      </w:pPr>
      <m:oMathPara>
        <m:oMath>
          <m:sSub>
            <m:sSubPr>
              <m:ctrlPr>
                <w:rPr>
                  <w:rFonts w:ascii="Cambria Math" w:hAnsi="Cambria Math"/>
                  <w:i/>
                  <w:sz w:val="22"/>
                  <w:szCs w:val="22"/>
                  <w:lang w:val="en-GB"/>
                </w:rPr>
              </m:ctrlPr>
            </m:sSubPr>
            <m:e>
              <m:r>
                <w:rPr>
                  <w:rFonts w:ascii="Cambria Math" w:hAnsi="Cambria Math"/>
                  <w:sz w:val="22"/>
                  <w:szCs w:val="22"/>
                  <w:lang w:val="en-GB"/>
                </w:rPr>
                <m:t>COV</m:t>
              </m:r>
            </m:e>
            <m:sub>
              <m:r>
                <w:rPr>
                  <w:rFonts w:ascii="Cambria Math" w:hAnsi="Cambria Math"/>
                  <w:sz w:val="22"/>
                  <w:szCs w:val="22"/>
                  <w:lang w:val="en-GB"/>
                </w:rPr>
                <m:t>SSS,post</m:t>
              </m:r>
            </m:sub>
          </m:sSub>
          <m:r>
            <w:rPr>
              <w:rFonts w:ascii="Cambria Math" w:hAnsi="Cambria Math"/>
              <w:sz w:val="22"/>
              <w:szCs w:val="22"/>
              <w:lang w:val="en-GB"/>
            </w:rPr>
            <m:t>=</m:t>
          </m:r>
          <m:sSup>
            <m:sSupPr>
              <m:ctrlPr>
                <w:rPr>
                  <w:rFonts w:ascii="Cambria Math" w:hAnsi="Cambria Math"/>
                  <w:i/>
                  <w:sz w:val="22"/>
                  <w:szCs w:val="22"/>
                  <w:lang w:val="en-GB"/>
                </w:rPr>
              </m:ctrlPr>
            </m:sSupPr>
            <m:e>
              <m:d>
                <m:dPr>
                  <m:ctrlPr>
                    <w:rPr>
                      <w:rFonts w:ascii="Cambria Math" w:hAnsi="Cambria Math"/>
                      <w:i/>
                      <w:sz w:val="22"/>
                      <w:szCs w:val="22"/>
                      <w:lang w:val="en-GB"/>
                    </w:rPr>
                  </m:ctrlPr>
                </m:dPr>
                <m:e>
                  <m:f>
                    <m:fPr>
                      <m:ctrlPr>
                        <w:rPr>
                          <w:rFonts w:ascii="Cambria Math" w:hAnsi="Cambria Math"/>
                          <w:i/>
                          <w:sz w:val="22"/>
                          <w:szCs w:val="22"/>
                          <w:lang w:val="en-GB"/>
                        </w:rPr>
                      </m:ctrlPr>
                    </m:fPr>
                    <m:num>
                      <m:r>
                        <w:rPr>
                          <w:rFonts w:ascii="Cambria Math" w:hAnsi="Cambria Math"/>
                          <w:sz w:val="22"/>
                          <w:szCs w:val="22"/>
                          <w:lang w:val="en-GB"/>
                        </w:rPr>
                        <m:t>1</m:t>
                      </m:r>
                    </m:num>
                    <m:den>
                      <m:r>
                        <w:rPr>
                          <w:rFonts w:ascii="Cambria Math" w:hAnsi="Cambria Math"/>
                          <w:sz w:val="22"/>
                          <w:szCs w:val="22"/>
                          <w:lang w:val="en-GB"/>
                        </w:rPr>
                        <m:t>0.23</m:t>
                      </m:r>
                    </m:den>
                  </m:f>
                </m:e>
              </m:d>
            </m:e>
            <m:sup>
              <m:r>
                <w:rPr>
                  <w:rFonts w:ascii="Cambria Math" w:hAnsi="Cambria Math"/>
                  <w:sz w:val="22"/>
                  <w:szCs w:val="22"/>
                  <w:lang w:val="en-GB"/>
                </w:rPr>
                <m:t>2</m:t>
              </m:r>
            </m:sup>
          </m:sSup>
          <m:r>
            <w:rPr>
              <w:rFonts w:ascii="Cambria Math" w:hAnsi="Cambria Math"/>
              <w:sz w:val="22"/>
              <w:szCs w:val="22"/>
              <w:lang w:val="en-GB"/>
            </w:rPr>
            <m:t>*</m:t>
          </m:r>
          <m:sSub>
            <m:sSubPr>
              <m:ctrlPr>
                <w:rPr>
                  <w:rFonts w:ascii="Cambria Math" w:eastAsiaTheme="minorEastAsia" w:hAnsi="Cambria Math"/>
                  <w:i/>
                  <w:sz w:val="22"/>
                  <w:szCs w:val="22"/>
                  <w:lang w:val="en-US"/>
                </w:rPr>
              </m:ctrlPr>
            </m:sSubPr>
            <m:e>
              <m:r>
                <w:rPr>
                  <w:rFonts w:ascii="Cambria Math" w:eastAsiaTheme="minorEastAsia" w:hAnsi="Cambria Math"/>
                  <w:sz w:val="22"/>
                  <w:szCs w:val="22"/>
                  <w:lang w:val="en-US"/>
                </w:rPr>
                <m:t>COV</m:t>
              </m:r>
            </m:e>
            <m:sub>
              <m:sSub>
                <m:sSubPr>
                  <m:ctrlPr>
                    <w:rPr>
                      <w:rFonts w:ascii="Cambria Math" w:eastAsiaTheme="minorEastAsia" w:hAnsi="Cambria Math"/>
                      <w:i/>
                      <w:sz w:val="22"/>
                      <w:szCs w:val="22"/>
                      <w:lang w:val="en-US"/>
                    </w:rPr>
                  </m:ctrlPr>
                </m:sSubPr>
                <m:e>
                  <m:r>
                    <w:rPr>
                      <w:rFonts w:ascii="Cambria Math" w:eastAsiaTheme="minorEastAsia" w:hAnsi="Cambria Math"/>
                      <w:sz w:val="22"/>
                      <w:szCs w:val="22"/>
                      <w:lang w:val="en-US"/>
                    </w:rPr>
                    <m:t>δ</m:t>
                  </m:r>
                  <m:sPre>
                    <m:sPrePr>
                      <m:ctrlPr>
                        <w:rPr>
                          <w:rFonts w:ascii="Cambria Math" w:eastAsiaTheme="minorEastAsia" w:hAnsi="Cambria Math"/>
                          <w:i/>
                          <w:sz w:val="22"/>
                          <w:szCs w:val="22"/>
                          <w:lang w:val="en-US"/>
                        </w:rPr>
                      </m:ctrlPr>
                    </m:sPrePr>
                    <m:sub/>
                    <m:sup>
                      <m:r>
                        <w:rPr>
                          <w:rFonts w:ascii="Cambria Math" w:eastAsiaTheme="minorEastAsia" w:hAnsi="Cambria Math"/>
                          <w:sz w:val="22"/>
                          <w:szCs w:val="22"/>
                          <w:lang w:val="en-US"/>
                        </w:rPr>
                        <m:t>18</m:t>
                      </m:r>
                    </m:sup>
                    <m:e>
                      <m:r>
                        <w:rPr>
                          <w:rFonts w:ascii="Cambria Math" w:eastAsiaTheme="minorEastAsia" w:hAnsi="Cambria Math"/>
                          <w:sz w:val="22"/>
                          <w:szCs w:val="22"/>
                          <w:lang w:val="en-US"/>
                        </w:rPr>
                        <m:t>O</m:t>
                      </m:r>
                    </m:e>
                  </m:sPre>
                </m:e>
                <m:sub>
                  <m:r>
                    <w:rPr>
                      <w:rFonts w:ascii="Cambria Math" w:eastAsiaTheme="minorEastAsia" w:hAnsi="Cambria Math"/>
                      <w:sz w:val="22"/>
                      <w:szCs w:val="22"/>
                      <w:lang w:val="en-US"/>
                    </w:rPr>
                    <m:t>w,post</m:t>
                  </m:r>
                </m:sub>
              </m:sSub>
            </m:sub>
          </m:sSub>
        </m:oMath>
      </m:oMathPara>
    </w:p>
    <w:p w14:paraId="04C856CC" w14:textId="68DFBE86" w:rsidR="00EF2CE9" w:rsidRDefault="009F1935" w:rsidP="00825877">
      <w:pPr>
        <w:jc w:val="both"/>
        <w:rPr>
          <w:sz w:val="22"/>
          <w:szCs w:val="22"/>
          <w:lang w:val="en-US"/>
        </w:rPr>
      </w:pPr>
      <w:r>
        <w:rPr>
          <w:sz w:val="22"/>
          <w:szCs w:val="22"/>
          <w:lang w:val="en-US"/>
        </w:rPr>
        <w:t xml:space="preserve">For plotting, the standard deviations of posterior </w:t>
      </w:r>
      <w:r w:rsidR="00A06C38">
        <w:rPr>
          <w:sz w:val="22"/>
          <w:szCs w:val="22"/>
          <w:lang w:val="en-US"/>
        </w:rPr>
        <w:t>covariance matrices are derived by taking the square root of the diagonal of the posterior covariance matrix.</w:t>
      </w:r>
    </w:p>
    <w:p w14:paraId="63CA6982" w14:textId="5BF52AD9" w:rsidR="00A06C38" w:rsidRDefault="00A06C38" w:rsidP="00825877">
      <w:pPr>
        <w:jc w:val="both"/>
        <w:rPr>
          <w:sz w:val="22"/>
          <w:szCs w:val="22"/>
          <w:lang w:val="en-US"/>
        </w:rPr>
      </w:pPr>
      <w:r>
        <w:rPr>
          <w:sz w:val="22"/>
          <w:szCs w:val="22"/>
          <w:lang w:val="en-US"/>
        </w:rPr>
        <w:t>2.2.4 Validating the posterior estimates</w:t>
      </w:r>
    </w:p>
    <w:p w14:paraId="0E7F164A" w14:textId="0928FBFA" w:rsidR="00A06C38" w:rsidRPr="00A06C38" w:rsidRDefault="00A06C38" w:rsidP="001B6F7E">
      <w:pPr>
        <w:jc w:val="both"/>
        <w:rPr>
          <w:sz w:val="22"/>
          <w:szCs w:val="22"/>
          <w:lang w:val="en-US"/>
        </w:rPr>
      </w:pPr>
      <w:r>
        <w:rPr>
          <w:sz w:val="22"/>
          <w:szCs w:val="22"/>
          <w:lang w:val="en-US"/>
        </w:rPr>
        <w:t xml:space="preserve">For the modern case study, it is possible to validate the posterior outcome of the data assimilation by comparing posterior estimates to </w:t>
      </w:r>
      <w:r w:rsidRPr="00A06C38">
        <w:rPr>
          <w:i/>
          <w:iCs/>
          <w:sz w:val="22"/>
          <w:szCs w:val="22"/>
          <w:lang w:val="en-US"/>
        </w:rPr>
        <w:t>in situ</w:t>
      </w:r>
      <w:r>
        <w:rPr>
          <w:sz w:val="22"/>
          <w:szCs w:val="22"/>
          <w:lang w:val="en-US"/>
        </w:rPr>
        <w:t xml:space="preserve"> measurements of the climate parameters in the area (see section 2.1.1). These measurements were aggregated into monthly means and variances to allow direct comparison with the DA outcome.</w:t>
      </w:r>
    </w:p>
    <w:p w14:paraId="6225ED81" w14:textId="3941B164" w:rsidR="00953791" w:rsidRDefault="00953791" w:rsidP="00953791">
      <w:pPr>
        <w:jc w:val="both"/>
        <w:rPr>
          <w:sz w:val="22"/>
          <w:szCs w:val="22"/>
          <w:lang w:val="en-US"/>
        </w:rPr>
      </w:pPr>
      <w:r w:rsidRPr="008E464A">
        <w:rPr>
          <w:sz w:val="22"/>
          <w:szCs w:val="22"/>
          <w:lang w:val="en-US"/>
        </w:rPr>
        <w:t>2.3 Sensitivity experiments</w:t>
      </w:r>
    </w:p>
    <w:p w14:paraId="6A73FCA7" w14:textId="2D18E9E3" w:rsidR="001B6F7E" w:rsidRPr="008E464A" w:rsidRDefault="001B6F7E" w:rsidP="00953791">
      <w:pPr>
        <w:jc w:val="both"/>
        <w:rPr>
          <w:sz w:val="22"/>
          <w:szCs w:val="22"/>
          <w:lang w:val="en-US"/>
        </w:rPr>
      </w:pPr>
      <w:r>
        <w:rPr>
          <w:sz w:val="22"/>
          <w:szCs w:val="22"/>
          <w:lang w:val="en-US"/>
        </w:rPr>
        <w:lastRenderedPageBreak/>
        <w:t xml:space="preserve">With the data assimilation protocol in place, it becomes possible to test the effect of certain choices in data treatment and input on the assimilated result. We believe this important, because such choices (e.g. whether or not to fully propagate uncertainty, which model boundary conditions to use, and which calibration or transfer functions to use to relate between variables) are often made in the paleoclimate literature without strict consensus on best practices. </w:t>
      </w:r>
      <w:r w:rsidR="00B4717D">
        <w:rPr>
          <w:sz w:val="22"/>
          <w:szCs w:val="22"/>
          <w:lang w:val="en-US"/>
        </w:rPr>
        <w:t>Through the sensitivity experiments below, we hope to show the added value of data assimilation for assessing the impact of data treatment choices both on proxy-model comparisons and on our “best estimate” of what sub-annual climate variability looked like in the geological past.</w:t>
      </w:r>
    </w:p>
    <w:p w14:paraId="3C0B78DC" w14:textId="77777777" w:rsidR="00B4717D" w:rsidRDefault="00B4717D" w:rsidP="00B4717D">
      <w:pPr>
        <w:jc w:val="both"/>
        <w:rPr>
          <w:sz w:val="22"/>
          <w:szCs w:val="22"/>
          <w:lang w:val="en-GB"/>
        </w:rPr>
      </w:pPr>
      <w:r>
        <w:rPr>
          <w:sz w:val="22"/>
          <w:szCs w:val="22"/>
          <w:lang w:val="en-GB"/>
        </w:rPr>
        <w:t xml:space="preserve">2.3.1 </w:t>
      </w:r>
      <w:r w:rsidR="00156B07" w:rsidRPr="00B4717D">
        <w:rPr>
          <w:sz w:val="22"/>
          <w:szCs w:val="22"/>
          <w:lang w:val="en-GB"/>
        </w:rPr>
        <w:t xml:space="preserve">Treatment of </w:t>
      </w:r>
      <w:r>
        <w:rPr>
          <w:sz w:val="22"/>
          <w:szCs w:val="22"/>
          <w:lang w:val="en-GB"/>
        </w:rPr>
        <w:t xml:space="preserve">proxy </w:t>
      </w:r>
      <w:r w:rsidR="00156B07" w:rsidRPr="00B4717D">
        <w:rPr>
          <w:sz w:val="22"/>
          <w:szCs w:val="22"/>
          <w:lang w:val="en-GB"/>
        </w:rPr>
        <w:t>uncertainty in time domain</w:t>
      </w:r>
    </w:p>
    <w:p w14:paraId="20B993D4" w14:textId="28C1FD09" w:rsidR="00A13D69" w:rsidRDefault="00F86172" w:rsidP="00B4717D">
      <w:pPr>
        <w:jc w:val="both"/>
        <w:rPr>
          <w:sz w:val="22"/>
          <w:szCs w:val="22"/>
          <w:lang w:val="en-GB"/>
        </w:rPr>
      </w:pPr>
      <w:r>
        <w:rPr>
          <w:sz w:val="22"/>
          <w:szCs w:val="22"/>
          <w:lang w:val="en-GB"/>
        </w:rPr>
        <w:t>Throughout our data assimilation routine, we have chosen by default to ass</w:t>
      </w:r>
      <w:r w:rsidR="003E7FF0">
        <w:rPr>
          <w:sz w:val="22"/>
          <w:szCs w:val="22"/>
          <w:lang w:val="en-GB"/>
        </w:rPr>
        <w:t>imilate</w:t>
      </w:r>
      <w:r>
        <w:rPr>
          <w:sz w:val="22"/>
          <w:szCs w:val="22"/>
          <w:lang w:val="en-GB"/>
        </w:rPr>
        <w:t xml:space="preserve"> proxy and model data in monthly time bins. This is in accordance with the default output of most GCMs and therefore facilitates proxy-model comparison. However, it is not always straightforward to align deep-time proxy data to monthly bins as no calendar dates are known for this data and models can have different calendar systems (see the “Calendar Problem”; </w:t>
      </w:r>
      <w:r>
        <w:rPr>
          <w:sz w:val="22"/>
          <w:szCs w:val="22"/>
          <w:lang w:val="en-GB"/>
        </w:rPr>
        <w:fldChar w:fldCharType="begin"/>
      </w:r>
      <w:r>
        <w:rPr>
          <w:sz w:val="22"/>
          <w:szCs w:val="22"/>
          <w:lang w:val="en-GB"/>
        </w:rPr>
        <w:instrText xml:space="preserve"> ADDIN ZOTERO_ITEM CSL_CITATION {"citationID":"ouaChD2J","properties":{"formattedCitation":"(Shi et al., 2022)","plainCitation":"(Shi et al., 2022)","noteIndex":0},"citationItems":[{"id":11819,"uris":["http://zotero.org/users/2470179/items/U3XKR2DD"],"itemData":{"id":11819,"type":"article-journal","abstract":"Numerical modeling enables a comprehensive understanding not only of the Earth's system today, but also of the past. To date, a significant amount of time and effort has been devoted to paleoclimate modeling and analysis, which involves the latest and most advanced Paleoclimate Modelling Intercomparison Project phase 4 (PMIP4). The definition of seasonality, which is influenced by slow variations in the Earth's orbital parameters, plays a key role in determining the calculated seasonal cycle of the climate. In contrast to the classical calendar used today, where the lengths of the months and seasons are fixed, the angular calendar calculates the lengths of the months and seasons according to a fixed number of degrees along the Earth's orbit. When comparing simulation results for different time intervals, it is essential to account for the angular calendar to ensure that the data for comparison are from the same position along the Earth's orbit. Most models use the classical calendar, which can lead to strong distortions of the monthly and seasonal values, especially for the climate of the past. Here, by analyzing daily outputs from multiple PMIP4 model simulations, we examine calendar effects on surface air temperature and precipitation under mid-Holocene, Last Interglacial, and pre-industrial climate conditions. We came to the following conclusions. (a) The largest cooling bias occurs in boreal autumn when the classical calendar is applied for the mid-Holocene and Last Interglacial, due to the fact that the vernal equinox is fixed on 21 March. (b) The sign of the temperature anomalies between the Last Interglacial and pre-industrial in boreal autumn can be reversed after the switch from the classical to angular calendar, particularly over the Northern Hemisphere continents. (c) Precipitation over West Africa is overestimated in boreal summer and underestimated in boreal autumn when the classical seasonal cycle is applied. (d) Finally, month-length adjusted values for surface air temperature and precipitation are very similar to the day-length adjusted values, and therefore correcting the calendar based on the monthly model results can largely reduce the artificial bias. In addition, we examine the calendar effects in three transient simulations for 6–0 ka by AWI-ESM, MPI-ESM, and IPSL-CM. We find significant discrepancies between adjusted and unadjusted temperature values over continents for both hemispheres in boreal autumn, while for other seasons the deviations are relatively small. A drying bias can be found in the summer monsoon precipitation in Africa (in the classical calendar), whereby the magnitude of bias becomes smaller over time. Overall, our study underlines the importance of the application of calendar transformation in the analysis of climate simulations. Neglecting the calendar effects could lead to a profound artificial distortion of the calculated seasonal cycle of surface air temperature and precipitation.","container-title":"Climate of the Past","DOI":"10.5194/cp-18-1047-2022","ISSN":"1814-9324","issue":"5","language":"English","note":"publisher: Copernicus GmbH","page":"1047-1070","source":"Copernicus Online Journals","title":"Calendar effects on surface air temperature and precipitation based on model-ensemble equilibrium and transient simulations from PMIP4 and PACMEDY","volume":"18","author":[{"family":"Shi","given":"Xiaoxu"},{"family":"Werner","given":"Martin"},{"family":"Krug","given":"Carolin"},{"family":"Brierley","given":"Chris M."},{"family":"Zhao","given":"Anni"},{"family":"Igbinosa","given":"Endurance"},{"family":"Braconnot","given":"Pascale"},{"family":"Brady","given":"Esther"},{"family":"Cao","given":"Jian"},{"family":"D'Agostino","given":"Roberta"},{"family":"Jungclaus","given":"Johann"},{"family":"Liu","given":"Xingxing"},{"family":"Otto-Bliesner","given":"Bette"},{"family":"Sidorenko","given":"Dmitry"},{"family":"Tomas","given":"Robert"},{"family":"Volodin","given":"Evgeny M."},{"family":"Yang","given":"Hu"},{"family":"Zhang","given":"Qiong"},{"family":"Zheng","given":"Weipeng"},{"family":"Lohmann","given":"Gerrit"}],"issued":{"date-parts":[["2022",5,13]]}}}],"schema":"https://github.com/citation-style-language/schema/raw/master/csl-citation.json"} </w:instrText>
      </w:r>
      <w:r>
        <w:rPr>
          <w:sz w:val="22"/>
          <w:szCs w:val="22"/>
          <w:lang w:val="en-GB"/>
        </w:rPr>
        <w:fldChar w:fldCharType="separate"/>
      </w:r>
      <w:r w:rsidRPr="00F86172">
        <w:rPr>
          <w:rFonts w:ascii="Aptos" w:hAnsi="Aptos"/>
          <w:sz w:val="22"/>
        </w:rPr>
        <w:t>(Shi et al., 2022)</w:t>
      </w:r>
      <w:r>
        <w:rPr>
          <w:sz w:val="22"/>
          <w:szCs w:val="22"/>
          <w:lang w:val="en-GB"/>
        </w:rPr>
        <w:fldChar w:fldCharType="end"/>
      </w:r>
      <w:r>
        <w:rPr>
          <w:sz w:val="22"/>
          <w:szCs w:val="22"/>
          <w:lang w:val="en-GB"/>
        </w:rPr>
        <w:t>). This alignment procedure therefore often assign</w:t>
      </w:r>
      <w:r w:rsidR="00A13D69">
        <w:rPr>
          <w:sz w:val="22"/>
          <w:szCs w:val="22"/>
          <w:lang w:val="en-GB"/>
        </w:rPr>
        <w:t>s</w:t>
      </w:r>
      <w:r>
        <w:rPr>
          <w:sz w:val="22"/>
          <w:szCs w:val="22"/>
          <w:lang w:val="en-GB"/>
        </w:rPr>
        <w:t xml:space="preserve"> months based on their mean temperature, for e</w:t>
      </w:r>
      <w:r w:rsidR="00A13D69">
        <w:rPr>
          <w:sz w:val="22"/>
          <w:szCs w:val="22"/>
          <w:lang w:val="en-GB"/>
        </w:rPr>
        <w:t>xample by aligning the warmest 1/12</w:t>
      </w:r>
      <w:r w:rsidR="00A13D69" w:rsidRPr="00A13D69">
        <w:rPr>
          <w:sz w:val="22"/>
          <w:szCs w:val="22"/>
          <w:vertAlign w:val="superscript"/>
          <w:lang w:val="en-GB"/>
        </w:rPr>
        <w:t>th</w:t>
      </w:r>
      <w:r w:rsidR="00A13D69">
        <w:rPr>
          <w:sz w:val="22"/>
          <w:szCs w:val="22"/>
          <w:lang w:val="en-GB"/>
        </w:rPr>
        <w:t xml:space="preserve">-of-the-year time bin to the warmest month in the mean model outcomes, as is common in the datasets used in this study (see 2.2.1 and e.g. </w:t>
      </w:r>
      <w:r w:rsidR="00A13D69">
        <w:rPr>
          <w:sz w:val="22"/>
          <w:szCs w:val="22"/>
          <w:lang w:val="en-GB"/>
        </w:rPr>
        <w:fldChar w:fldCharType="begin"/>
      </w:r>
      <w:r w:rsidR="00A13D69">
        <w:rPr>
          <w:sz w:val="22"/>
          <w:szCs w:val="22"/>
          <w:lang w:val="en-GB"/>
        </w:rPr>
        <w:instrText xml:space="preserve"> ADDIN ZOTERO_ITEM CSL_CITATION {"citationID":"UXV5Jsry","properties":{"formattedCitation":"(de Winter et al., 2021, 2024)","plainCitation":"(de Winter et al., 2021, 2024)","noteIndex":0},"citationItems":[{"id":2680,"uris":["http://zotero.org/users/2470179/items/HR649PES"],"itemData":{"id":2680,"type":"article-journal","abstract":"Seasonal variability in sea surface temperatures plays a fundamental role in climate dynamics and species distribution. Seasonal bias can also severely compromise the accuracy of mean annual temperature reconstructions. It is therefore essential to better understand seasonal variability in climates of the past. Many reconstructions of climate in deep time neglect this issue and rely on controversial assumptions, such as estimates of sea water oxygen isotope composition. Here we present absolute seasonal temperature reconstructions based on clumped isotope measurements in bivalve shells which, critically, do not rely on these assumptions. We reconstruct highly precise monthly sea surface temperatures at around 50 °N latitude from individual oyster and rudist shells of the Campanian greenhouse period about 78 million years ago, when the seasonal range at 50 °N comprised 15 to 27</w:instrText>
      </w:r>
      <w:r w:rsidR="00A13D69">
        <w:rPr>
          <w:rFonts w:ascii="Arial" w:hAnsi="Arial" w:cs="Arial"/>
          <w:sz w:val="22"/>
          <w:szCs w:val="22"/>
          <w:lang w:val="en-GB"/>
        </w:rPr>
        <w:instrText> </w:instrText>
      </w:r>
      <w:r w:rsidR="00A13D69">
        <w:rPr>
          <w:rFonts w:ascii="Aptos" w:hAnsi="Aptos" w:cs="Aptos"/>
          <w:sz w:val="22"/>
          <w:szCs w:val="22"/>
          <w:lang w:val="en-GB"/>
        </w:rPr>
        <w:instrText>°</w:instrText>
      </w:r>
      <w:r w:rsidR="00A13D69">
        <w:rPr>
          <w:sz w:val="22"/>
          <w:szCs w:val="22"/>
          <w:lang w:val="en-GB"/>
        </w:rPr>
        <w:instrText xml:space="preserve">C. In agreement with fully coupled climate model simulations, we find that greenhouse climates outside the tropics were warmer and more seasonal than previously thought. We conclude that seasonal bias and assumptions about seawater composition can distort temperature reconstructions and our understanding of past greenhouse climates.","container-title":"Communications Earth &amp; Environment","DOI":"10.1038/s43247-021-00193-9","ISSN":"2662-4435","issue":"1","journalAbbreviation":"Commun Earth Environ","language":"en","license":"2021 The Author(s)","note":"number: 1\npublisher: Nature Publishing Group","page":"1-8","source":"www.nature.com","title":"Absolute seasonal temperature estimates from clumped isotopes in bivalve shells suggest warm and variable greenhouse climate","volume":"2","author":[{"family":"Winter","given":"Niels J.","non-dropping-particle":"de"},{"family":"Müller","given":"Inigo A."},{"family":"Kocken","given":"Ilja J."},{"family":"Thibault","given":"Nicolas"},{"family":"Ullmann","given":"Clemens V."},{"family":"Farnsworth","given":"Alex"},{"family":"Lunt","given":"Daniel J."},{"family":"Claeys","given":"Philippe"},{"family":"Ziegler","given":"Martin"}],"issued":{"date-parts":[["2021",6,10]]}}},{"id":2782,"uris":["http://zotero.org/users/2470179/items/DDJJAF7R"],"itemData":{"id":2782,"type":"article-journal","abstract":"Documenting the seasonal temperature cycle constitutes an essential step toward mitigating risks associated with extreme weather events in a future warmer world. The mid-Piacenzian Warm Period (mPWP), 3.3 to 3.0 million years ago, featured global temperatures approximately 3°C above preindustrial levels. It represents an ideal period for directed paleoclimate reconstructions equivalent to model projections for 2100 under moderate Shared Socioeconomic Pathway SSP2-4.5. Here, seasonal clumped isotope analyses of fossil mollusk shells from the North Sea are presented to test Pliocene Model Intercomparison Project 2 outcomes. Joint data and model evidence reveals enhanced summer warming (+4.3° ± 1.0°C) compared to winter (+2.5° ± 1.5°C) during the mPWP, equivalent to SSP2-4.5 outcomes for future climate. We show that Arctic amplification of global warming weakens mid-latitude summer circulation while intensifying seasonal contrast in temperature and precipitation, leading to an increased risk of summer heat waves and other extreme weather events in Europe’s future.","container-title":"Science Advances","DOI":"10.1126/sciadv.adl6717","issue":"20","note":"publisher: American Association for the Advancement of Science","page":"eadl6717","source":"science.org (Atypon)","title":"Amplified seasonality in western Europe in a warmer world","volume":"10","author":[{"family":"Winter","given":"Niels J.","non-dropping-particle":"de"},{"family":"Tindall","given":"Julia"},{"family":"Johnson","given":"Andrew L. A."},{"family":"Goudsmit-Harzevoort","given":"Barbara"},{"family":"Wichern","given":"Nina"},{"family":"Kaskes","given":"Pim"},{"family":"Claeys","given":"Philippe"},{"family":"Huygen","given":"Fynn"},{"family":"Leeuwen","given":"Sonja","non-dropping-particle":"van"},{"family":"Metcalfe","given":"Brett"},{"family":"Bakker","given":"Pepijn"},{"family":"Goolaerts","given":"Stijn"},{"family":"Wesselingh","given":"Frank"},{"family":"Ziegler","given":"Martin"}],"issued":{"date-parts":[["2024",5,15]]}}}],"schema":"https://github.com/citation-style-language/schema/raw/master/csl-citation.json"} </w:instrText>
      </w:r>
      <w:r w:rsidR="00A13D69">
        <w:rPr>
          <w:sz w:val="22"/>
          <w:szCs w:val="22"/>
          <w:lang w:val="en-GB"/>
        </w:rPr>
        <w:fldChar w:fldCharType="separate"/>
      </w:r>
      <w:r w:rsidR="00A13D69" w:rsidRPr="00A13D69">
        <w:rPr>
          <w:rFonts w:ascii="Aptos" w:hAnsi="Aptos"/>
          <w:sz w:val="22"/>
        </w:rPr>
        <w:t>(de Winter et al., 2021, 2024)</w:t>
      </w:r>
      <w:r w:rsidR="00A13D69">
        <w:rPr>
          <w:sz w:val="22"/>
          <w:szCs w:val="22"/>
          <w:lang w:val="en-GB"/>
        </w:rPr>
        <w:fldChar w:fldCharType="end"/>
      </w:r>
      <w:r w:rsidR="00A13D69">
        <w:rPr>
          <w:sz w:val="22"/>
          <w:szCs w:val="22"/>
          <w:lang w:val="en-GB"/>
        </w:rPr>
        <w:t>). Furthermore, the internal age models of seasonally-resolved climate records comes with its own uncertainty, which is often not considered in reconstructions since it is hard to estimate.</w:t>
      </w:r>
    </w:p>
    <w:p w14:paraId="3123D165" w14:textId="77777777" w:rsidR="00D11201" w:rsidRDefault="00A13D69" w:rsidP="00B4717D">
      <w:pPr>
        <w:jc w:val="both"/>
        <w:rPr>
          <w:sz w:val="22"/>
          <w:szCs w:val="22"/>
          <w:lang w:val="en-GB"/>
        </w:rPr>
      </w:pPr>
      <w:r>
        <w:rPr>
          <w:sz w:val="22"/>
          <w:szCs w:val="22"/>
          <w:lang w:val="en-GB"/>
        </w:rPr>
        <w:t xml:space="preserve">To test the impact of these </w:t>
      </w:r>
      <w:r w:rsidR="00E64B84">
        <w:rPr>
          <w:sz w:val="22"/>
          <w:szCs w:val="22"/>
          <w:lang w:val="en-GB"/>
        </w:rPr>
        <w:t>two potential sources of variability between data assimilation products, we carried out two sensitivity studies:</w:t>
      </w:r>
    </w:p>
    <w:p w14:paraId="1C78BDEF" w14:textId="6D5FD381" w:rsidR="00D11201" w:rsidRDefault="00E64B84" w:rsidP="00B4717D">
      <w:pPr>
        <w:jc w:val="both"/>
        <w:rPr>
          <w:sz w:val="22"/>
          <w:szCs w:val="22"/>
          <w:lang w:val="en-GB"/>
        </w:rPr>
      </w:pPr>
      <w:r>
        <w:rPr>
          <w:sz w:val="22"/>
          <w:szCs w:val="22"/>
          <w:lang w:val="en-GB"/>
        </w:rPr>
        <w:t>Firstly, we ass</w:t>
      </w:r>
      <w:r w:rsidR="003E7FF0">
        <w:rPr>
          <w:sz w:val="22"/>
          <w:szCs w:val="22"/>
          <w:lang w:val="en-GB"/>
        </w:rPr>
        <w:t>imilate</w:t>
      </w:r>
      <w:r>
        <w:rPr>
          <w:sz w:val="22"/>
          <w:szCs w:val="22"/>
          <w:lang w:val="en-GB"/>
        </w:rPr>
        <w:t xml:space="preserve"> our Pliocene case study both on monthly and seasonal scale. Seasons are, in this case, defined as three-monthly (quarter-year) time bins, </w:t>
      </w:r>
      <w:r w:rsidRPr="00E64B84">
        <w:rPr>
          <w:i/>
          <w:iCs/>
          <w:sz w:val="22"/>
          <w:szCs w:val="22"/>
          <w:lang w:val="en-GB"/>
        </w:rPr>
        <w:t>sensu</w:t>
      </w:r>
      <w:r>
        <w:rPr>
          <w:sz w:val="22"/>
          <w:szCs w:val="22"/>
          <w:lang w:val="en-GB"/>
        </w:rPr>
        <w:t xml:space="preserve"> </w:t>
      </w:r>
      <w:r>
        <w:rPr>
          <w:sz w:val="22"/>
          <w:szCs w:val="22"/>
          <w:lang w:val="en-GB"/>
        </w:rPr>
        <w:fldChar w:fldCharType="begin"/>
      </w:r>
      <w:r>
        <w:rPr>
          <w:sz w:val="22"/>
          <w:szCs w:val="22"/>
          <w:lang w:val="en-GB"/>
        </w:rPr>
        <w:instrText xml:space="preserve"> ADDIN ZOTERO_ITEM CSL_CITATION {"citationID":"63oFNWU2","properties":{"formattedCitation":"(de Winter et al., 2024)","plainCitation":"(de Winter et al., 2024)","noteIndex":0},"citationItems":[{"id":2782,"uris":["http://zotero.org/users/2470179/items/DDJJAF7R"],"itemData":{"id":2782,"type":"article-journal","abstract":"Documenting the seasonal temperature cycle constitutes an essential step toward mitigating risks associated with extreme weather events in a future warmer world. The mid-Piacenzian Warm Period (mPWP), 3.3 to 3.0 million years ago, featured global temperatures approximately 3°C above preindustrial levels. It represents an ideal period for directed paleoclimate reconstructions equivalent to model projections for 2100 under moderate Shared Socioeconomic Pathway SSP2-4.5. Here, seasonal clumped isotope analyses of fossil mollusk shells from the North Sea are presented to test Pliocene Model Intercomparison Project 2 outcomes. Joint data and model evidence reveals enhanced summer warming (+4.3° ± 1.0°C) compared to winter (+2.5° ± 1.5°C) during the mPWP, equivalent to SSP2-4.5 outcomes for future climate. We show that Arctic amplification of global warming weakens mid-latitude summer circulation while intensifying seasonal contrast in temperature and precipitation, leading to an increased risk of summer heat waves and other extreme weather events in Europe’s future.","container-title":"Science Advances","DOI":"10.1126/sciadv.adl6717","issue":"20","note":"publisher: American Association for the Advancement of Science","page":"eadl6717","source":"science.org (Atypon)","title":"Amplified seasonality in western Europe in a warmer world","volume":"10","author":[{"family":"Winter","given":"Niels J.","non-dropping-particle":"de"},{"family":"Tindall","given":"Julia"},{"family":"Johnson","given":"Andrew L. A."},{"family":"Goudsmit-Harzevoort","given":"Barbara"},{"family":"Wichern","given":"Nina"},{"family":"Kaskes","given":"Pim"},{"family":"Claeys","given":"Philippe"},{"family":"Huygen","given":"Fynn"},{"family":"Leeuwen","given":"Sonja","non-dropping-particle":"van"},{"family":"Metcalfe","given":"Brett"},{"family":"Bakker","given":"Pepijn"},{"family":"Goolaerts","given":"Stijn"},{"family":"Wesselingh","given":"Frank"},{"family":"Ziegler","given":"Martin"}],"issued":{"date-parts":[["2024",5,15]]}}}],"schema":"https://github.com/citation-style-language/schema/raw/master/csl-citation.json"} </w:instrText>
      </w:r>
      <w:r>
        <w:rPr>
          <w:sz w:val="22"/>
          <w:szCs w:val="22"/>
          <w:lang w:val="en-GB"/>
        </w:rPr>
        <w:fldChar w:fldCharType="separate"/>
      </w:r>
      <w:r w:rsidRPr="00E64B84">
        <w:rPr>
          <w:rFonts w:ascii="Aptos" w:hAnsi="Aptos"/>
          <w:sz w:val="22"/>
        </w:rPr>
        <w:t>(de Winter et al., 2024)</w:t>
      </w:r>
      <w:r>
        <w:rPr>
          <w:sz w:val="22"/>
          <w:szCs w:val="22"/>
          <w:lang w:val="en-GB"/>
        </w:rPr>
        <w:fldChar w:fldCharType="end"/>
      </w:r>
      <w:r>
        <w:rPr>
          <w:sz w:val="22"/>
          <w:szCs w:val="22"/>
          <w:lang w:val="en-GB"/>
        </w:rPr>
        <w:t>.</w:t>
      </w:r>
    </w:p>
    <w:p w14:paraId="4B0B8221" w14:textId="6689F293" w:rsidR="00D11201" w:rsidRDefault="00E64B84" w:rsidP="00B4717D">
      <w:pPr>
        <w:jc w:val="both"/>
        <w:rPr>
          <w:sz w:val="22"/>
          <w:szCs w:val="22"/>
          <w:lang w:val="en-GB"/>
        </w:rPr>
      </w:pPr>
      <w:r>
        <w:rPr>
          <w:sz w:val="22"/>
          <w:szCs w:val="22"/>
          <w:lang w:val="en-GB"/>
        </w:rPr>
        <w:t xml:space="preserve">Secondly, we use uncertainties on sub-annual age models through climate records in the Pliocene case study calculated using the </w:t>
      </w:r>
      <w:proofErr w:type="spellStart"/>
      <w:r>
        <w:rPr>
          <w:sz w:val="22"/>
          <w:szCs w:val="22"/>
          <w:lang w:val="en-GB"/>
        </w:rPr>
        <w:t>ShellChron</w:t>
      </w:r>
      <w:proofErr w:type="spellEnd"/>
      <w:r>
        <w:rPr>
          <w:sz w:val="22"/>
          <w:szCs w:val="22"/>
          <w:lang w:val="en-GB"/>
        </w:rPr>
        <w:t xml:space="preserve"> routine with Monte Carlo uncertainty estimation </w:t>
      </w:r>
      <w:r>
        <w:rPr>
          <w:sz w:val="22"/>
          <w:szCs w:val="22"/>
          <w:lang w:val="en-GB"/>
        </w:rPr>
        <w:fldChar w:fldCharType="begin"/>
      </w:r>
      <w:r>
        <w:rPr>
          <w:sz w:val="22"/>
          <w:szCs w:val="22"/>
          <w:lang w:val="en-GB"/>
        </w:rPr>
        <w:instrText xml:space="preserve"> ADDIN ZOTERO_ITEM CSL_CITATION {"citationID":"uB7LFpyd","properties":{"formattedCitation":"(de Winter, 2022)","plainCitation":"(de Winter, 2022)","noteIndex":0},"citationItems":[{"id":2537,"uris":["http://zotero.org/users/2470179/items/SINCRV57"],"itemData":{"id":2537,"type":"article-journal","abstract":"&lt;p&gt;&lt;strong class=\"journal-contentHeaderColor\"&gt;Abstract.&lt;/strong&gt; This work presents ShellChron, a new model for generating accurate internal age models for high-resolution paleoclimate archives, such as corals, mollusk shells, and speleothems. Reliable sub-annual age models form the backbone of high-resolution paleoclimate studies. In the absence of independent sub-annual growth markers in many of these archives, the most reliable method for determining the age of samples is through age modeling based on stable oxygen isotope or other seasonally controlled proxy records. ShellChron expands on previous solutions to the age model problem by fitting a combination of a growth rate and temperature sinusoid to model seasonal variability in the proxy record in a sliding window approach. This new approach creates smoother, more precise age–distance relationships for multi-annual proxy records with the added benefit of allowing assessment of the uncertainty in the modeled age. The modular script of ShellChron allows the model to be tailored to specific archives, without being limited to oxygen isotope proxy records or carbonate archives, with high flexibility in assigning the relationship between the input proxy and the seasonal cycle. The performance of ShellChron in terms of accuracy and computation time is tested on a set of virtual seasonality records and real coral, mollusk, and speleothem archives. The result shows that several key improvements in comparison to previous age model routines enhance the accuracy of ShellChron on multi-annual records while limiting its processing time. The current full working version of ShellChron enables the user to model the age of 10-year-long high-resolution (16 samples yr&lt;span class=\"inline-formula\"&gt;&lt;sup&gt;−1&lt;/sup&gt;&lt;/span&gt;) carbonate records with monthly accuracy within 1 h of computation time on a personal computer. The model is freely accessible on the CRAN database and GitHub. Members of the community are invited to contribute by adapting the model code to suit their research topics and encouraged to cite the original work of Judd et al. (2018) alongside this work when using ShellChron in future studies.&lt;/p&gt;","container-title":"Geoscientific Model Development","DOI":"10.5194/gmd-15-1247-2022","ISSN":"1991-959X","issue":"3","language":"English","note":"publisher: Copernicus GmbH","page":"1247-1267","source":"gmd.copernicus.org","title":"ShellChron 0.4.0: a new tool for constructing chronologies in accretionary carbonate archives from stable oxygen isotope profiles","title-short":"ShellChron 0.4.0","volume":"15","author":[{"family":"Winter","given":"N. J.","non-dropping-particle":"de"}],"issued":{"date-parts":[["2022",2,10]]}}}],"schema":"https://github.com/citation-style-language/schema/raw/master/csl-citation.json"} </w:instrText>
      </w:r>
      <w:r>
        <w:rPr>
          <w:sz w:val="22"/>
          <w:szCs w:val="22"/>
          <w:lang w:val="en-GB"/>
        </w:rPr>
        <w:fldChar w:fldCharType="separate"/>
      </w:r>
      <w:r w:rsidRPr="00E64B84">
        <w:rPr>
          <w:rFonts w:ascii="Aptos" w:hAnsi="Aptos"/>
          <w:sz w:val="22"/>
        </w:rPr>
        <w:t>(de Winter, 2022)</w:t>
      </w:r>
      <w:r>
        <w:rPr>
          <w:sz w:val="22"/>
          <w:szCs w:val="22"/>
          <w:lang w:val="en-GB"/>
        </w:rPr>
        <w:fldChar w:fldCharType="end"/>
      </w:r>
      <w:r>
        <w:rPr>
          <w:sz w:val="22"/>
          <w:szCs w:val="22"/>
          <w:lang w:val="en-GB"/>
        </w:rPr>
        <w:t xml:space="preserve"> to propagate the impact of internal dating uncertainty on the data assimilation product and proxy-model comparison. </w:t>
      </w:r>
      <w:r w:rsidR="00D11201">
        <w:rPr>
          <w:sz w:val="22"/>
          <w:szCs w:val="22"/>
          <w:lang w:val="en-GB"/>
        </w:rPr>
        <w:t xml:space="preserve">To do so, we assigned a probability of each datapoint belonging to any of the monthly time bins in the observation matrix </w:t>
      </w:r>
      <w:r w:rsidR="00D11201">
        <w:rPr>
          <w:b/>
          <w:bCs/>
          <w:sz w:val="22"/>
          <w:szCs w:val="22"/>
          <w:lang w:val="en-GB"/>
        </w:rPr>
        <w:t>H</w:t>
      </w:r>
      <w:r w:rsidR="00D11201">
        <w:rPr>
          <w:b/>
          <w:bCs/>
          <w:sz w:val="22"/>
          <w:szCs w:val="22"/>
          <w:vertAlign w:val="subscript"/>
          <w:lang w:val="en-GB"/>
        </w:rPr>
        <w:t>obs</w:t>
      </w:r>
      <w:r w:rsidR="00D11201">
        <w:rPr>
          <w:sz w:val="22"/>
          <w:szCs w:val="22"/>
          <w:lang w:val="en-GB"/>
        </w:rPr>
        <w:t xml:space="preserve"> (see 2.2.1) by representing each combination of a sample and a time bin with a value between 0 and 1 representing this probability. These probabilities were calculated by using a wrapped normal distribution:</w:t>
      </w:r>
    </w:p>
    <w:p w14:paraId="74149882" w14:textId="4029A1F6" w:rsidR="00D11201" w:rsidRDefault="00000000" w:rsidP="00B4717D">
      <w:pPr>
        <w:jc w:val="both"/>
        <w:rPr>
          <w:sz w:val="22"/>
          <w:szCs w:val="22"/>
          <w:lang w:val="en-GB"/>
        </w:rPr>
      </w:pPr>
      <m:oMathPara>
        <m:oMath>
          <m:sSub>
            <m:sSubPr>
              <m:ctrlPr>
                <w:rPr>
                  <w:rFonts w:ascii="Cambria Math" w:hAnsi="Cambria Math"/>
                  <w:i/>
                  <w:sz w:val="22"/>
                  <w:szCs w:val="22"/>
                  <w:lang w:val="en-GB"/>
                </w:rPr>
              </m:ctrlPr>
            </m:sSubPr>
            <m:e>
              <m:r>
                <w:rPr>
                  <w:rFonts w:ascii="Cambria Math" w:hAnsi="Cambria Math"/>
                  <w:sz w:val="22"/>
                  <w:szCs w:val="22"/>
                  <w:lang w:val="en-GB"/>
                </w:rPr>
                <m:t>H</m:t>
              </m:r>
            </m:e>
            <m:sub>
              <m:r>
                <w:rPr>
                  <w:rFonts w:ascii="Cambria Math" w:hAnsi="Cambria Math"/>
                  <w:sz w:val="22"/>
                  <w:szCs w:val="22"/>
                  <w:lang w:val="en-GB"/>
                </w:rPr>
                <m:t>sample,t</m:t>
              </m:r>
            </m:sub>
          </m:sSub>
          <m:r>
            <w:rPr>
              <w:rFonts w:ascii="Cambria Math" w:hAnsi="Cambria Math"/>
              <w:sz w:val="22"/>
              <w:szCs w:val="22"/>
              <w:lang w:val="en-GB"/>
            </w:rPr>
            <m:t>=</m:t>
          </m:r>
          <m:f>
            <m:fPr>
              <m:ctrlPr>
                <w:rPr>
                  <w:rFonts w:ascii="Cambria Math" w:hAnsi="Cambria Math"/>
                  <w:i/>
                  <w:sz w:val="22"/>
                  <w:szCs w:val="22"/>
                  <w:lang w:val="en-GB"/>
                </w:rPr>
              </m:ctrlPr>
            </m:fPr>
            <m:num>
              <m:r>
                <w:rPr>
                  <w:rFonts w:ascii="Cambria Math" w:hAnsi="Cambria Math"/>
                  <w:sz w:val="22"/>
                  <w:szCs w:val="22"/>
                  <w:lang w:val="en-GB"/>
                </w:rPr>
                <m:t>N</m:t>
              </m:r>
              <m:d>
                <m:dPr>
                  <m:ctrlPr>
                    <w:rPr>
                      <w:rFonts w:ascii="Cambria Math" w:hAnsi="Cambria Math"/>
                      <w:i/>
                      <w:sz w:val="22"/>
                      <w:szCs w:val="22"/>
                      <w:lang w:val="en-GB"/>
                    </w:rPr>
                  </m:ctrlPr>
                </m:dPr>
                <m:e>
                  <m:r>
                    <w:rPr>
                      <w:rFonts w:ascii="Cambria Math" w:hAnsi="Cambria Math"/>
                      <w:sz w:val="22"/>
                      <w:szCs w:val="22"/>
                      <w:lang w:val="en-GB"/>
                    </w:rPr>
                    <m:t>t,μ=</m:t>
                  </m:r>
                  <m:sSub>
                    <m:sSubPr>
                      <m:ctrlPr>
                        <w:rPr>
                          <w:rFonts w:ascii="Cambria Math" w:hAnsi="Cambria Math"/>
                          <w:i/>
                          <w:sz w:val="22"/>
                          <w:szCs w:val="22"/>
                          <w:lang w:val="en-GB"/>
                        </w:rPr>
                      </m:ctrlPr>
                    </m:sSubPr>
                    <m:e>
                      <m:r>
                        <w:rPr>
                          <w:rFonts w:ascii="Cambria Math" w:hAnsi="Cambria Math"/>
                          <w:sz w:val="22"/>
                          <w:szCs w:val="22"/>
                          <w:lang w:val="en-GB"/>
                        </w:rPr>
                        <m:t>T</m:t>
                      </m:r>
                    </m:e>
                    <m:sub>
                      <m:r>
                        <w:rPr>
                          <w:rFonts w:ascii="Cambria Math" w:hAnsi="Cambria Math"/>
                          <w:sz w:val="22"/>
                          <w:szCs w:val="22"/>
                          <w:lang w:val="en-GB"/>
                        </w:rPr>
                        <m:t>sample</m:t>
                      </m:r>
                    </m:sub>
                  </m:sSub>
                  <m:r>
                    <w:rPr>
                      <w:rFonts w:ascii="Cambria Math" w:hAnsi="Cambria Math"/>
                      <w:sz w:val="22"/>
                      <w:szCs w:val="22"/>
                      <w:lang w:val="en-GB"/>
                    </w:rPr>
                    <m:t>,σ=</m:t>
                  </m:r>
                  <m:sSub>
                    <m:sSubPr>
                      <m:ctrlPr>
                        <w:rPr>
                          <w:rFonts w:ascii="Cambria Math" w:hAnsi="Cambria Math"/>
                          <w:i/>
                          <w:sz w:val="22"/>
                          <w:szCs w:val="22"/>
                          <w:lang w:val="en-GB"/>
                        </w:rPr>
                      </m:ctrlPr>
                    </m:sSubPr>
                    <m:e>
                      <m:r>
                        <w:rPr>
                          <w:rFonts w:ascii="Cambria Math" w:hAnsi="Cambria Math"/>
                          <w:sz w:val="22"/>
                          <w:szCs w:val="22"/>
                          <w:lang w:val="en-GB"/>
                        </w:rPr>
                        <m:t>σ</m:t>
                      </m:r>
                    </m:e>
                    <m:sub>
                      <m:r>
                        <w:rPr>
                          <w:rFonts w:ascii="Cambria Math" w:hAnsi="Cambria Math"/>
                          <w:sz w:val="22"/>
                          <w:szCs w:val="22"/>
                          <w:lang w:val="en-GB"/>
                        </w:rPr>
                        <m:t>T</m:t>
                      </m:r>
                    </m:sub>
                  </m:sSub>
                </m:e>
              </m:d>
            </m:num>
            <m:den>
              <m:nary>
                <m:naryPr>
                  <m:chr m:val="∑"/>
                  <m:limLoc m:val="undOvr"/>
                  <m:subHide m:val="1"/>
                  <m:supHide m:val="1"/>
                  <m:ctrlPr>
                    <w:rPr>
                      <w:rFonts w:ascii="Cambria Math" w:hAnsi="Cambria Math"/>
                      <w:i/>
                      <w:sz w:val="22"/>
                      <w:szCs w:val="22"/>
                      <w:lang w:val="en-GB"/>
                    </w:rPr>
                  </m:ctrlPr>
                </m:naryPr>
                <m:sub/>
                <m:sup/>
                <m:e>
                  <m:d>
                    <m:dPr>
                      <m:ctrlPr>
                        <w:rPr>
                          <w:rFonts w:ascii="Cambria Math" w:hAnsi="Cambria Math"/>
                          <w:i/>
                          <w:sz w:val="22"/>
                          <w:szCs w:val="22"/>
                          <w:lang w:val="en-GB"/>
                        </w:rPr>
                      </m:ctrlPr>
                    </m:dPr>
                    <m:e>
                      <m:r>
                        <w:rPr>
                          <w:rFonts w:ascii="Cambria Math" w:hAnsi="Cambria Math"/>
                          <w:sz w:val="22"/>
                          <w:szCs w:val="22"/>
                          <w:lang w:val="en-GB"/>
                        </w:rPr>
                        <m:t>N</m:t>
                      </m:r>
                      <m:d>
                        <m:dPr>
                          <m:ctrlPr>
                            <w:rPr>
                              <w:rFonts w:ascii="Cambria Math" w:hAnsi="Cambria Math"/>
                              <w:i/>
                              <w:sz w:val="22"/>
                              <w:szCs w:val="22"/>
                              <w:lang w:val="en-GB"/>
                            </w:rPr>
                          </m:ctrlPr>
                        </m:dPr>
                        <m:e>
                          <m:r>
                            <w:rPr>
                              <w:rFonts w:ascii="Cambria Math" w:hAnsi="Cambria Math"/>
                              <w:sz w:val="22"/>
                              <w:szCs w:val="22"/>
                              <w:lang w:val="en-GB"/>
                            </w:rPr>
                            <m:t>t,μ=</m:t>
                          </m:r>
                          <m:sSub>
                            <m:sSubPr>
                              <m:ctrlPr>
                                <w:rPr>
                                  <w:rFonts w:ascii="Cambria Math" w:hAnsi="Cambria Math"/>
                                  <w:i/>
                                  <w:sz w:val="22"/>
                                  <w:szCs w:val="22"/>
                                  <w:lang w:val="en-GB"/>
                                </w:rPr>
                              </m:ctrlPr>
                            </m:sSubPr>
                            <m:e>
                              <m:r>
                                <w:rPr>
                                  <w:rFonts w:ascii="Cambria Math" w:hAnsi="Cambria Math"/>
                                  <w:sz w:val="22"/>
                                  <w:szCs w:val="22"/>
                                  <w:lang w:val="en-GB"/>
                                </w:rPr>
                                <m:t>T</m:t>
                              </m:r>
                            </m:e>
                            <m:sub>
                              <m:r>
                                <w:rPr>
                                  <w:rFonts w:ascii="Cambria Math" w:hAnsi="Cambria Math"/>
                                  <w:sz w:val="22"/>
                                  <w:szCs w:val="22"/>
                                  <w:lang w:val="en-GB"/>
                                </w:rPr>
                                <m:t>sample</m:t>
                              </m:r>
                            </m:sub>
                          </m:sSub>
                          <m:r>
                            <w:rPr>
                              <w:rFonts w:ascii="Cambria Math" w:hAnsi="Cambria Math"/>
                              <w:sz w:val="22"/>
                              <w:szCs w:val="22"/>
                              <w:lang w:val="en-GB"/>
                            </w:rPr>
                            <m:t>,σ=</m:t>
                          </m:r>
                          <m:sSub>
                            <m:sSubPr>
                              <m:ctrlPr>
                                <w:rPr>
                                  <w:rFonts w:ascii="Cambria Math" w:hAnsi="Cambria Math"/>
                                  <w:i/>
                                  <w:sz w:val="22"/>
                                  <w:szCs w:val="22"/>
                                  <w:lang w:val="en-GB"/>
                                </w:rPr>
                              </m:ctrlPr>
                            </m:sSubPr>
                            <m:e>
                              <m:r>
                                <w:rPr>
                                  <w:rFonts w:ascii="Cambria Math" w:hAnsi="Cambria Math"/>
                                  <w:sz w:val="22"/>
                                  <w:szCs w:val="22"/>
                                  <w:lang w:val="en-GB"/>
                                </w:rPr>
                                <m:t>σ</m:t>
                              </m:r>
                            </m:e>
                            <m:sub>
                              <m:r>
                                <w:rPr>
                                  <w:rFonts w:ascii="Cambria Math" w:hAnsi="Cambria Math"/>
                                  <w:sz w:val="22"/>
                                  <w:szCs w:val="22"/>
                                  <w:lang w:val="en-GB"/>
                                </w:rPr>
                                <m:t>T</m:t>
                              </m:r>
                            </m:sub>
                          </m:sSub>
                        </m:e>
                      </m:d>
                    </m:e>
                  </m:d>
                </m:e>
              </m:nary>
            </m:den>
          </m:f>
          <m:r>
            <w:rPr>
              <w:rFonts w:ascii="Cambria Math" w:hAnsi="Cambria Math"/>
              <w:sz w:val="22"/>
              <w:szCs w:val="22"/>
              <w:lang w:val="en-GB"/>
            </w:rPr>
            <m:t>for t in B</m:t>
          </m:r>
        </m:oMath>
      </m:oMathPara>
    </w:p>
    <w:p w14:paraId="52C24CD9" w14:textId="65664355" w:rsidR="00F86172" w:rsidRPr="006630F6" w:rsidRDefault="00425D2F" w:rsidP="00B4717D">
      <w:pPr>
        <w:jc w:val="both"/>
        <w:rPr>
          <w:sz w:val="22"/>
          <w:szCs w:val="22"/>
          <w:lang w:val="en-GB"/>
        </w:rPr>
      </w:pPr>
      <w:r>
        <w:rPr>
          <w:sz w:val="22"/>
          <w:szCs w:val="22"/>
          <w:lang w:val="en-GB"/>
        </w:rPr>
        <w:t>Here, each entry for the sample in the observation matrix</w:t>
      </w:r>
      <w:r w:rsidR="006630F6">
        <w:rPr>
          <w:sz w:val="22"/>
          <w:szCs w:val="22"/>
          <w:lang w:val="en-GB"/>
        </w:rPr>
        <w:t xml:space="preserve"> for a given time bin </w:t>
      </w:r>
      <w:r w:rsidR="006630F6">
        <w:rPr>
          <w:i/>
          <w:iCs/>
          <w:sz w:val="22"/>
          <w:szCs w:val="22"/>
          <w:lang w:val="en-GB"/>
        </w:rPr>
        <w:t>t</w:t>
      </w:r>
      <w:r>
        <w:rPr>
          <w:sz w:val="22"/>
          <w:szCs w:val="22"/>
          <w:lang w:val="en-GB"/>
        </w:rPr>
        <w:t xml:space="preserve"> (</w:t>
      </w:r>
      <w:proofErr w:type="spellStart"/>
      <w:r w:rsidRPr="00425D2F">
        <w:rPr>
          <w:b/>
          <w:bCs/>
          <w:i/>
          <w:iCs/>
          <w:sz w:val="22"/>
          <w:szCs w:val="22"/>
          <w:lang w:val="en-GB"/>
        </w:rPr>
        <w:t>H</w:t>
      </w:r>
      <w:r w:rsidRPr="00425D2F">
        <w:rPr>
          <w:b/>
          <w:bCs/>
          <w:i/>
          <w:iCs/>
          <w:sz w:val="22"/>
          <w:szCs w:val="22"/>
          <w:vertAlign w:val="subscript"/>
          <w:lang w:val="en-GB"/>
        </w:rPr>
        <w:t>sample,t</w:t>
      </w:r>
      <w:proofErr w:type="spellEnd"/>
      <w:r>
        <w:rPr>
          <w:sz w:val="22"/>
          <w:szCs w:val="22"/>
          <w:lang w:val="en-GB"/>
        </w:rPr>
        <w:t xml:space="preserve">) </w:t>
      </w:r>
      <w:r w:rsidR="006630F6">
        <w:rPr>
          <w:sz w:val="22"/>
          <w:szCs w:val="22"/>
          <w:lang w:val="en-GB"/>
        </w:rPr>
        <w:t xml:space="preserve">is </w:t>
      </w:r>
      <w:r w:rsidR="00D11201">
        <w:rPr>
          <w:sz w:val="22"/>
          <w:szCs w:val="22"/>
          <w:lang w:val="en-GB"/>
        </w:rPr>
        <w:t>described by</w:t>
      </w:r>
      <w:r w:rsidR="006630F6">
        <w:rPr>
          <w:sz w:val="22"/>
          <w:szCs w:val="22"/>
          <w:lang w:val="en-GB"/>
        </w:rPr>
        <w:t xml:space="preserve"> the relative probability that that sample falls within that time bin. This probability is described by a normal distribution with</w:t>
      </w:r>
      <w:r w:rsidR="00D11201">
        <w:rPr>
          <w:sz w:val="22"/>
          <w:szCs w:val="22"/>
          <w:lang w:val="en-GB"/>
        </w:rPr>
        <w:t xml:space="preserve"> the mean age of the datapoint (</w:t>
      </w:r>
      <w:proofErr w:type="spellStart"/>
      <w:r w:rsidR="006630F6">
        <w:rPr>
          <w:i/>
          <w:iCs/>
          <w:sz w:val="22"/>
          <w:szCs w:val="22"/>
          <w:lang w:val="en-GB"/>
        </w:rPr>
        <w:t>T</w:t>
      </w:r>
      <w:r w:rsidR="006630F6">
        <w:rPr>
          <w:i/>
          <w:iCs/>
          <w:sz w:val="22"/>
          <w:szCs w:val="22"/>
          <w:vertAlign w:val="subscript"/>
          <w:lang w:val="en-GB"/>
        </w:rPr>
        <w:t>sample</w:t>
      </w:r>
      <w:proofErr w:type="spellEnd"/>
      <w:r w:rsidR="006630F6">
        <w:rPr>
          <w:sz w:val="22"/>
          <w:szCs w:val="22"/>
          <w:lang w:val="en-GB"/>
        </w:rPr>
        <w:t xml:space="preserve"> in</w:t>
      </w:r>
      <w:r w:rsidR="00D11201">
        <w:rPr>
          <w:sz w:val="22"/>
          <w:szCs w:val="22"/>
          <w:lang w:val="en-GB"/>
        </w:rPr>
        <w:t xml:space="preserve"> day</w:t>
      </w:r>
      <w:r w:rsidR="006630F6">
        <w:rPr>
          <w:sz w:val="22"/>
          <w:szCs w:val="22"/>
          <w:lang w:val="en-GB"/>
        </w:rPr>
        <w:t>s</w:t>
      </w:r>
      <w:r w:rsidR="00D11201">
        <w:rPr>
          <w:sz w:val="22"/>
          <w:szCs w:val="22"/>
          <w:lang w:val="en-GB"/>
        </w:rPr>
        <w:t xml:space="preserve"> of the year) as the mean of the distribution and </w:t>
      </w:r>
      <w:r w:rsidR="006630F6">
        <w:rPr>
          <w:sz w:val="22"/>
          <w:szCs w:val="22"/>
          <w:lang w:val="en-GB"/>
        </w:rPr>
        <w:t>the uncertainty on the sample age (</w:t>
      </w:r>
      <w:proofErr w:type="spellStart"/>
      <w:r w:rsidR="006630F6">
        <w:rPr>
          <w:i/>
          <w:iCs/>
          <w:sz w:val="22"/>
          <w:szCs w:val="22"/>
          <w:lang w:val="en-GB"/>
        </w:rPr>
        <w:t>σ</w:t>
      </w:r>
      <w:r w:rsidR="006630F6">
        <w:rPr>
          <w:i/>
          <w:iCs/>
          <w:sz w:val="22"/>
          <w:szCs w:val="22"/>
          <w:vertAlign w:val="subscript"/>
          <w:lang w:val="en-GB"/>
        </w:rPr>
        <w:t>sample</w:t>
      </w:r>
      <w:proofErr w:type="spellEnd"/>
      <w:r w:rsidR="006630F6">
        <w:rPr>
          <w:sz w:val="22"/>
          <w:szCs w:val="22"/>
          <w:lang w:val="en-GB"/>
        </w:rPr>
        <w:t xml:space="preserve"> in days of the year) as the standard deviation of the distribution. The collection </w:t>
      </w:r>
      <w:r w:rsidR="006630F6">
        <w:rPr>
          <w:i/>
          <w:iCs/>
          <w:sz w:val="22"/>
          <w:szCs w:val="22"/>
          <w:lang w:val="en-GB"/>
        </w:rPr>
        <w:t>B</w:t>
      </w:r>
      <w:r w:rsidR="006630F6">
        <w:rPr>
          <w:sz w:val="22"/>
          <w:szCs w:val="22"/>
          <w:lang w:val="en-GB"/>
        </w:rPr>
        <w:t xml:space="preserve"> describes the range of possible time bins (e.g. 12 in the case of monthly time binning).</w:t>
      </w:r>
      <w:r w:rsidR="00F86397">
        <w:rPr>
          <w:sz w:val="22"/>
          <w:szCs w:val="22"/>
          <w:lang w:val="en-GB"/>
        </w:rPr>
        <w:t xml:space="preserve"> Assigning these probabilities to the observation </w:t>
      </w:r>
      <w:r w:rsidR="00F86397">
        <w:rPr>
          <w:sz w:val="22"/>
          <w:szCs w:val="22"/>
          <w:lang w:val="en-GB"/>
        </w:rPr>
        <w:lastRenderedPageBreak/>
        <w:t xml:space="preserve">matrix ensures that the weight of each datapoint in the assimilation is proportional to the chance that that datapoint belongs to the time bin in question. The data assimilation </w:t>
      </w:r>
      <w:r w:rsidR="00107CB6">
        <w:rPr>
          <w:sz w:val="22"/>
          <w:szCs w:val="22"/>
          <w:lang w:val="en-GB"/>
        </w:rPr>
        <w:t xml:space="preserve">is otherwise </w:t>
      </w:r>
      <w:r w:rsidR="00F86397">
        <w:rPr>
          <w:sz w:val="22"/>
          <w:szCs w:val="22"/>
          <w:lang w:val="en-GB"/>
        </w:rPr>
        <w:t>identical to the</w:t>
      </w:r>
      <w:r w:rsidR="00107CB6">
        <w:rPr>
          <w:sz w:val="22"/>
          <w:szCs w:val="22"/>
          <w:lang w:val="en-GB"/>
        </w:rPr>
        <w:t xml:space="preserve"> default case where time uncertainty is ignored (see 2.2.1).</w:t>
      </w:r>
    </w:p>
    <w:p w14:paraId="0C74CC9C" w14:textId="0184CBEA" w:rsidR="00B4717D" w:rsidRDefault="00B4717D" w:rsidP="00B4717D">
      <w:pPr>
        <w:jc w:val="both"/>
        <w:rPr>
          <w:sz w:val="22"/>
          <w:szCs w:val="22"/>
          <w:lang w:val="en-GB"/>
        </w:rPr>
      </w:pPr>
      <w:r>
        <w:rPr>
          <w:sz w:val="22"/>
          <w:szCs w:val="22"/>
          <w:lang w:val="en-GB"/>
        </w:rPr>
        <w:t>2.3.2 Propagating proxy measurement uncertainty</w:t>
      </w:r>
    </w:p>
    <w:p w14:paraId="4AAA10C8" w14:textId="522913A9" w:rsidR="00B4717D" w:rsidRPr="00540DB4" w:rsidRDefault="00EA5404" w:rsidP="00B4717D">
      <w:pPr>
        <w:jc w:val="both"/>
        <w:rPr>
          <w:sz w:val="22"/>
          <w:szCs w:val="22"/>
          <w:lang w:val="en-GB"/>
        </w:rPr>
      </w:pPr>
      <w:r>
        <w:rPr>
          <w:sz w:val="22"/>
          <w:szCs w:val="22"/>
          <w:lang w:val="en-GB"/>
        </w:rPr>
        <w:t xml:space="preserve">To test the effect of proxy uncertainty on the data assimilation, we </w:t>
      </w:r>
      <w:r w:rsidR="003E7FF0">
        <w:rPr>
          <w:sz w:val="22"/>
          <w:szCs w:val="22"/>
          <w:lang w:val="en-GB"/>
        </w:rPr>
        <w:t>assimilate</w:t>
      </w:r>
      <w:r>
        <w:rPr>
          <w:sz w:val="22"/>
          <w:szCs w:val="22"/>
          <w:lang w:val="en-GB"/>
        </w:rPr>
        <w:t xml:space="preserve">d different versions of the modern case study </w:t>
      </w:r>
      <w:r w:rsidR="00681201">
        <w:rPr>
          <w:sz w:val="22"/>
          <w:szCs w:val="22"/>
          <w:lang w:val="en-GB"/>
        </w:rPr>
        <w:t>while artificially varying uncertainties on Δ</w:t>
      </w:r>
      <w:r w:rsidR="00681201" w:rsidRPr="00E17C34">
        <w:rPr>
          <w:sz w:val="22"/>
          <w:szCs w:val="22"/>
          <w:vertAlign w:val="subscript"/>
          <w:lang w:val="en-GB"/>
        </w:rPr>
        <w:t>47</w:t>
      </w:r>
      <w:r w:rsidR="00681201">
        <w:rPr>
          <w:sz w:val="22"/>
          <w:szCs w:val="22"/>
          <w:lang w:val="en-GB"/>
        </w:rPr>
        <w:t xml:space="preserve"> and δ</w:t>
      </w:r>
      <w:r w:rsidR="00681201">
        <w:rPr>
          <w:sz w:val="22"/>
          <w:szCs w:val="22"/>
          <w:vertAlign w:val="superscript"/>
          <w:lang w:val="en-GB"/>
        </w:rPr>
        <w:t>18</w:t>
      </w:r>
      <w:r w:rsidR="00681201">
        <w:rPr>
          <w:sz w:val="22"/>
          <w:szCs w:val="22"/>
          <w:lang w:val="en-GB"/>
        </w:rPr>
        <w:t>O</w:t>
      </w:r>
      <w:r w:rsidR="00681201">
        <w:rPr>
          <w:sz w:val="22"/>
          <w:szCs w:val="22"/>
          <w:vertAlign w:val="subscript"/>
          <w:lang w:val="en-US"/>
        </w:rPr>
        <w:t>c</w:t>
      </w:r>
      <w:r w:rsidR="00681201">
        <w:rPr>
          <w:sz w:val="22"/>
          <w:szCs w:val="22"/>
          <w:lang w:val="en-US"/>
        </w:rPr>
        <w:t xml:space="preserve"> in the likelihood.</w:t>
      </w:r>
      <w:r w:rsidR="00540DB4">
        <w:rPr>
          <w:sz w:val="22"/>
          <w:szCs w:val="22"/>
          <w:lang w:val="en-US"/>
        </w:rPr>
        <w:t xml:space="preserve"> To do so, we artificially increased or decreased the standard deviation of measurement precision for </w:t>
      </w:r>
      <w:r w:rsidR="00540DB4">
        <w:rPr>
          <w:sz w:val="22"/>
          <w:szCs w:val="22"/>
          <w:lang w:val="en-GB"/>
        </w:rPr>
        <w:t>Δ</w:t>
      </w:r>
      <w:r w:rsidR="00540DB4" w:rsidRPr="00E17C34">
        <w:rPr>
          <w:sz w:val="22"/>
          <w:szCs w:val="22"/>
          <w:vertAlign w:val="subscript"/>
          <w:lang w:val="en-GB"/>
        </w:rPr>
        <w:t>47</w:t>
      </w:r>
      <w:r w:rsidR="00540DB4">
        <w:rPr>
          <w:sz w:val="22"/>
          <w:szCs w:val="22"/>
          <w:lang w:val="en-GB"/>
        </w:rPr>
        <w:t xml:space="preserve"> and δ</w:t>
      </w:r>
      <w:r w:rsidR="00540DB4">
        <w:rPr>
          <w:sz w:val="22"/>
          <w:szCs w:val="22"/>
          <w:vertAlign w:val="superscript"/>
          <w:lang w:val="en-GB"/>
        </w:rPr>
        <w:t>18</w:t>
      </w:r>
      <w:r w:rsidR="00540DB4">
        <w:rPr>
          <w:sz w:val="22"/>
          <w:szCs w:val="22"/>
          <w:lang w:val="en-GB"/>
        </w:rPr>
        <w:t>O</w:t>
      </w:r>
      <w:r w:rsidR="00540DB4">
        <w:rPr>
          <w:sz w:val="22"/>
          <w:szCs w:val="22"/>
          <w:vertAlign w:val="subscript"/>
          <w:lang w:val="en-US"/>
        </w:rPr>
        <w:t>c</w:t>
      </w:r>
      <w:r w:rsidR="00540DB4">
        <w:rPr>
          <w:sz w:val="22"/>
          <w:szCs w:val="22"/>
          <w:lang w:val="en-US"/>
        </w:rPr>
        <w:t xml:space="preserve"> data by a factor of 10, and repeated the data assimilation procedure for cases where only </w:t>
      </w:r>
      <w:r w:rsidR="00540DB4">
        <w:rPr>
          <w:sz w:val="22"/>
          <w:szCs w:val="22"/>
          <w:lang w:val="en-GB"/>
        </w:rPr>
        <w:t>Δ</w:t>
      </w:r>
      <w:r w:rsidR="00540DB4" w:rsidRPr="00E17C34">
        <w:rPr>
          <w:sz w:val="22"/>
          <w:szCs w:val="22"/>
          <w:vertAlign w:val="subscript"/>
          <w:lang w:val="en-GB"/>
        </w:rPr>
        <w:t>47</w:t>
      </w:r>
      <w:r w:rsidR="00540DB4">
        <w:rPr>
          <w:sz w:val="22"/>
          <w:szCs w:val="22"/>
          <w:lang w:val="en-GB"/>
        </w:rPr>
        <w:t xml:space="preserve"> precision or only δ</w:t>
      </w:r>
      <w:r w:rsidR="00540DB4">
        <w:rPr>
          <w:sz w:val="22"/>
          <w:szCs w:val="22"/>
          <w:vertAlign w:val="superscript"/>
          <w:lang w:val="en-GB"/>
        </w:rPr>
        <w:t>18</w:t>
      </w:r>
      <w:r w:rsidR="00540DB4">
        <w:rPr>
          <w:sz w:val="22"/>
          <w:szCs w:val="22"/>
          <w:lang w:val="en-GB"/>
        </w:rPr>
        <w:t>O</w:t>
      </w:r>
      <w:r w:rsidR="00540DB4">
        <w:rPr>
          <w:sz w:val="22"/>
          <w:szCs w:val="22"/>
          <w:vertAlign w:val="subscript"/>
          <w:lang w:val="en-US"/>
        </w:rPr>
        <w:t>c</w:t>
      </w:r>
      <w:r w:rsidR="00540DB4">
        <w:rPr>
          <w:sz w:val="22"/>
          <w:szCs w:val="22"/>
          <w:lang w:val="en-US"/>
        </w:rPr>
        <w:t xml:space="preserve"> precision were increased/decreased </w:t>
      </w:r>
      <w:r w:rsidR="003E7FF0">
        <w:rPr>
          <w:sz w:val="22"/>
          <w:szCs w:val="22"/>
          <w:lang w:val="en-US"/>
        </w:rPr>
        <w:t>and cases where both proxies were artificially rendered more or less precise.</w:t>
      </w:r>
      <w:r w:rsidR="00681201">
        <w:rPr>
          <w:sz w:val="22"/>
          <w:szCs w:val="22"/>
          <w:lang w:val="en-US"/>
        </w:rPr>
        <w:t xml:space="preserve"> </w:t>
      </w:r>
      <w:r w:rsidR="00A2177C">
        <w:rPr>
          <w:sz w:val="22"/>
          <w:szCs w:val="22"/>
          <w:lang w:val="en-US"/>
        </w:rPr>
        <w:t xml:space="preserve">We also tested the effect of </w:t>
      </w:r>
      <w:r w:rsidR="003E7FF0">
        <w:rPr>
          <w:sz w:val="22"/>
          <w:szCs w:val="22"/>
          <w:lang w:val="en-US"/>
        </w:rPr>
        <w:t>assimilating</w:t>
      </w:r>
      <w:r w:rsidR="00540DB4">
        <w:rPr>
          <w:sz w:val="22"/>
          <w:szCs w:val="22"/>
          <w:lang w:val="en-US"/>
        </w:rPr>
        <w:t xml:space="preserve"> individual </w:t>
      </w:r>
      <w:r w:rsidR="00540DB4">
        <w:rPr>
          <w:sz w:val="22"/>
          <w:szCs w:val="22"/>
          <w:lang w:val="en-GB"/>
        </w:rPr>
        <w:t>Δ</w:t>
      </w:r>
      <w:r w:rsidR="00540DB4" w:rsidRPr="00E17C34">
        <w:rPr>
          <w:sz w:val="22"/>
          <w:szCs w:val="22"/>
          <w:vertAlign w:val="subscript"/>
          <w:lang w:val="en-GB"/>
        </w:rPr>
        <w:t>47</w:t>
      </w:r>
      <w:r w:rsidR="00540DB4">
        <w:rPr>
          <w:sz w:val="22"/>
          <w:szCs w:val="22"/>
          <w:lang w:val="en-GB"/>
        </w:rPr>
        <w:t xml:space="preserve"> and δ</w:t>
      </w:r>
      <w:r w:rsidR="00540DB4">
        <w:rPr>
          <w:sz w:val="22"/>
          <w:szCs w:val="22"/>
          <w:vertAlign w:val="superscript"/>
          <w:lang w:val="en-GB"/>
        </w:rPr>
        <w:t>18</w:t>
      </w:r>
      <w:r w:rsidR="00540DB4">
        <w:rPr>
          <w:sz w:val="22"/>
          <w:szCs w:val="22"/>
          <w:lang w:val="en-GB"/>
        </w:rPr>
        <w:t>O</w:t>
      </w:r>
      <w:r w:rsidR="00540DB4">
        <w:rPr>
          <w:sz w:val="22"/>
          <w:szCs w:val="22"/>
          <w:vertAlign w:val="subscript"/>
          <w:lang w:val="en-US"/>
        </w:rPr>
        <w:t>c</w:t>
      </w:r>
      <w:r w:rsidR="00540DB4">
        <w:rPr>
          <w:sz w:val="22"/>
          <w:szCs w:val="22"/>
          <w:lang w:val="en-US"/>
        </w:rPr>
        <w:t xml:space="preserve"> datapoints one-by-one </w:t>
      </w:r>
      <w:r w:rsidR="003E7FF0">
        <w:rPr>
          <w:sz w:val="22"/>
          <w:szCs w:val="22"/>
          <w:lang w:val="en-US"/>
        </w:rPr>
        <w:t>versus</w:t>
      </w:r>
      <w:r w:rsidR="00540DB4">
        <w:rPr>
          <w:sz w:val="22"/>
          <w:szCs w:val="22"/>
          <w:lang w:val="en-US"/>
        </w:rPr>
        <w:t xml:space="preserve"> aggregating likelihood data in monthly time bins first before ass</w:t>
      </w:r>
      <w:r w:rsidR="003E7FF0">
        <w:rPr>
          <w:sz w:val="22"/>
          <w:szCs w:val="22"/>
          <w:lang w:val="en-US"/>
        </w:rPr>
        <w:t>imilation</w:t>
      </w:r>
      <w:r w:rsidR="00540DB4">
        <w:rPr>
          <w:sz w:val="22"/>
          <w:szCs w:val="22"/>
          <w:lang w:val="en-US"/>
        </w:rPr>
        <w:t xml:space="preserve">. </w:t>
      </w:r>
      <w:r w:rsidR="003E7FF0">
        <w:rPr>
          <w:sz w:val="22"/>
          <w:szCs w:val="22"/>
          <w:lang w:val="en-US"/>
        </w:rPr>
        <w:t>In the first case, we applied the enhanced or reduced precision described above to individual datapoints, while in the latter case we increased or decreased the precision of the aggregated monthly proxy value.</w:t>
      </w:r>
    </w:p>
    <w:p w14:paraId="692FBECB" w14:textId="344ABAF8" w:rsidR="00B4717D" w:rsidRDefault="00B4717D" w:rsidP="00B4717D">
      <w:pPr>
        <w:jc w:val="both"/>
        <w:rPr>
          <w:sz w:val="22"/>
          <w:szCs w:val="22"/>
          <w:lang w:val="en-GB"/>
        </w:rPr>
      </w:pPr>
      <w:r>
        <w:rPr>
          <w:sz w:val="22"/>
          <w:szCs w:val="22"/>
          <w:lang w:val="en-GB"/>
        </w:rPr>
        <w:t xml:space="preserve">2.3.3 </w:t>
      </w:r>
      <w:r w:rsidR="003E7FF0">
        <w:rPr>
          <w:sz w:val="22"/>
          <w:szCs w:val="22"/>
          <w:lang w:val="en-GB"/>
        </w:rPr>
        <w:t>Assimilating</w:t>
      </w:r>
      <w:r>
        <w:rPr>
          <w:sz w:val="22"/>
          <w:szCs w:val="22"/>
          <w:lang w:val="en-GB"/>
        </w:rPr>
        <w:t xml:space="preserve"> multiple proxies</w:t>
      </w:r>
    </w:p>
    <w:p w14:paraId="0378073F" w14:textId="1878F7BD" w:rsidR="00B4717D" w:rsidRDefault="003E7FF0" w:rsidP="00B4717D">
      <w:pPr>
        <w:jc w:val="both"/>
        <w:rPr>
          <w:sz w:val="22"/>
          <w:szCs w:val="22"/>
          <w:lang w:val="en-GB"/>
        </w:rPr>
      </w:pPr>
      <w:r>
        <w:rPr>
          <w:sz w:val="22"/>
          <w:szCs w:val="22"/>
          <w:lang w:val="en-GB"/>
        </w:rPr>
        <w:t>Since both Δ</w:t>
      </w:r>
      <w:r w:rsidRPr="00E17C34">
        <w:rPr>
          <w:sz w:val="22"/>
          <w:szCs w:val="22"/>
          <w:vertAlign w:val="subscript"/>
          <w:lang w:val="en-GB"/>
        </w:rPr>
        <w:t>47</w:t>
      </w:r>
      <w:r>
        <w:rPr>
          <w:sz w:val="22"/>
          <w:szCs w:val="22"/>
          <w:lang w:val="en-GB"/>
        </w:rPr>
        <w:t xml:space="preserve"> and δ</w:t>
      </w:r>
      <w:r>
        <w:rPr>
          <w:sz w:val="22"/>
          <w:szCs w:val="22"/>
          <w:vertAlign w:val="superscript"/>
          <w:lang w:val="en-GB"/>
        </w:rPr>
        <w:t>18</w:t>
      </w:r>
      <w:r>
        <w:rPr>
          <w:sz w:val="22"/>
          <w:szCs w:val="22"/>
          <w:lang w:val="en-GB"/>
        </w:rPr>
        <w:t>O</w:t>
      </w:r>
      <w:r>
        <w:rPr>
          <w:sz w:val="22"/>
          <w:szCs w:val="22"/>
          <w:vertAlign w:val="subscript"/>
          <w:lang w:val="en-US"/>
        </w:rPr>
        <w:t>c</w:t>
      </w:r>
      <w:r>
        <w:rPr>
          <w:sz w:val="22"/>
          <w:szCs w:val="22"/>
          <w:lang w:val="en-US"/>
        </w:rPr>
        <w:t xml:space="preserve"> </w:t>
      </w:r>
      <w:r w:rsidR="005A4B7C">
        <w:rPr>
          <w:sz w:val="22"/>
          <w:szCs w:val="22"/>
          <w:lang w:val="en-US"/>
        </w:rPr>
        <w:t xml:space="preserve">are related to the same climate variable (SST), we </w:t>
      </w:r>
      <w:r w:rsidR="00402433">
        <w:rPr>
          <w:sz w:val="22"/>
          <w:szCs w:val="22"/>
          <w:lang w:val="en-US"/>
        </w:rPr>
        <w:t xml:space="preserve">tested the impact of assembling only </w:t>
      </w:r>
      <w:r w:rsidR="00402433">
        <w:rPr>
          <w:sz w:val="22"/>
          <w:szCs w:val="22"/>
          <w:lang w:val="en-GB"/>
        </w:rPr>
        <w:t>Δ</w:t>
      </w:r>
      <w:r w:rsidR="00402433" w:rsidRPr="00E17C34">
        <w:rPr>
          <w:sz w:val="22"/>
          <w:szCs w:val="22"/>
          <w:vertAlign w:val="subscript"/>
          <w:lang w:val="en-GB"/>
        </w:rPr>
        <w:t>47</w:t>
      </w:r>
      <w:r w:rsidR="00402433">
        <w:rPr>
          <w:sz w:val="22"/>
          <w:szCs w:val="22"/>
          <w:lang w:val="en-GB"/>
        </w:rPr>
        <w:t xml:space="preserve"> or only δ</w:t>
      </w:r>
      <w:r w:rsidR="00402433">
        <w:rPr>
          <w:sz w:val="22"/>
          <w:szCs w:val="22"/>
          <w:vertAlign w:val="superscript"/>
          <w:lang w:val="en-GB"/>
        </w:rPr>
        <w:t>18</w:t>
      </w:r>
      <w:r w:rsidR="00402433">
        <w:rPr>
          <w:sz w:val="22"/>
          <w:szCs w:val="22"/>
          <w:lang w:val="en-GB"/>
        </w:rPr>
        <w:t>O</w:t>
      </w:r>
      <w:r w:rsidR="00402433">
        <w:rPr>
          <w:sz w:val="22"/>
          <w:szCs w:val="22"/>
          <w:vertAlign w:val="subscript"/>
          <w:lang w:val="en-US"/>
        </w:rPr>
        <w:t>c</w:t>
      </w:r>
      <w:r w:rsidR="00402433">
        <w:rPr>
          <w:sz w:val="22"/>
          <w:szCs w:val="22"/>
          <w:lang w:val="en-US"/>
        </w:rPr>
        <w:t xml:space="preserve"> information on the posterior of the modern case study. This allows us to discuss the impact of potential “feedback” mechanisms in our data assimilation procedure caused by the “competition” of two sources of proxy data for updating the variance of the same climate variable. To do this, we simply removed the likelihood information from the other proxy variable from the assimilation routine and compared the outcomes with and without both </w:t>
      </w:r>
      <w:r w:rsidR="00402433">
        <w:rPr>
          <w:sz w:val="22"/>
          <w:szCs w:val="22"/>
          <w:lang w:val="en-GB"/>
        </w:rPr>
        <w:t>Δ</w:t>
      </w:r>
      <w:r w:rsidR="00402433" w:rsidRPr="00E17C34">
        <w:rPr>
          <w:sz w:val="22"/>
          <w:szCs w:val="22"/>
          <w:vertAlign w:val="subscript"/>
          <w:lang w:val="en-GB"/>
        </w:rPr>
        <w:t>47</w:t>
      </w:r>
      <w:r w:rsidR="00402433">
        <w:rPr>
          <w:sz w:val="22"/>
          <w:szCs w:val="22"/>
          <w:lang w:val="en-GB"/>
        </w:rPr>
        <w:t xml:space="preserve"> and δ</w:t>
      </w:r>
      <w:r w:rsidR="00402433">
        <w:rPr>
          <w:sz w:val="22"/>
          <w:szCs w:val="22"/>
          <w:vertAlign w:val="superscript"/>
          <w:lang w:val="en-GB"/>
        </w:rPr>
        <w:t>18</w:t>
      </w:r>
      <w:r w:rsidR="00402433">
        <w:rPr>
          <w:sz w:val="22"/>
          <w:szCs w:val="22"/>
          <w:lang w:val="en-GB"/>
        </w:rPr>
        <w:t>O</w:t>
      </w:r>
      <w:r w:rsidR="00402433">
        <w:rPr>
          <w:sz w:val="22"/>
          <w:szCs w:val="22"/>
          <w:vertAlign w:val="subscript"/>
          <w:lang w:val="en-US"/>
        </w:rPr>
        <w:t>c</w:t>
      </w:r>
      <w:r w:rsidR="00402433">
        <w:rPr>
          <w:sz w:val="22"/>
          <w:szCs w:val="22"/>
          <w:lang w:val="en-US"/>
        </w:rPr>
        <w:t xml:space="preserve"> data.</w:t>
      </w:r>
    </w:p>
    <w:p w14:paraId="2420E331" w14:textId="60B6E3A5" w:rsidR="00B4717D" w:rsidRPr="00256EAA" w:rsidRDefault="00B4717D" w:rsidP="00B4717D">
      <w:pPr>
        <w:jc w:val="both"/>
        <w:rPr>
          <w:sz w:val="22"/>
          <w:szCs w:val="22"/>
          <w:lang w:val="en-GB"/>
        </w:rPr>
      </w:pPr>
      <w:r>
        <w:rPr>
          <w:sz w:val="22"/>
          <w:szCs w:val="22"/>
          <w:lang w:val="en-GB"/>
        </w:rPr>
        <w:t xml:space="preserve">2.3.4 </w:t>
      </w:r>
      <w:r w:rsidRPr="00B4717D">
        <w:rPr>
          <w:sz w:val="22"/>
          <w:szCs w:val="22"/>
          <w:lang w:val="en-GB"/>
        </w:rPr>
        <w:t>Treatment of uncertainty</w:t>
      </w:r>
      <w:r>
        <w:rPr>
          <w:sz w:val="22"/>
          <w:szCs w:val="22"/>
          <w:lang w:val="en-GB"/>
        </w:rPr>
        <w:t xml:space="preserve"> and choice</w:t>
      </w:r>
      <w:r w:rsidRPr="00B4717D">
        <w:rPr>
          <w:sz w:val="22"/>
          <w:szCs w:val="22"/>
          <w:lang w:val="en-GB"/>
        </w:rPr>
        <w:t xml:space="preserve"> in proxy-forward models</w:t>
      </w:r>
    </w:p>
    <w:p w14:paraId="4243F8EF" w14:textId="4C6DDFDC" w:rsidR="00B4717D" w:rsidRPr="00B4717D" w:rsidRDefault="00402433" w:rsidP="00085AC6">
      <w:pPr>
        <w:jc w:val="both"/>
        <w:rPr>
          <w:sz w:val="22"/>
          <w:szCs w:val="22"/>
          <w:lang w:val="en-GB"/>
        </w:rPr>
      </w:pPr>
      <w:r>
        <w:rPr>
          <w:sz w:val="22"/>
          <w:szCs w:val="22"/>
          <w:lang w:val="en-GB"/>
        </w:rPr>
        <w:t xml:space="preserve">Two </w:t>
      </w:r>
      <w:r w:rsidR="001E5F2C">
        <w:rPr>
          <w:sz w:val="22"/>
          <w:szCs w:val="22"/>
          <w:lang w:val="en-GB"/>
        </w:rPr>
        <w:t xml:space="preserve">potentially significant </w:t>
      </w:r>
      <w:r>
        <w:rPr>
          <w:sz w:val="22"/>
          <w:szCs w:val="22"/>
          <w:lang w:val="en-GB"/>
        </w:rPr>
        <w:t xml:space="preserve">choices </w:t>
      </w:r>
      <w:r w:rsidR="001E5F2C">
        <w:rPr>
          <w:sz w:val="22"/>
          <w:szCs w:val="22"/>
          <w:lang w:val="en-GB"/>
        </w:rPr>
        <w:t xml:space="preserve">are made in our data assimilation </w:t>
      </w:r>
      <w:r w:rsidR="001C0AB9">
        <w:rPr>
          <w:sz w:val="22"/>
          <w:szCs w:val="22"/>
          <w:lang w:val="en-GB"/>
        </w:rPr>
        <w:t>procedure to link δ</w:t>
      </w:r>
      <w:r w:rsidR="001C0AB9">
        <w:rPr>
          <w:sz w:val="22"/>
          <w:szCs w:val="22"/>
          <w:vertAlign w:val="superscript"/>
          <w:lang w:val="en-GB"/>
        </w:rPr>
        <w:t>18</w:t>
      </w:r>
      <w:r w:rsidR="001C0AB9">
        <w:rPr>
          <w:sz w:val="22"/>
          <w:szCs w:val="22"/>
          <w:lang w:val="en-GB"/>
        </w:rPr>
        <w:t>O</w:t>
      </w:r>
      <w:r w:rsidR="001C0AB9">
        <w:rPr>
          <w:sz w:val="22"/>
          <w:szCs w:val="22"/>
          <w:vertAlign w:val="subscript"/>
          <w:lang w:val="en-GB"/>
        </w:rPr>
        <w:t>c</w:t>
      </w:r>
      <w:r w:rsidR="001C0AB9">
        <w:rPr>
          <w:sz w:val="22"/>
          <w:szCs w:val="22"/>
          <w:lang w:val="en-GB"/>
        </w:rPr>
        <w:t xml:space="preserve"> proxy data climate variables: Firstly, the</w:t>
      </w:r>
      <w:r w:rsidR="00B4717D" w:rsidRPr="00B4717D">
        <w:rPr>
          <w:sz w:val="22"/>
          <w:szCs w:val="22"/>
          <w:lang w:val="en-GB"/>
        </w:rPr>
        <w:t xml:space="preserve"> </w:t>
      </w:r>
      <w:r>
        <w:rPr>
          <w:sz w:val="22"/>
          <w:szCs w:val="22"/>
          <w:lang w:val="en-GB"/>
        </w:rPr>
        <w:t>δ</w:t>
      </w:r>
      <w:r>
        <w:rPr>
          <w:sz w:val="22"/>
          <w:szCs w:val="22"/>
          <w:vertAlign w:val="superscript"/>
          <w:lang w:val="en-GB"/>
        </w:rPr>
        <w:t>18</w:t>
      </w:r>
      <w:r>
        <w:rPr>
          <w:sz w:val="22"/>
          <w:szCs w:val="22"/>
          <w:lang w:val="en-GB"/>
        </w:rPr>
        <w:t>O</w:t>
      </w:r>
      <w:r>
        <w:rPr>
          <w:sz w:val="22"/>
          <w:szCs w:val="22"/>
          <w:vertAlign w:val="subscript"/>
          <w:lang w:val="en-GB"/>
        </w:rPr>
        <w:t>w</w:t>
      </w:r>
      <w:r>
        <w:rPr>
          <w:sz w:val="22"/>
          <w:szCs w:val="22"/>
          <w:lang w:val="en-GB"/>
        </w:rPr>
        <w:t>-δ</w:t>
      </w:r>
      <w:r>
        <w:rPr>
          <w:sz w:val="22"/>
          <w:szCs w:val="22"/>
          <w:vertAlign w:val="superscript"/>
          <w:lang w:val="en-GB"/>
        </w:rPr>
        <w:t>18</w:t>
      </w:r>
      <w:r>
        <w:rPr>
          <w:sz w:val="22"/>
          <w:szCs w:val="22"/>
          <w:lang w:val="en-GB"/>
        </w:rPr>
        <w:t>O</w:t>
      </w:r>
      <w:r>
        <w:rPr>
          <w:sz w:val="22"/>
          <w:szCs w:val="22"/>
          <w:vertAlign w:val="subscript"/>
          <w:lang w:val="en-GB"/>
        </w:rPr>
        <w:t>c</w:t>
      </w:r>
      <w:r>
        <w:rPr>
          <w:sz w:val="22"/>
          <w:szCs w:val="22"/>
          <w:lang w:val="en-GB"/>
        </w:rPr>
        <w:t>-temperature</w:t>
      </w:r>
      <w:r w:rsidR="00B4717D" w:rsidRPr="00B4717D">
        <w:rPr>
          <w:sz w:val="22"/>
          <w:szCs w:val="22"/>
          <w:lang w:val="en-GB"/>
        </w:rPr>
        <w:t xml:space="preserve"> calibration</w:t>
      </w:r>
      <w:r w:rsidR="001C0AB9">
        <w:rPr>
          <w:sz w:val="22"/>
          <w:szCs w:val="22"/>
          <w:lang w:val="en-GB"/>
        </w:rPr>
        <w:t xml:space="preserve"> by </w:t>
      </w:r>
      <w:r w:rsidR="001C0AB9">
        <w:rPr>
          <w:sz w:val="22"/>
          <w:szCs w:val="22"/>
          <w:lang w:val="en-GB"/>
        </w:rPr>
        <w:fldChar w:fldCharType="begin"/>
      </w:r>
      <w:r w:rsidR="00085AC6">
        <w:rPr>
          <w:sz w:val="22"/>
          <w:szCs w:val="22"/>
          <w:lang w:val="en-GB"/>
        </w:rPr>
        <w:instrText xml:space="preserve"> ADDIN ZOTERO_ITEM CSL_CITATION {"citationID":"XQ5BBGn4","properties":{"formattedCitation":"(Grossman and Ku, 1986)","plainCitation":"(Grossman and Ku, 1986)","noteIndex":0},"citationItems":[{"id":267,"uris":["http://zotero.org/users/2470179/items/H8UCKH5N"],"itemData":{"id":267,"type":"article-journal","container-title":"Chemical Geology: Isotope Geoscience section","page":"59–74","source":"Google Scholar","title":"Oxygen and carbon isotope fractionation in biogenic aragonite: temperature effects","title-short":"Oxygen and carbon isotope fractionation in biogenic aragonite","volume":"59","author":[{"family":"Grossman","given":"Ethan L."},{"family":"Ku","given":"Teh-Lung"}],"issued":{"date-parts":[["1986"]]}}}],"schema":"https://github.com/citation-style-language/schema/raw/master/csl-citation.json"} </w:instrText>
      </w:r>
      <w:r w:rsidR="001C0AB9">
        <w:rPr>
          <w:sz w:val="22"/>
          <w:szCs w:val="22"/>
          <w:lang w:val="en-GB"/>
        </w:rPr>
        <w:fldChar w:fldCharType="separate"/>
      </w:r>
      <w:r w:rsidR="001C0AB9" w:rsidRPr="001966CD">
        <w:rPr>
          <w:rFonts w:ascii="Aptos" w:hAnsi="Aptos"/>
          <w:sz w:val="22"/>
        </w:rPr>
        <w:t>(Grossman and Ku, 1986)</w:t>
      </w:r>
      <w:r w:rsidR="001C0AB9">
        <w:rPr>
          <w:sz w:val="22"/>
          <w:szCs w:val="22"/>
          <w:lang w:val="en-GB"/>
        </w:rPr>
        <w:fldChar w:fldCharType="end"/>
      </w:r>
      <w:r w:rsidR="001C0AB9">
        <w:rPr>
          <w:sz w:val="22"/>
          <w:szCs w:val="22"/>
          <w:lang w:val="en-GB"/>
        </w:rPr>
        <w:t xml:space="preserve"> modified by </w:t>
      </w:r>
      <w:r w:rsidR="001C0AB9">
        <w:rPr>
          <w:sz w:val="22"/>
          <w:szCs w:val="22"/>
          <w:lang w:val="en-GB"/>
        </w:rPr>
        <w:fldChar w:fldCharType="begin"/>
      </w:r>
      <w:r w:rsidR="00085AC6">
        <w:rPr>
          <w:sz w:val="22"/>
          <w:szCs w:val="22"/>
          <w:lang w:val="en-GB"/>
        </w:rPr>
        <w:instrText xml:space="preserve"> ADDIN ZOTERO_ITEM CSL_CITATION {"citationID":"WJkkJr3V","properties":{"formattedCitation":"(Dettman et al., 1999; Gonfiantini et al., 1995)","plainCitation":"(Dettman et al., 1999; Gonfiantini et al., 1995)","noteIndex":0},"citationItems":[{"id":8132,"uris":["http://zotero.org/users/2470179/items/6KLIY3BF"],"itemData":{"id":8132,"type":"article-journal","abstract":"Water temperature, oxygen isotope composition and the δ13C of dissolved inorganic carbon were measured in 2 southern Michigan rivers, the Huron River and Fleming Creek, between late September 1990 and June 1992. The final full year of shell growth in 3 unionids collected in 1992 from these rivers was sampled for stable isotope analysis with a resolution of 30 μm. The δ18O of both shell nacre and the prismatic layer is accurately predicted by a fractionation relationship developed for biogenic aragonite. High resolution sampling of 3 species and bulk sampling of 3 other species suggest that all unionids adhere to this oxygen isotope fractionation relationship. This relationship is used to show that shell growth ceases below approximately 12°C. In these 2 settings the average δ18O value of shell (PDB scale) is within 0.5‰ of the average δ18O of river water (SMOW scale). Unionids can therefore be used in oxygen-isotope-based paleoclimatic and paleohydrologic reconstructions. In contrast, the carbon isotope ratio of shell is not accurately predicted by published fractionation factors between D.I.C. and carbonate. Shell δ13C is more negative than predicted values and the offset is highly variable suggesting a significant and variable incorporation of metabolic carbon into the shell carbonate.","container-title":"Geochimica et Cosmochimica Acta","DOI":"10.1016/S0016-7037(99)00020-4","ISSN":"0016-7037","issue":"7","journalAbbreviation":"Geochimica et Cosmochimica Acta","page":"1049-1057","source":"ScienceDirect","title":"Controls on the stable isotope composition of seasonal growth bands in aragonitic fresh-water bivalves (unionidae)","volume":"63","author":[{"family":"Dettman","given":"David L."},{"family":"Reische","given":"Aimee K."},{"family":"Lohmann","given":"Kyger C."}],"issued":{"date-parts":[["1999",4,1]]}}},{"id":8006,"uris":["http://zotero.org/users/2470179/items/9LJ9SPBL"],"itemData":{"id":8006,"type":"article-journal","abstract":"The Agency`s current programme for the preparation and distribution of standards and intercomparison materials for the calibration of the measurements of stable isotope natural variations is reviewed. The need to carry out determinations of the absolute isotopic ratios in standards is discussed. This would facilitate the long-term quality control of existing standards as well as the establishment of new standards when the present ones are exhausted. (author). 37 refs, 2 figs, 3 tabs.","language":"English","source":"www.osti.gov","title":"Standards and intercomparison materials distributed by the International Atomic Energy Agency for stable isotope measurements","URL":"https://www.osti.gov/etdeweb/biblio/193918","author":[{"family":"Gonfiantini","given":"R."},{"family":"Stichler","given":"W."},{"family":"Rozanski","given":"K."}],"accessed":{"date-parts":[["2025",3,10]]},"issued":{"date-parts":[["1995",9,1]]}}}],"schema":"https://github.com/citation-style-language/schema/raw/master/csl-citation.json"} </w:instrText>
      </w:r>
      <w:r w:rsidR="001C0AB9">
        <w:rPr>
          <w:sz w:val="22"/>
          <w:szCs w:val="22"/>
          <w:lang w:val="en-GB"/>
        </w:rPr>
        <w:fldChar w:fldCharType="separate"/>
      </w:r>
      <w:r w:rsidR="001C0AB9" w:rsidRPr="001966CD">
        <w:rPr>
          <w:rFonts w:ascii="Aptos" w:hAnsi="Aptos"/>
          <w:sz w:val="22"/>
        </w:rPr>
        <w:t>(Dettman et al., 1999; Gonfiantini et al., 1995)</w:t>
      </w:r>
      <w:r w:rsidR="001C0AB9">
        <w:rPr>
          <w:sz w:val="22"/>
          <w:szCs w:val="22"/>
          <w:lang w:val="en-GB"/>
        </w:rPr>
        <w:fldChar w:fldCharType="end"/>
      </w:r>
      <w:r w:rsidR="001C0AB9">
        <w:rPr>
          <w:sz w:val="22"/>
          <w:szCs w:val="22"/>
          <w:lang w:val="en-GB"/>
        </w:rPr>
        <w:t xml:space="preserve"> is used by default (see 2.2.1 and 2.2.3) while there are other options for correlating aragonitic δ</w:t>
      </w:r>
      <w:r w:rsidR="001C0AB9">
        <w:rPr>
          <w:sz w:val="22"/>
          <w:szCs w:val="22"/>
          <w:vertAlign w:val="superscript"/>
          <w:lang w:val="en-GB"/>
        </w:rPr>
        <w:t>18</w:t>
      </w:r>
      <w:r w:rsidR="001C0AB9">
        <w:rPr>
          <w:sz w:val="22"/>
          <w:szCs w:val="22"/>
          <w:lang w:val="en-GB"/>
        </w:rPr>
        <w:t>O</w:t>
      </w:r>
      <w:r w:rsidR="001C0AB9">
        <w:rPr>
          <w:sz w:val="22"/>
          <w:szCs w:val="22"/>
          <w:vertAlign w:val="subscript"/>
          <w:lang w:val="en-GB"/>
        </w:rPr>
        <w:t>c</w:t>
      </w:r>
      <w:r w:rsidR="001C0AB9">
        <w:rPr>
          <w:sz w:val="22"/>
          <w:szCs w:val="22"/>
          <w:lang w:val="en-GB"/>
        </w:rPr>
        <w:t xml:space="preserve"> values to temperature and δ</w:t>
      </w:r>
      <w:r w:rsidR="001C0AB9">
        <w:rPr>
          <w:sz w:val="22"/>
          <w:szCs w:val="22"/>
          <w:vertAlign w:val="superscript"/>
          <w:lang w:val="en-GB"/>
        </w:rPr>
        <w:t>18</w:t>
      </w:r>
      <w:r w:rsidR="001C0AB9">
        <w:rPr>
          <w:sz w:val="22"/>
          <w:szCs w:val="22"/>
          <w:lang w:val="en-GB"/>
        </w:rPr>
        <w:t>O</w:t>
      </w:r>
      <w:r w:rsidR="001C0AB9">
        <w:rPr>
          <w:sz w:val="22"/>
          <w:szCs w:val="22"/>
          <w:vertAlign w:val="subscript"/>
          <w:lang w:val="en-GB"/>
        </w:rPr>
        <w:t>w</w:t>
      </w:r>
      <w:r w:rsidR="001C0AB9">
        <w:rPr>
          <w:sz w:val="22"/>
          <w:szCs w:val="22"/>
          <w:lang w:val="en-GB"/>
        </w:rPr>
        <w:t xml:space="preserve"> (e.g. </w:t>
      </w:r>
      <w:r w:rsidR="001C0AB9">
        <w:rPr>
          <w:sz w:val="22"/>
          <w:szCs w:val="22"/>
          <w:lang w:val="en-GB"/>
        </w:rPr>
        <w:fldChar w:fldCharType="begin"/>
      </w:r>
      <w:r w:rsidR="00085AC6">
        <w:rPr>
          <w:sz w:val="22"/>
          <w:szCs w:val="22"/>
          <w:lang w:val="en-GB"/>
        </w:rPr>
        <w:instrText xml:space="preserve"> ADDIN ZOTERO_ITEM CSL_CITATION {"citationID":"oH5JLscp","properties":{"formattedCitation":"(Kim et al., 2007; L\\uc0\\u233{}cuyer et al., 2012)","plainCitation":"(Kim et al., 2007; Lécuyer et al., 2012)","noteIndex":0},"citationItems":[{"id":1285,"uris":["http://zotero.org/users/2470179/items/PNJWJ3VT"],"itemData":{"id":1285,"type":"article-journal","abstract":"Aragonite was precipitated in the laboratory at 0, 5, 10, 25, and 40°C to determine the temperature dependence of the equilibrium oxygen isotope fractionation between aragonite and water. Forced CO2 degassing, passive CO2 degassing, and constant addition methods were employed to precipitate aragonite from supersaturated solutions, but the resulting aragonite–water oxygen isotope fractionation was independent of the precipitation method. In addition, under the experimental conditions of this study, the effect of precipitation rate on the oxygen isotope fractionation between aragonite and water was almost within the analytical error of ±</w:instrText>
      </w:r>
      <w:r w:rsidR="00085AC6">
        <w:rPr>
          <w:rFonts w:ascii="Cambria Math" w:hAnsi="Cambria Math" w:cs="Cambria Math"/>
          <w:sz w:val="22"/>
          <w:szCs w:val="22"/>
          <w:lang w:val="en-GB"/>
        </w:rPr>
        <w:instrText>∼</w:instrText>
      </w:r>
      <w:r w:rsidR="00085AC6">
        <w:rPr>
          <w:sz w:val="22"/>
          <w:szCs w:val="22"/>
          <w:lang w:val="en-GB"/>
        </w:rPr>
        <w:instrText>0.13</w:instrText>
      </w:r>
      <w:r w:rsidR="00085AC6">
        <w:rPr>
          <w:rFonts w:ascii="Aptos" w:hAnsi="Aptos" w:cs="Aptos"/>
          <w:sz w:val="22"/>
          <w:szCs w:val="22"/>
          <w:lang w:val="en-GB"/>
        </w:rPr>
        <w:instrText>‰</w:instrText>
      </w:r>
      <w:r w:rsidR="00085AC6">
        <w:rPr>
          <w:sz w:val="22"/>
          <w:szCs w:val="22"/>
          <w:lang w:val="en-GB"/>
        </w:rPr>
        <w:instrText xml:space="preserve"> and thus insignificant. Because the presence of Mg2+ ions is required to nucleate and precipitate aragonite from Na–Ca–Cl–HCO3 solutions under these experimental conditions, the influence of the total Mg2+ concentration (up to </w:instrText>
      </w:r>
      <w:r w:rsidR="00085AC6">
        <w:rPr>
          <w:rFonts w:ascii="Cambria Math" w:hAnsi="Cambria Math" w:cs="Cambria Math"/>
          <w:sz w:val="22"/>
          <w:szCs w:val="22"/>
          <w:lang w:val="en-GB"/>
        </w:rPr>
        <w:instrText>∼</w:instrText>
      </w:r>
      <w:r w:rsidR="00085AC6">
        <w:rPr>
          <w:sz w:val="22"/>
          <w:szCs w:val="22"/>
          <w:lang w:val="en-GB"/>
        </w:rPr>
        <w:instrText>0.9 molal) on the aragonite</w:instrText>
      </w:r>
      <w:r w:rsidR="00085AC6">
        <w:rPr>
          <w:rFonts w:ascii="Aptos" w:hAnsi="Aptos" w:cs="Aptos"/>
          <w:sz w:val="22"/>
          <w:szCs w:val="22"/>
          <w:lang w:val="en-GB"/>
        </w:rPr>
        <w:instrText>–</w:instrText>
      </w:r>
      <w:r w:rsidR="00085AC6">
        <w:rPr>
          <w:sz w:val="22"/>
          <w:szCs w:val="22"/>
          <w:lang w:val="en-GB"/>
        </w:rPr>
        <w:instrText>water oxygen isotope fractionation was examined at 25</w:instrText>
      </w:r>
      <w:r w:rsidR="00085AC6">
        <w:rPr>
          <w:rFonts w:ascii="Aptos" w:hAnsi="Aptos" w:cs="Aptos"/>
          <w:sz w:val="22"/>
          <w:szCs w:val="22"/>
          <w:lang w:val="en-GB"/>
        </w:rPr>
        <w:instrText>°</w:instrText>
      </w:r>
      <w:r w:rsidR="00085AC6">
        <w:rPr>
          <w:sz w:val="22"/>
          <w:szCs w:val="22"/>
          <w:lang w:val="en-GB"/>
        </w:rPr>
        <w:instrText xml:space="preserve">C. No significant Mg2+ ion effect, or oxygen isotope salt effect, was detected up to 100mmolal total Mg2+ but a noticeable isotope salt effect was observed at </w:instrText>
      </w:r>
      <w:r w:rsidR="00085AC6">
        <w:rPr>
          <w:rFonts w:ascii="Cambria Math" w:hAnsi="Cambria Math" w:cs="Cambria Math"/>
          <w:sz w:val="22"/>
          <w:szCs w:val="22"/>
          <w:lang w:val="en-GB"/>
        </w:rPr>
        <w:instrText>∼</w:instrText>
      </w:r>
      <w:r w:rsidR="00085AC6">
        <w:rPr>
          <w:sz w:val="22"/>
          <w:szCs w:val="22"/>
          <w:lang w:val="en-GB"/>
        </w:rPr>
        <w:instrText>0.9 molal total Mg2+. On the basis of results of the laboratory synthesis experiments, a new expression for the aragonite–water fractionation is proposed over the temperature range of 0–40°C:1000lnαaragonite-water=17.88±0.13(103/T)-31.14±0.46where αaragonite–water is the fractionation factor between aragonite and water, and T is in kelvins. Given the analytical and statistical errors associated with this and previous determinations, the new relation reveals that many biogenic aragonites are precipitated at and or very near oxygen isotope equilibrium with their ambient water. When the new aragonite–water expression is combined with the calcite–water calibration published by Kim and O ’Neil [Kim S. -T., and O’Neil J. R. (1997) Equilibrium and nonequilibrium oxygen isotope effects in synthetic carbonates. Geochim. Cosmochim. Acta 61, 3461–3475], a positive aragonite–calcite fractionation (</w:instrText>
      </w:r>
      <w:r w:rsidR="00085AC6">
        <w:rPr>
          <w:rFonts w:ascii="Cambria Math" w:hAnsi="Cambria Math" w:cs="Cambria Math"/>
          <w:sz w:val="22"/>
          <w:szCs w:val="22"/>
          <w:lang w:val="en-GB"/>
        </w:rPr>
        <w:instrText>∼</w:instrText>
      </w:r>
      <w:r w:rsidR="00085AC6">
        <w:rPr>
          <w:sz w:val="22"/>
          <w:szCs w:val="22"/>
          <w:lang w:val="en-GB"/>
        </w:rPr>
        <w:instrText>0.8</w:instrText>
      </w:r>
      <w:r w:rsidR="00085AC6">
        <w:rPr>
          <w:rFonts w:ascii="Aptos" w:hAnsi="Aptos" w:cs="Aptos"/>
          <w:sz w:val="22"/>
          <w:szCs w:val="22"/>
          <w:lang w:val="en-GB"/>
        </w:rPr>
        <w:instrText>‰</w:instrText>
      </w:r>
      <w:r w:rsidR="00085AC6">
        <w:rPr>
          <w:sz w:val="22"/>
          <w:szCs w:val="22"/>
          <w:lang w:val="en-GB"/>
        </w:rPr>
        <w:instrText xml:space="preserve"> at 25</w:instrText>
      </w:r>
      <w:r w:rsidR="00085AC6">
        <w:rPr>
          <w:rFonts w:ascii="Aptos" w:hAnsi="Aptos" w:cs="Aptos"/>
          <w:sz w:val="22"/>
          <w:szCs w:val="22"/>
          <w:lang w:val="en-GB"/>
        </w:rPr>
        <w:instrText>°</w:instrText>
      </w:r>
      <w:r w:rsidR="00085AC6">
        <w:rPr>
          <w:sz w:val="22"/>
          <w:szCs w:val="22"/>
          <w:lang w:val="en-GB"/>
        </w:rPr>
        <w:instrText>C) is obtained over the temperature range investigated.","container-title":"Geochimica et Cosmochimica Acta","DOI":"10.1016/j.gca.2007.04.019","ISSN":"0016-7037","issue":"19","journalAbbreviation":"Geochimica et Cosmochimica Acta","page":"4704-4715","source":"ScienceDirect","title":"Oxygen isotope fractionation between synthetic aragonite and water: Influence of temperature and Mg2+ concentration","title-short":"Oxygen isotope fractionation between synthetic aragonite and water","volume":"71","author":[{"family":"Kim","given":"Sang-Tae"},{"family":"O’Neil","given":"James R."},{"family":"Hillaire-Marcel","given":"Claude"},{"family":"Mucci","given":"Alfonso"}],"issued":{"date-parts":[["2007",10,1]]}}},{"id":8075,"uris":["http://zotero.org/users/2470179/items/APRWP9GK"],"itemData":{"id":8075,"type":"article-journal","abstract":"Carbon and oxygen isotope fractionations between calcite and aragonite were investigated by analyzing marine gastropods and bivalves that lived under temperate to tropical climates. Species that secrete both aragonite and calcite layers were studied to ensure similitude of changes in the isotopic composition of water, in diet, and in metabolic activity during shell growth. Aragonite and calcite layers from the adult parts of the shell were identified and mapped by using Raman spectroscopy. Powder samples were obtained by micro</w:instrText>
      </w:r>
      <w:r w:rsidR="00085AC6">
        <w:rPr>
          <w:rFonts w:ascii="Cambria Math" w:hAnsi="Cambria Math" w:cs="Cambria Math"/>
          <w:sz w:val="22"/>
          <w:szCs w:val="22"/>
          <w:lang w:val="en-GB"/>
        </w:rPr>
        <w:instrText>‐</w:instrText>
      </w:r>
      <w:r w:rsidR="00085AC6">
        <w:rPr>
          <w:sz w:val="22"/>
          <w:szCs w:val="22"/>
          <w:lang w:val="en-GB"/>
        </w:rPr>
        <w:instrText>drilling under a stereo microscope. Thirty</w:instrText>
      </w:r>
      <w:r w:rsidR="00085AC6">
        <w:rPr>
          <w:rFonts w:ascii="Cambria Math" w:hAnsi="Cambria Math" w:cs="Cambria Math"/>
          <w:sz w:val="22"/>
          <w:szCs w:val="22"/>
          <w:lang w:val="en-GB"/>
        </w:rPr>
        <w:instrText>‐</w:instrText>
      </w:r>
      <w:r w:rsidR="00085AC6">
        <w:rPr>
          <w:sz w:val="22"/>
          <w:szCs w:val="22"/>
          <w:lang w:val="en-GB"/>
        </w:rPr>
        <w:instrText>six pairs of aragonite</w:instrText>
      </w:r>
      <w:r w:rsidR="00085AC6">
        <w:rPr>
          <w:rFonts w:ascii="Aptos" w:hAnsi="Aptos" w:cs="Aptos"/>
          <w:sz w:val="22"/>
          <w:szCs w:val="22"/>
          <w:lang w:val="en-GB"/>
        </w:rPr>
        <w:instrText>–</w:instrText>
      </w:r>
      <w:r w:rsidR="00085AC6">
        <w:rPr>
          <w:sz w:val="22"/>
          <w:szCs w:val="22"/>
          <w:lang w:val="en-GB"/>
        </w:rPr>
        <w:instrText>calcite samples were obtained from ten gastropod and five bivalve species. Biogenic aragonite is 13C</w:instrText>
      </w:r>
      <w:r w:rsidR="00085AC6">
        <w:rPr>
          <w:rFonts w:ascii="Cambria Math" w:hAnsi="Cambria Math" w:cs="Cambria Math"/>
          <w:sz w:val="22"/>
          <w:szCs w:val="22"/>
          <w:lang w:val="en-GB"/>
        </w:rPr>
        <w:instrText>‐</w:instrText>
      </w:r>
      <w:r w:rsidR="00085AC6">
        <w:rPr>
          <w:sz w:val="22"/>
          <w:szCs w:val="22"/>
          <w:lang w:val="en-GB"/>
        </w:rPr>
        <w:instrText>enriched by 0.95</w:instrText>
      </w:r>
      <w:r w:rsidR="00085AC6">
        <w:rPr>
          <w:rFonts w:ascii="Aptos" w:hAnsi="Aptos" w:cs="Aptos"/>
          <w:sz w:val="22"/>
          <w:szCs w:val="22"/>
          <w:lang w:val="en-GB"/>
        </w:rPr>
        <w:instrText>±</w:instrText>
      </w:r>
      <w:r w:rsidR="00085AC6">
        <w:rPr>
          <w:sz w:val="22"/>
          <w:szCs w:val="22"/>
          <w:lang w:val="en-GB"/>
        </w:rPr>
        <w:instrText>0.81</w:instrText>
      </w:r>
      <w:r w:rsidR="00085AC6">
        <w:rPr>
          <w:rFonts w:ascii="Aptos" w:hAnsi="Aptos" w:cs="Aptos"/>
          <w:sz w:val="22"/>
          <w:szCs w:val="22"/>
          <w:lang w:val="en-GB"/>
        </w:rPr>
        <w:instrText>‰</w:instrText>
      </w:r>
      <w:r w:rsidR="00085AC6">
        <w:rPr>
          <w:sz w:val="22"/>
          <w:szCs w:val="22"/>
          <w:lang w:val="en-GB"/>
        </w:rPr>
        <w:instrText xml:space="preserve"> and 18O</w:instrText>
      </w:r>
      <w:r w:rsidR="00085AC6">
        <w:rPr>
          <w:rFonts w:ascii="Cambria Math" w:hAnsi="Cambria Math" w:cs="Cambria Math"/>
          <w:sz w:val="22"/>
          <w:szCs w:val="22"/>
          <w:lang w:val="en-GB"/>
        </w:rPr>
        <w:instrText>‐</w:instrText>
      </w:r>
      <w:r w:rsidR="00085AC6">
        <w:rPr>
          <w:sz w:val="22"/>
          <w:szCs w:val="22"/>
          <w:lang w:val="en-GB"/>
        </w:rPr>
        <w:instrText>enriched by 0.37</w:instrText>
      </w:r>
      <w:r w:rsidR="00085AC6">
        <w:rPr>
          <w:rFonts w:ascii="Aptos" w:hAnsi="Aptos" w:cs="Aptos"/>
          <w:sz w:val="22"/>
          <w:szCs w:val="22"/>
          <w:lang w:val="en-GB"/>
        </w:rPr>
        <w:instrText>±</w:instrText>
      </w:r>
      <w:r w:rsidR="00085AC6">
        <w:rPr>
          <w:sz w:val="22"/>
          <w:szCs w:val="22"/>
          <w:lang w:val="en-GB"/>
        </w:rPr>
        <w:instrText>0.65</w:instrText>
      </w:r>
      <w:r w:rsidR="00085AC6">
        <w:rPr>
          <w:rFonts w:ascii="Aptos" w:hAnsi="Aptos" w:cs="Aptos"/>
          <w:sz w:val="22"/>
          <w:szCs w:val="22"/>
          <w:lang w:val="en-GB"/>
        </w:rPr>
        <w:instrText>‰</w:instrText>
      </w:r>
      <w:r w:rsidR="00085AC6">
        <w:rPr>
          <w:sz w:val="22"/>
          <w:szCs w:val="22"/>
          <w:lang w:val="en-GB"/>
        </w:rPr>
        <w:instrText xml:space="preserve"> relative to co-existing biogenic calcite. Direction and magnitude of the carbon isotope fractionation are compatible with those already determined by using low</w:instrText>
      </w:r>
      <w:r w:rsidR="00085AC6">
        <w:rPr>
          <w:rFonts w:ascii="Cambria Math" w:hAnsi="Cambria Math" w:cs="Cambria Math"/>
          <w:sz w:val="22"/>
          <w:szCs w:val="22"/>
          <w:lang w:val="en-GB"/>
        </w:rPr>
        <w:instrText>‐</w:instrText>
      </w:r>
      <w:r w:rsidR="00085AC6">
        <w:rPr>
          <w:sz w:val="22"/>
          <w:szCs w:val="22"/>
          <w:lang w:val="en-GB"/>
        </w:rPr>
        <w:instrText>temperature experimental approaches. The observed oxygen isotope difference between biogenic aragonite and calcite is assigned to the difference (</w:instrText>
      </w:r>
      <w:r w:rsidR="00085AC6">
        <w:rPr>
          <w:rFonts w:ascii="Aptos" w:hAnsi="Aptos" w:cs="Aptos"/>
          <w:sz w:val="22"/>
          <w:szCs w:val="22"/>
          <w:lang w:val="en-GB"/>
        </w:rPr>
        <w:instrText>≈</w:instrText>
      </w:r>
      <w:r w:rsidR="00085AC6">
        <w:rPr>
          <w:sz w:val="22"/>
          <w:szCs w:val="22"/>
          <w:lang w:val="en-GB"/>
        </w:rPr>
        <w:instrText>0.4</w:instrText>
      </w:r>
      <w:r w:rsidR="00085AC6">
        <w:rPr>
          <w:rFonts w:ascii="Aptos" w:hAnsi="Aptos" w:cs="Aptos"/>
          <w:sz w:val="22"/>
          <w:szCs w:val="22"/>
          <w:lang w:val="en-GB"/>
        </w:rPr>
        <w:instrText>‰</w:instrText>
      </w:r>
      <w:r w:rsidR="00085AC6">
        <w:rPr>
          <w:sz w:val="22"/>
          <w:szCs w:val="22"/>
          <w:lang w:val="en-GB"/>
        </w:rPr>
        <w:instrText>) in the acid fractionation factor values that must be taken into account during digestion of carbonate polymorphs at 90</w:instrText>
      </w:r>
      <w:r w:rsidR="00085AC6">
        <w:rPr>
          <w:rFonts w:ascii="Aptos" w:hAnsi="Aptos" w:cs="Aptos"/>
          <w:sz w:val="22"/>
          <w:szCs w:val="22"/>
          <w:lang w:val="en-GB"/>
        </w:rPr>
        <w:instrText>°</w:instrText>
      </w:r>
      <w:r w:rsidR="00085AC6">
        <w:rPr>
          <w:sz w:val="22"/>
          <w:szCs w:val="22"/>
          <w:lang w:val="en-GB"/>
        </w:rPr>
        <w:instrText xml:space="preserve">C. It is concluded that biogenic calcium carbonate polymorphs precipitate close to, but not in isotopic equilibrium with seawater. Therefore, empirical oxygen isotope fractionation equations that were established on the basis of modern mollusc shells and ambient waters should be preferred for the calculation of aquatic paleotemperatures.","container-title":"Chemical Geology","DOI":"10.1016/j.chemgeo.2012.08.034","ISSN":"0009-2541","journalAbbreviation":"Chemical Geology","page":"92-101","source":"ScienceDirect","title":"Carbon and oxygen isotope fractionations between aragonite and calcite of shells from modern molluscs","volume":"332-333","author":[{"family":"Lécuyer","given":"Christophe"},{"family":"Hutzler","given":"Aurore"},{"family":"Amiot","given":"Romain"},{"family":"Daux","given":"Valérie"},{"family":"Grosheny","given":"Danièle"},{"family":"Otero","given":"Olga"},{"family":"Martineau","given":"François"},{"family":"Fourel","given":"François"},{"family":"Balter","given":"Vincent"},{"family":"Reynard","given":"Bruno"}],"issued":{"date-parts":[["2012",11,25]]}}}],"schema":"https://github.com/citation-style-language/schema/raw/master/csl-citation.json"} </w:instrText>
      </w:r>
      <w:r w:rsidR="001C0AB9">
        <w:rPr>
          <w:sz w:val="22"/>
          <w:szCs w:val="22"/>
          <w:lang w:val="en-GB"/>
        </w:rPr>
        <w:fldChar w:fldCharType="separate"/>
      </w:r>
      <w:r w:rsidR="00085AC6" w:rsidRPr="00085AC6">
        <w:rPr>
          <w:rFonts w:ascii="Aptos" w:hAnsi="Aptos" w:cs="Times New Roman"/>
          <w:kern w:val="0"/>
          <w:sz w:val="22"/>
        </w:rPr>
        <w:t>(Kim et al., 2007; Lécuyer et al., 2012)</w:t>
      </w:r>
      <w:r w:rsidR="001C0AB9">
        <w:rPr>
          <w:sz w:val="22"/>
          <w:szCs w:val="22"/>
          <w:lang w:val="en-GB"/>
        </w:rPr>
        <w:fldChar w:fldCharType="end"/>
      </w:r>
      <w:r w:rsidR="001C0AB9">
        <w:rPr>
          <w:sz w:val="22"/>
          <w:szCs w:val="22"/>
          <w:lang w:val="en-GB"/>
        </w:rPr>
        <w:t xml:space="preserve"> Secondly, we use the North Sea SSS-δ</w:t>
      </w:r>
      <w:r w:rsidR="001C0AB9">
        <w:rPr>
          <w:sz w:val="22"/>
          <w:szCs w:val="22"/>
          <w:vertAlign w:val="superscript"/>
          <w:lang w:val="en-GB"/>
        </w:rPr>
        <w:t>18</w:t>
      </w:r>
      <w:r w:rsidR="001C0AB9">
        <w:rPr>
          <w:sz w:val="22"/>
          <w:szCs w:val="22"/>
          <w:lang w:val="en-GB"/>
        </w:rPr>
        <w:t>O</w:t>
      </w:r>
      <w:r w:rsidR="001C0AB9">
        <w:rPr>
          <w:sz w:val="22"/>
          <w:szCs w:val="22"/>
          <w:vertAlign w:val="subscript"/>
          <w:lang w:val="en-GB"/>
        </w:rPr>
        <w:t>w</w:t>
      </w:r>
      <w:r w:rsidR="001C0AB9">
        <w:rPr>
          <w:sz w:val="22"/>
          <w:szCs w:val="22"/>
          <w:lang w:val="en-GB"/>
        </w:rPr>
        <w:t xml:space="preserve"> relationship</w:t>
      </w:r>
      <w:r w:rsidR="00085AC6">
        <w:rPr>
          <w:sz w:val="22"/>
          <w:szCs w:val="22"/>
          <w:lang w:val="en-GB"/>
        </w:rPr>
        <w:t xml:space="preserve"> by </w:t>
      </w:r>
      <w:r w:rsidR="00085AC6">
        <w:rPr>
          <w:sz w:val="22"/>
          <w:szCs w:val="22"/>
          <w:lang w:val="en-GB"/>
        </w:rPr>
        <w:fldChar w:fldCharType="begin"/>
      </w:r>
      <w:r w:rsidR="00085AC6">
        <w:rPr>
          <w:sz w:val="22"/>
          <w:szCs w:val="22"/>
          <w:lang w:val="en-GB"/>
        </w:rPr>
        <w:instrText xml:space="preserve"> ADDIN ZOTERO_ITEM CSL_CITATION {"citationID":"sI243U6R","properties":{"formattedCitation":"(Harwood et al., 2008)","plainCitation":"(Harwood et al., 2008)","noteIndex":0},"citationItems":[{"id":1628,"uris":["http://zotero.org/users/2470179/items/7N6RNMEZ"],"itemData":{"id":1628,"type":"article-journal","abstract":"Based on measurements of the 18O isotope composition of 247 samples collected over a 3-year period we have assessed the oxygen isotope composition of water masses in the North Sea. This is the ﬁrst d18O data set that covers the entire North Sea basin. The waters lie on a mixing line: d18O (&amp;VSMOW) ¼ À9.300 þ 0.274(S ) with North Atlantic sub-polar mode water (SPMW) and surface waters, and Baltic Sea water representing the saline and freshwater end members respectively. Patterns exhibited in surface and bottom water d18O distributions are representative of the general circulation of the North Sea. Oxygen-18 enriched waters from the North Atlantic enter the North Sea between Scotland and Norway and to a lesser extent through the English Channel. In contrast, oxygen-18 depleted waters mainly inﬂow from the Baltic Sea, the rivers Rhine and Elbe, and to a lesser degree, the Norwegian Fjords and other river sources. Locally the d18Oesalinity relationship will be controlled by the isotopic composition of the freshwater inputs. However, the range of local freshwater compositions around the North Sea basin is too narrow to characterise the relative contributions of individual sources to the overall seawater composition. This dataset provides important information for a number of related disciplines including biogeochemical research and oceanographic studies.","container-title":"Estuarine, Coastal and Shelf Science","DOI":"10.1016/j.ecss.2007.12.010","ISSN":"02727714","issue":"2","journalAbbreviation":"Estuarine, Coastal and Shelf Science","language":"en","page":"353-359","source":"DOI.org (Crossref)","title":"The oxygen isotope composition of water masses within the North Sea","volume":"78","author":[{"family":"Harwood","given":"Andrew J.P."},{"family":"Dennis","given":"Paul F."},{"family":"Marca","given":"Alina D."},{"family":"Pilling","given":"Graham M."},{"family":"Millner","given":"Richard S."}],"issued":{"date-parts":[["2008",6]]}}}],"schema":"https://github.com/citation-style-language/schema/raw/master/csl-citation.json"} </w:instrText>
      </w:r>
      <w:r w:rsidR="00085AC6">
        <w:rPr>
          <w:sz w:val="22"/>
          <w:szCs w:val="22"/>
          <w:lang w:val="en-GB"/>
        </w:rPr>
        <w:fldChar w:fldCharType="separate"/>
      </w:r>
      <w:r w:rsidR="00085AC6" w:rsidRPr="00085AC6">
        <w:rPr>
          <w:rFonts w:ascii="Aptos" w:hAnsi="Aptos"/>
          <w:sz w:val="22"/>
        </w:rPr>
        <w:t>(Harwood et al., 2008)</w:t>
      </w:r>
      <w:r w:rsidR="00085AC6">
        <w:rPr>
          <w:sz w:val="22"/>
          <w:szCs w:val="22"/>
          <w:lang w:val="en-GB"/>
        </w:rPr>
        <w:fldChar w:fldCharType="end"/>
      </w:r>
      <w:r w:rsidR="001C0AB9">
        <w:rPr>
          <w:sz w:val="22"/>
          <w:szCs w:val="22"/>
          <w:lang w:val="en-GB"/>
        </w:rPr>
        <w:t xml:space="preserve"> to link δ</w:t>
      </w:r>
      <w:r w:rsidR="001C0AB9">
        <w:rPr>
          <w:sz w:val="22"/>
          <w:szCs w:val="22"/>
          <w:vertAlign w:val="superscript"/>
          <w:lang w:val="en-GB"/>
        </w:rPr>
        <w:t>18</w:t>
      </w:r>
      <w:r w:rsidR="001C0AB9">
        <w:rPr>
          <w:sz w:val="22"/>
          <w:szCs w:val="22"/>
          <w:lang w:val="en-GB"/>
        </w:rPr>
        <w:t>O</w:t>
      </w:r>
      <w:r w:rsidR="001C0AB9">
        <w:rPr>
          <w:sz w:val="22"/>
          <w:szCs w:val="22"/>
          <w:vertAlign w:val="subscript"/>
          <w:lang w:val="en-GB"/>
        </w:rPr>
        <w:t>c</w:t>
      </w:r>
      <w:r w:rsidR="001C0AB9">
        <w:rPr>
          <w:sz w:val="22"/>
          <w:szCs w:val="22"/>
          <w:lang w:val="en-GB"/>
        </w:rPr>
        <w:t xml:space="preserve"> values to SSS values by default, but it is </w:t>
      </w:r>
      <w:r w:rsidR="00085AC6">
        <w:rPr>
          <w:sz w:val="22"/>
          <w:szCs w:val="22"/>
          <w:lang w:val="en-GB"/>
        </w:rPr>
        <w:t xml:space="preserve">well known that this relationship varies across ocean basins </w:t>
      </w:r>
      <w:r w:rsidR="00085AC6">
        <w:rPr>
          <w:sz w:val="22"/>
          <w:szCs w:val="22"/>
          <w:lang w:val="en-GB"/>
        </w:rPr>
        <w:fldChar w:fldCharType="begin"/>
      </w:r>
      <w:r w:rsidR="00085AC6">
        <w:rPr>
          <w:sz w:val="22"/>
          <w:szCs w:val="22"/>
          <w:lang w:val="en-GB"/>
        </w:rPr>
        <w:instrText xml:space="preserve"> ADDIN ZOTERO_ITEM CSL_CITATION {"citationID":"nE4voTji","properties":{"formattedCitation":"(LeGrande and Schmidt, 2006)","plainCitation":"(LeGrande and Schmidt, 2006)","noteIndex":0},"citationItems":[{"id":1034,"uris":["http://zotero.org/users/2470179/items/T9PQZVV2"],"itemData":{"id":1034,"type":"article-journal","container-title":"Geophysical research letters","issue":"12","source":"Google Scholar","title":"Global gridded data set of the oxygen isotopic composition in seawater","volume":"33","author":[{"family":"LeGrande","given":"Allegra N."},{"family":"Schmidt","given":"Gavin A."}],"issued":{"date-parts":[["2006"]]}}}],"schema":"https://github.com/citation-style-language/schema/raw/master/csl-citation.json"} </w:instrText>
      </w:r>
      <w:r w:rsidR="00085AC6">
        <w:rPr>
          <w:sz w:val="22"/>
          <w:szCs w:val="22"/>
          <w:lang w:val="en-GB"/>
        </w:rPr>
        <w:fldChar w:fldCharType="separate"/>
      </w:r>
      <w:r w:rsidR="00085AC6" w:rsidRPr="00085AC6">
        <w:rPr>
          <w:rFonts w:ascii="Aptos" w:hAnsi="Aptos"/>
          <w:sz w:val="22"/>
        </w:rPr>
        <w:t>(LeGrande and Schmidt, 2006)</w:t>
      </w:r>
      <w:r w:rsidR="00085AC6">
        <w:rPr>
          <w:sz w:val="22"/>
          <w:szCs w:val="22"/>
          <w:lang w:val="en-GB"/>
        </w:rPr>
        <w:fldChar w:fldCharType="end"/>
      </w:r>
      <w:r w:rsidR="00085AC6">
        <w:rPr>
          <w:sz w:val="22"/>
          <w:szCs w:val="22"/>
          <w:lang w:val="en-GB"/>
        </w:rPr>
        <w:t xml:space="preserve">. We therefore carried out sensitivity experiments for our data assimilation routine by assimilating </w:t>
      </w:r>
      <w:r w:rsidR="000E7353">
        <w:rPr>
          <w:sz w:val="22"/>
          <w:szCs w:val="22"/>
          <w:lang w:val="en-GB"/>
        </w:rPr>
        <w:t>proxy data with model priors for the Pliocene case study using three different δ</w:t>
      </w:r>
      <w:r w:rsidR="000E7353">
        <w:rPr>
          <w:sz w:val="22"/>
          <w:szCs w:val="22"/>
          <w:vertAlign w:val="superscript"/>
          <w:lang w:val="en-GB"/>
        </w:rPr>
        <w:t>18</w:t>
      </w:r>
      <w:r w:rsidR="000E7353">
        <w:rPr>
          <w:sz w:val="22"/>
          <w:szCs w:val="22"/>
          <w:lang w:val="en-GB"/>
        </w:rPr>
        <w:t>O</w:t>
      </w:r>
      <w:r w:rsidR="000E7353">
        <w:rPr>
          <w:sz w:val="22"/>
          <w:szCs w:val="22"/>
          <w:vertAlign w:val="subscript"/>
          <w:lang w:val="en-GB"/>
        </w:rPr>
        <w:t>w</w:t>
      </w:r>
      <w:r w:rsidR="000E7353">
        <w:rPr>
          <w:sz w:val="22"/>
          <w:szCs w:val="22"/>
          <w:lang w:val="en-GB"/>
        </w:rPr>
        <w:t>-δ</w:t>
      </w:r>
      <w:r w:rsidR="000E7353">
        <w:rPr>
          <w:sz w:val="22"/>
          <w:szCs w:val="22"/>
          <w:vertAlign w:val="superscript"/>
          <w:lang w:val="en-GB"/>
        </w:rPr>
        <w:t>18</w:t>
      </w:r>
      <w:r w:rsidR="000E7353">
        <w:rPr>
          <w:sz w:val="22"/>
          <w:szCs w:val="22"/>
          <w:lang w:val="en-GB"/>
        </w:rPr>
        <w:t>O</w:t>
      </w:r>
      <w:r w:rsidR="000E7353">
        <w:rPr>
          <w:sz w:val="22"/>
          <w:szCs w:val="22"/>
          <w:vertAlign w:val="subscript"/>
          <w:lang w:val="en-GB"/>
        </w:rPr>
        <w:t>c</w:t>
      </w:r>
      <w:r w:rsidR="000E7353">
        <w:rPr>
          <w:sz w:val="22"/>
          <w:szCs w:val="22"/>
          <w:lang w:val="en-GB"/>
        </w:rPr>
        <w:t>-temperature</w:t>
      </w:r>
      <w:r w:rsidR="000E7353" w:rsidRPr="00B4717D">
        <w:rPr>
          <w:sz w:val="22"/>
          <w:szCs w:val="22"/>
          <w:lang w:val="en-GB"/>
        </w:rPr>
        <w:t xml:space="preserve"> </w:t>
      </w:r>
      <w:r w:rsidR="000E7353">
        <w:rPr>
          <w:sz w:val="22"/>
          <w:szCs w:val="22"/>
          <w:lang w:val="en-GB"/>
        </w:rPr>
        <w:t xml:space="preserve">relationships </w:t>
      </w:r>
      <w:r w:rsidR="000E7353">
        <w:rPr>
          <w:sz w:val="22"/>
          <w:szCs w:val="22"/>
          <w:lang w:val="en-GB"/>
        </w:rPr>
        <w:fldChar w:fldCharType="begin"/>
      </w:r>
      <w:r w:rsidR="000E7353">
        <w:rPr>
          <w:sz w:val="22"/>
          <w:szCs w:val="22"/>
          <w:lang w:val="en-GB"/>
        </w:rPr>
        <w:instrText xml:space="preserve"> ADDIN ZOTERO_ITEM CSL_CITATION {"citationID":"0Jonnx8U","properties":{"formattedCitation":"(Grossman and Ku, 1986; Kim et al., 2007; L\\uc0\\u233{}cuyer et al., 2012)","plainCitation":"(Grossman and Ku, 1986; Kim et al., 2007; Lécuyer et al., 2012)","noteIndex":0},"citationItems":[{"id":267,"uris":["http://zotero.org/users/2470179/items/H8UCKH5N"],"itemData":{"id":267,"type":"article-journal","container-title":"Chemical Geology: Isotope Geoscience section","page":"59–74","source":"Google Scholar","title":"Oxygen and carbon isotope fractionation in biogenic aragonite: temperature effects","title-short":"Oxygen and carbon isotope fractionation in biogenic aragonite","volume":"59","author":[{"family":"Grossman","given":"Ethan L."},{"family":"Ku","given":"Teh-Lung"}],"issued":{"date-parts":[["1986"]]}}},{"id":1285,"uris":["http://zotero.org/users/2470179/items/PNJWJ3VT"],"itemData":{"id":1285,"type":"article-journal","abstract":"Aragonite was precipitated in the laboratory at 0, 5, 10, 25, and 40°C to determine the temperature dependence of the equilibrium oxygen isotope fractionation between aragonite and water. Forced CO2 degassing, passive CO2 degassing, and constant addition methods were employed to precipitate aragonite from supersaturated solutions, but the resulting aragonite–water oxygen isotope fractionation was independent of the precipitation method. In addition, under the experimental conditions of this study, the effect of precipitation rate on the oxygen isotope fractionation between aragonite and water was almost within the analytical error of ±</w:instrText>
      </w:r>
      <w:r w:rsidR="000E7353">
        <w:rPr>
          <w:rFonts w:ascii="Cambria Math" w:hAnsi="Cambria Math" w:cs="Cambria Math"/>
          <w:sz w:val="22"/>
          <w:szCs w:val="22"/>
          <w:lang w:val="en-GB"/>
        </w:rPr>
        <w:instrText>∼</w:instrText>
      </w:r>
      <w:r w:rsidR="000E7353">
        <w:rPr>
          <w:sz w:val="22"/>
          <w:szCs w:val="22"/>
          <w:lang w:val="en-GB"/>
        </w:rPr>
        <w:instrText>0.13</w:instrText>
      </w:r>
      <w:r w:rsidR="000E7353">
        <w:rPr>
          <w:rFonts w:ascii="Aptos" w:hAnsi="Aptos" w:cs="Aptos"/>
          <w:sz w:val="22"/>
          <w:szCs w:val="22"/>
          <w:lang w:val="en-GB"/>
        </w:rPr>
        <w:instrText>‰</w:instrText>
      </w:r>
      <w:r w:rsidR="000E7353">
        <w:rPr>
          <w:sz w:val="22"/>
          <w:szCs w:val="22"/>
          <w:lang w:val="en-GB"/>
        </w:rPr>
        <w:instrText xml:space="preserve"> and thus insignificant. Because the presence of Mg2+ ions is required to nucleate and precipitate aragonite from Na</w:instrText>
      </w:r>
      <w:r w:rsidR="000E7353">
        <w:rPr>
          <w:rFonts w:ascii="Aptos" w:hAnsi="Aptos" w:cs="Aptos"/>
          <w:sz w:val="22"/>
          <w:szCs w:val="22"/>
          <w:lang w:val="en-GB"/>
        </w:rPr>
        <w:instrText>–</w:instrText>
      </w:r>
      <w:r w:rsidR="000E7353">
        <w:rPr>
          <w:sz w:val="22"/>
          <w:szCs w:val="22"/>
          <w:lang w:val="en-GB"/>
        </w:rPr>
        <w:instrText>Ca</w:instrText>
      </w:r>
      <w:r w:rsidR="000E7353">
        <w:rPr>
          <w:rFonts w:ascii="Aptos" w:hAnsi="Aptos" w:cs="Aptos"/>
          <w:sz w:val="22"/>
          <w:szCs w:val="22"/>
          <w:lang w:val="en-GB"/>
        </w:rPr>
        <w:instrText>–</w:instrText>
      </w:r>
      <w:r w:rsidR="000E7353">
        <w:rPr>
          <w:sz w:val="22"/>
          <w:szCs w:val="22"/>
          <w:lang w:val="en-GB"/>
        </w:rPr>
        <w:instrText>Cl</w:instrText>
      </w:r>
      <w:r w:rsidR="000E7353">
        <w:rPr>
          <w:rFonts w:ascii="Aptos" w:hAnsi="Aptos" w:cs="Aptos"/>
          <w:sz w:val="22"/>
          <w:szCs w:val="22"/>
          <w:lang w:val="en-GB"/>
        </w:rPr>
        <w:instrText>–</w:instrText>
      </w:r>
      <w:r w:rsidR="000E7353">
        <w:rPr>
          <w:sz w:val="22"/>
          <w:szCs w:val="22"/>
          <w:lang w:val="en-GB"/>
        </w:rPr>
        <w:instrText xml:space="preserve">HCO3 solutions under these experimental conditions, the influence of the total Mg2+ concentration (up to </w:instrText>
      </w:r>
      <w:r w:rsidR="000E7353">
        <w:rPr>
          <w:rFonts w:ascii="Cambria Math" w:hAnsi="Cambria Math" w:cs="Cambria Math"/>
          <w:sz w:val="22"/>
          <w:szCs w:val="22"/>
          <w:lang w:val="en-GB"/>
        </w:rPr>
        <w:instrText>∼</w:instrText>
      </w:r>
      <w:r w:rsidR="000E7353">
        <w:rPr>
          <w:sz w:val="22"/>
          <w:szCs w:val="22"/>
          <w:lang w:val="en-GB"/>
        </w:rPr>
        <w:instrText>0.9 molal) on the aragonite</w:instrText>
      </w:r>
      <w:r w:rsidR="000E7353">
        <w:rPr>
          <w:rFonts w:ascii="Aptos" w:hAnsi="Aptos" w:cs="Aptos"/>
          <w:sz w:val="22"/>
          <w:szCs w:val="22"/>
          <w:lang w:val="en-GB"/>
        </w:rPr>
        <w:instrText>–</w:instrText>
      </w:r>
      <w:r w:rsidR="000E7353">
        <w:rPr>
          <w:sz w:val="22"/>
          <w:szCs w:val="22"/>
          <w:lang w:val="en-GB"/>
        </w:rPr>
        <w:instrText>water oxygen isotope fractionation was examined at 25</w:instrText>
      </w:r>
      <w:r w:rsidR="000E7353">
        <w:rPr>
          <w:rFonts w:ascii="Aptos" w:hAnsi="Aptos" w:cs="Aptos"/>
          <w:sz w:val="22"/>
          <w:szCs w:val="22"/>
          <w:lang w:val="en-GB"/>
        </w:rPr>
        <w:instrText>°</w:instrText>
      </w:r>
      <w:r w:rsidR="000E7353">
        <w:rPr>
          <w:sz w:val="22"/>
          <w:szCs w:val="22"/>
          <w:lang w:val="en-GB"/>
        </w:rPr>
        <w:instrText xml:space="preserve">C. No significant Mg2+ ion effect, or oxygen isotope salt effect, was detected up to 100mmolal total Mg2+ but a noticeable isotope salt effect was observed at </w:instrText>
      </w:r>
      <w:r w:rsidR="000E7353">
        <w:rPr>
          <w:rFonts w:ascii="Cambria Math" w:hAnsi="Cambria Math" w:cs="Cambria Math"/>
          <w:sz w:val="22"/>
          <w:szCs w:val="22"/>
          <w:lang w:val="en-GB"/>
        </w:rPr>
        <w:instrText>∼</w:instrText>
      </w:r>
      <w:r w:rsidR="000E7353">
        <w:rPr>
          <w:sz w:val="22"/>
          <w:szCs w:val="22"/>
          <w:lang w:val="en-GB"/>
        </w:rPr>
        <w:instrText>0.9 molal total Mg2+. On the basis of results of the laboratory synthesis experiments, a new expression for the aragonite</w:instrText>
      </w:r>
      <w:r w:rsidR="000E7353">
        <w:rPr>
          <w:rFonts w:ascii="Aptos" w:hAnsi="Aptos" w:cs="Aptos"/>
          <w:sz w:val="22"/>
          <w:szCs w:val="22"/>
          <w:lang w:val="en-GB"/>
        </w:rPr>
        <w:instrText>–</w:instrText>
      </w:r>
      <w:r w:rsidR="000E7353">
        <w:rPr>
          <w:sz w:val="22"/>
          <w:szCs w:val="22"/>
          <w:lang w:val="en-GB"/>
        </w:rPr>
        <w:instrText>water fractionation is proposed over the temperature range of 0</w:instrText>
      </w:r>
      <w:r w:rsidR="000E7353">
        <w:rPr>
          <w:rFonts w:ascii="Aptos" w:hAnsi="Aptos" w:cs="Aptos"/>
          <w:sz w:val="22"/>
          <w:szCs w:val="22"/>
          <w:lang w:val="en-GB"/>
        </w:rPr>
        <w:instrText>–</w:instrText>
      </w:r>
      <w:r w:rsidR="000E7353">
        <w:rPr>
          <w:sz w:val="22"/>
          <w:szCs w:val="22"/>
          <w:lang w:val="en-GB"/>
        </w:rPr>
        <w:instrText>40</w:instrText>
      </w:r>
      <w:r w:rsidR="000E7353">
        <w:rPr>
          <w:rFonts w:ascii="Aptos" w:hAnsi="Aptos" w:cs="Aptos"/>
          <w:sz w:val="22"/>
          <w:szCs w:val="22"/>
          <w:lang w:val="en-GB"/>
        </w:rPr>
        <w:instrText>°</w:instrText>
      </w:r>
      <w:r w:rsidR="000E7353">
        <w:rPr>
          <w:sz w:val="22"/>
          <w:szCs w:val="22"/>
          <w:lang w:val="en-GB"/>
        </w:rPr>
        <w:instrText>C:1000ln</w:instrText>
      </w:r>
      <w:r w:rsidR="000E7353">
        <w:rPr>
          <w:rFonts w:ascii="Aptos" w:hAnsi="Aptos" w:cs="Aptos"/>
          <w:sz w:val="22"/>
          <w:szCs w:val="22"/>
          <w:lang w:val="en-GB"/>
        </w:rPr>
        <w:instrText>α</w:instrText>
      </w:r>
      <w:r w:rsidR="000E7353">
        <w:rPr>
          <w:sz w:val="22"/>
          <w:szCs w:val="22"/>
          <w:lang w:val="en-GB"/>
        </w:rPr>
        <w:instrText>aragonite-water=17.88</w:instrText>
      </w:r>
      <w:r w:rsidR="000E7353">
        <w:rPr>
          <w:rFonts w:ascii="Aptos" w:hAnsi="Aptos" w:cs="Aptos"/>
          <w:sz w:val="22"/>
          <w:szCs w:val="22"/>
          <w:lang w:val="en-GB"/>
        </w:rPr>
        <w:instrText>±</w:instrText>
      </w:r>
      <w:r w:rsidR="000E7353">
        <w:rPr>
          <w:sz w:val="22"/>
          <w:szCs w:val="22"/>
          <w:lang w:val="en-GB"/>
        </w:rPr>
        <w:instrText>0.13(103/T)-31.14</w:instrText>
      </w:r>
      <w:r w:rsidR="000E7353">
        <w:rPr>
          <w:rFonts w:ascii="Aptos" w:hAnsi="Aptos" w:cs="Aptos"/>
          <w:sz w:val="22"/>
          <w:szCs w:val="22"/>
          <w:lang w:val="en-GB"/>
        </w:rPr>
        <w:instrText>±</w:instrText>
      </w:r>
      <w:r w:rsidR="000E7353">
        <w:rPr>
          <w:sz w:val="22"/>
          <w:szCs w:val="22"/>
          <w:lang w:val="en-GB"/>
        </w:rPr>
        <w:instrText xml:space="preserve">0.46where </w:instrText>
      </w:r>
      <w:r w:rsidR="000E7353">
        <w:rPr>
          <w:rFonts w:ascii="Aptos" w:hAnsi="Aptos" w:cs="Aptos"/>
          <w:sz w:val="22"/>
          <w:szCs w:val="22"/>
          <w:lang w:val="en-GB"/>
        </w:rPr>
        <w:instrText>α</w:instrText>
      </w:r>
      <w:r w:rsidR="000E7353">
        <w:rPr>
          <w:sz w:val="22"/>
          <w:szCs w:val="22"/>
          <w:lang w:val="en-GB"/>
        </w:rPr>
        <w:instrText>aragonite</w:instrText>
      </w:r>
      <w:r w:rsidR="000E7353">
        <w:rPr>
          <w:rFonts w:ascii="Aptos" w:hAnsi="Aptos" w:cs="Aptos"/>
          <w:sz w:val="22"/>
          <w:szCs w:val="22"/>
          <w:lang w:val="en-GB"/>
        </w:rPr>
        <w:instrText>–</w:instrText>
      </w:r>
      <w:r w:rsidR="000E7353">
        <w:rPr>
          <w:sz w:val="22"/>
          <w:szCs w:val="22"/>
          <w:lang w:val="en-GB"/>
        </w:rPr>
        <w:instrText>water is the fractionation factor between aragonite and water, and T is in kelvins. Given the analytical and statistical errors associated with this and previous determinations, the new relation reveals that many biogenic aragonites are precipitated at and or very near oxygen isotope equilibrium with their ambient water. When the new aragonite–water expression is combined with the calcite–water calibration published by Kim and O ’Neil [Kim S. -T., and O’Neil J. R. (1997) Equilibrium and nonequilibrium oxygen isotope effects in synthetic carbonates. Geochim. Cosmochim. Acta 61, 3461–3475], a positive aragonite–calcite fractionation (</w:instrText>
      </w:r>
      <w:r w:rsidR="000E7353">
        <w:rPr>
          <w:rFonts w:ascii="Cambria Math" w:hAnsi="Cambria Math" w:cs="Cambria Math"/>
          <w:sz w:val="22"/>
          <w:szCs w:val="22"/>
          <w:lang w:val="en-GB"/>
        </w:rPr>
        <w:instrText>∼</w:instrText>
      </w:r>
      <w:r w:rsidR="000E7353">
        <w:rPr>
          <w:sz w:val="22"/>
          <w:szCs w:val="22"/>
          <w:lang w:val="en-GB"/>
        </w:rPr>
        <w:instrText>0.8</w:instrText>
      </w:r>
      <w:r w:rsidR="000E7353">
        <w:rPr>
          <w:rFonts w:ascii="Aptos" w:hAnsi="Aptos" w:cs="Aptos"/>
          <w:sz w:val="22"/>
          <w:szCs w:val="22"/>
          <w:lang w:val="en-GB"/>
        </w:rPr>
        <w:instrText>‰</w:instrText>
      </w:r>
      <w:r w:rsidR="000E7353">
        <w:rPr>
          <w:sz w:val="22"/>
          <w:szCs w:val="22"/>
          <w:lang w:val="en-GB"/>
        </w:rPr>
        <w:instrText xml:space="preserve"> at 25</w:instrText>
      </w:r>
      <w:r w:rsidR="000E7353">
        <w:rPr>
          <w:rFonts w:ascii="Aptos" w:hAnsi="Aptos" w:cs="Aptos"/>
          <w:sz w:val="22"/>
          <w:szCs w:val="22"/>
          <w:lang w:val="en-GB"/>
        </w:rPr>
        <w:instrText>°</w:instrText>
      </w:r>
      <w:r w:rsidR="000E7353">
        <w:rPr>
          <w:sz w:val="22"/>
          <w:szCs w:val="22"/>
          <w:lang w:val="en-GB"/>
        </w:rPr>
        <w:instrText>C) is obtained over the temperature range investigated.","container-title":"Geochimica et Cosmochimica Acta","DOI":"10.1016/j.gca.2007.04.019","ISSN":"0016-7037","issue":"19","journalAbbreviation":"Geochimica et Cosmochimica Acta","page":"4704-4715","source":"ScienceDirect","title":"Oxygen isotope fractionation between synthetic aragonite and water: Influence of temperature and Mg2+ concentration","title-short":"Oxygen isotope fractionation between synthetic aragonite and water","volume":"71","author":[{"family":"Kim","given":"Sang-Tae"},{"family":"O’Neil","given":"James R."},{"family":"Hillaire-Marcel","given":"Claude"},{"family":"Mucci","given":"Alfonso"}],"issued":{"date-parts":[["2007",10,1]]}}},{"id":8075,"uris":["http://zotero.org/users/2470179/items/APRWP9GK"],"itemData":{"id":8075,"type":"article-journal","abstract":"Carbon and oxygen isotope fractionations between calcite and aragonite were investigated by analyzing marine gastropods and bivalves that lived under temperate to tropical climates. Species that secrete both aragonite and calcite layers were studied to ensure similitude of changes in the isotopic composition of water, in diet, and in metabolic activity during shell growth. Aragonite and calcite layers from the adult parts of the shell were identified and mapped by using Raman spectroscopy. Powder samples were obtained by micro</w:instrText>
      </w:r>
      <w:r w:rsidR="000E7353">
        <w:rPr>
          <w:rFonts w:ascii="Cambria Math" w:hAnsi="Cambria Math" w:cs="Cambria Math"/>
          <w:sz w:val="22"/>
          <w:szCs w:val="22"/>
          <w:lang w:val="en-GB"/>
        </w:rPr>
        <w:instrText>‐</w:instrText>
      </w:r>
      <w:r w:rsidR="000E7353">
        <w:rPr>
          <w:sz w:val="22"/>
          <w:szCs w:val="22"/>
          <w:lang w:val="en-GB"/>
        </w:rPr>
        <w:instrText>drilling under a stereo microscope. Thirty</w:instrText>
      </w:r>
      <w:r w:rsidR="000E7353">
        <w:rPr>
          <w:rFonts w:ascii="Cambria Math" w:hAnsi="Cambria Math" w:cs="Cambria Math"/>
          <w:sz w:val="22"/>
          <w:szCs w:val="22"/>
          <w:lang w:val="en-GB"/>
        </w:rPr>
        <w:instrText>‐</w:instrText>
      </w:r>
      <w:r w:rsidR="000E7353">
        <w:rPr>
          <w:sz w:val="22"/>
          <w:szCs w:val="22"/>
          <w:lang w:val="en-GB"/>
        </w:rPr>
        <w:instrText>six pairs of aragonite</w:instrText>
      </w:r>
      <w:r w:rsidR="000E7353">
        <w:rPr>
          <w:rFonts w:ascii="Aptos" w:hAnsi="Aptos" w:cs="Aptos"/>
          <w:sz w:val="22"/>
          <w:szCs w:val="22"/>
          <w:lang w:val="en-GB"/>
        </w:rPr>
        <w:instrText>–</w:instrText>
      </w:r>
      <w:r w:rsidR="000E7353">
        <w:rPr>
          <w:sz w:val="22"/>
          <w:szCs w:val="22"/>
          <w:lang w:val="en-GB"/>
        </w:rPr>
        <w:instrText>calcite samples were obtained from ten gastropod and five bivalve species. Biogenic aragonite is 13C</w:instrText>
      </w:r>
      <w:r w:rsidR="000E7353">
        <w:rPr>
          <w:rFonts w:ascii="Cambria Math" w:hAnsi="Cambria Math" w:cs="Cambria Math"/>
          <w:sz w:val="22"/>
          <w:szCs w:val="22"/>
          <w:lang w:val="en-GB"/>
        </w:rPr>
        <w:instrText>‐</w:instrText>
      </w:r>
      <w:r w:rsidR="000E7353">
        <w:rPr>
          <w:sz w:val="22"/>
          <w:szCs w:val="22"/>
          <w:lang w:val="en-GB"/>
        </w:rPr>
        <w:instrText>enriched by 0.95</w:instrText>
      </w:r>
      <w:r w:rsidR="000E7353">
        <w:rPr>
          <w:rFonts w:ascii="Aptos" w:hAnsi="Aptos" w:cs="Aptos"/>
          <w:sz w:val="22"/>
          <w:szCs w:val="22"/>
          <w:lang w:val="en-GB"/>
        </w:rPr>
        <w:instrText>±</w:instrText>
      </w:r>
      <w:r w:rsidR="000E7353">
        <w:rPr>
          <w:sz w:val="22"/>
          <w:szCs w:val="22"/>
          <w:lang w:val="en-GB"/>
        </w:rPr>
        <w:instrText>0.81</w:instrText>
      </w:r>
      <w:r w:rsidR="000E7353">
        <w:rPr>
          <w:rFonts w:ascii="Aptos" w:hAnsi="Aptos" w:cs="Aptos"/>
          <w:sz w:val="22"/>
          <w:szCs w:val="22"/>
          <w:lang w:val="en-GB"/>
        </w:rPr>
        <w:instrText>‰</w:instrText>
      </w:r>
      <w:r w:rsidR="000E7353">
        <w:rPr>
          <w:sz w:val="22"/>
          <w:szCs w:val="22"/>
          <w:lang w:val="en-GB"/>
        </w:rPr>
        <w:instrText xml:space="preserve"> and 18O</w:instrText>
      </w:r>
      <w:r w:rsidR="000E7353">
        <w:rPr>
          <w:rFonts w:ascii="Cambria Math" w:hAnsi="Cambria Math" w:cs="Cambria Math"/>
          <w:sz w:val="22"/>
          <w:szCs w:val="22"/>
          <w:lang w:val="en-GB"/>
        </w:rPr>
        <w:instrText>‐</w:instrText>
      </w:r>
      <w:r w:rsidR="000E7353">
        <w:rPr>
          <w:sz w:val="22"/>
          <w:szCs w:val="22"/>
          <w:lang w:val="en-GB"/>
        </w:rPr>
        <w:instrText>enriched by 0.37</w:instrText>
      </w:r>
      <w:r w:rsidR="000E7353">
        <w:rPr>
          <w:rFonts w:ascii="Aptos" w:hAnsi="Aptos" w:cs="Aptos"/>
          <w:sz w:val="22"/>
          <w:szCs w:val="22"/>
          <w:lang w:val="en-GB"/>
        </w:rPr>
        <w:instrText>±</w:instrText>
      </w:r>
      <w:r w:rsidR="000E7353">
        <w:rPr>
          <w:sz w:val="22"/>
          <w:szCs w:val="22"/>
          <w:lang w:val="en-GB"/>
        </w:rPr>
        <w:instrText>0.65</w:instrText>
      </w:r>
      <w:r w:rsidR="000E7353">
        <w:rPr>
          <w:rFonts w:ascii="Aptos" w:hAnsi="Aptos" w:cs="Aptos"/>
          <w:sz w:val="22"/>
          <w:szCs w:val="22"/>
          <w:lang w:val="en-GB"/>
        </w:rPr>
        <w:instrText>‰</w:instrText>
      </w:r>
      <w:r w:rsidR="000E7353">
        <w:rPr>
          <w:sz w:val="22"/>
          <w:szCs w:val="22"/>
          <w:lang w:val="en-GB"/>
        </w:rPr>
        <w:instrText xml:space="preserve"> relative to co-existing biogenic calcite. Direction and magnitude of the carbon isotope fractionation are compatible with those already determined by using low</w:instrText>
      </w:r>
      <w:r w:rsidR="000E7353">
        <w:rPr>
          <w:rFonts w:ascii="Cambria Math" w:hAnsi="Cambria Math" w:cs="Cambria Math"/>
          <w:sz w:val="22"/>
          <w:szCs w:val="22"/>
          <w:lang w:val="en-GB"/>
        </w:rPr>
        <w:instrText>‐</w:instrText>
      </w:r>
      <w:r w:rsidR="000E7353">
        <w:rPr>
          <w:sz w:val="22"/>
          <w:szCs w:val="22"/>
          <w:lang w:val="en-GB"/>
        </w:rPr>
        <w:instrText>temperature experimental approaches. The observed oxygen isotope difference between biogenic aragonite and calcite is assigned to the difference (</w:instrText>
      </w:r>
      <w:r w:rsidR="000E7353">
        <w:rPr>
          <w:rFonts w:ascii="Aptos" w:hAnsi="Aptos" w:cs="Aptos"/>
          <w:sz w:val="22"/>
          <w:szCs w:val="22"/>
          <w:lang w:val="en-GB"/>
        </w:rPr>
        <w:instrText>≈</w:instrText>
      </w:r>
      <w:r w:rsidR="000E7353">
        <w:rPr>
          <w:sz w:val="22"/>
          <w:szCs w:val="22"/>
          <w:lang w:val="en-GB"/>
        </w:rPr>
        <w:instrText>0.4</w:instrText>
      </w:r>
      <w:r w:rsidR="000E7353">
        <w:rPr>
          <w:rFonts w:ascii="Aptos" w:hAnsi="Aptos" w:cs="Aptos"/>
          <w:sz w:val="22"/>
          <w:szCs w:val="22"/>
          <w:lang w:val="en-GB"/>
        </w:rPr>
        <w:instrText>‰</w:instrText>
      </w:r>
      <w:r w:rsidR="000E7353">
        <w:rPr>
          <w:sz w:val="22"/>
          <w:szCs w:val="22"/>
          <w:lang w:val="en-GB"/>
        </w:rPr>
        <w:instrText>) in the acid fractionation factor values that must be taken into account during digestion of carbonate polymorphs at 90</w:instrText>
      </w:r>
      <w:r w:rsidR="000E7353">
        <w:rPr>
          <w:rFonts w:ascii="Aptos" w:hAnsi="Aptos" w:cs="Aptos"/>
          <w:sz w:val="22"/>
          <w:szCs w:val="22"/>
          <w:lang w:val="en-GB"/>
        </w:rPr>
        <w:instrText>°</w:instrText>
      </w:r>
      <w:r w:rsidR="000E7353">
        <w:rPr>
          <w:sz w:val="22"/>
          <w:szCs w:val="22"/>
          <w:lang w:val="en-GB"/>
        </w:rPr>
        <w:instrText xml:space="preserve">C. It is concluded that biogenic calcium carbonate polymorphs precipitate close to, but not in isotopic equilibrium with seawater. Therefore, empirical oxygen isotope fractionation equations that were established on the basis of modern mollusc shells and ambient waters should be preferred for the calculation of aquatic paleotemperatures.","container-title":"Chemical Geology","DOI":"10.1016/j.chemgeo.2012.08.034","ISSN":"0009-2541","journalAbbreviation":"Chemical Geology","page":"92-101","source":"ScienceDirect","title":"Carbon and oxygen isotope fractionations between aragonite and calcite of shells from modern molluscs","volume":"332-333","author":[{"family":"Lécuyer","given":"Christophe"},{"family":"Hutzler","given":"Aurore"},{"family":"Amiot","given":"Romain"},{"family":"Daux","given":"Valérie"},{"family":"Grosheny","given":"Danièle"},{"family":"Otero","given":"Olga"},{"family":"Martineau","given":"François"},{"family":"Fourel","given":"François"},{"family":"Balter","given":"Vincent"},{"family":"Reynard","given":"Bruno"}],"issued":{"date-parts":[["2012",11,25]]}}}],"schema":"https://github.com/citation-style-language/schema/raw/master/csl-citation.json"} </w:instrText>
      </w:r>
      <w:r w:rsidR="000E7353">
        <w:rPr>
          <w:sz w:val="22"/>
          <w:szCs w:val="22"/>
          <w:lang w:val="en-GB"/>
        </w:rPr>
        <w:fldChar w:fldCharType="separate"/>
      </w:r>
      <w:r w:rsidR="000E7353" w:rsidRPr="000E7353">
        <w:rPr>
          <w:rFonts w:ascii="Aptos" w:hAnsi="Aptos" w:cs="Times New Roman"/>
          <w:kern w:val="0"/>
          <w:sz w:val="22"/>
        </w:rPr>
        <w:t>(Grossman and Ku, 1986; Kim et al., 2007; Lécuyer et al., 2012)</w:t>
      </w:r>
      <w:r w:rsidR="000E7353">
        <w:rPr>
          <w:sz w:val="22"/>
          <w:szCs w:val="22"/>
          <w:lang w:val="en-GB"/>
        </w:rPr>
        <w:fldChar w:fldCharType="end"/>
      </w:r>
      <w:r w:rsidR="000E7353">
        <w:rPr>
          <w:sz w:val="22"/>
          <w:szCs w:val="22"/>
          <w:lang w:val="en-GB"/>
        </w:rPr>
        <w:t xml:space="preserve"> and four different SSS-δ</w:t>
      </w:r>
      <w:r w:rsidR="000E7353">
        <w:rPr>
          <w:sz w:val="22"/>
          <w:szCs w:val="22"/>
          <w:vertAlign w:val="superscript"/>
          <w:lang w:val="en-GB"/>
        </w:rPr>
        <w:t>18</w:t>
      </w:r>
      <w:r w:rsidR="000E7353">
        <w:rPr>
          <w:sz w:val="22"/>
          <w:szCs w:val="22"/>
          <w:lang w:val="en-GB"/>
        </w:rPr>
        <w:t>O</w:t>
      </w:r>
      <w:r w:rsidR="000E7353">
        <w:rPr>
          <w:sz w:val="22"/>
          <w:szCs w:val="22"/>
          <w:vertAlign w:val="subscript"/>
          <w:lang w:val="en-GB"/>
        </w:rPr>
        <w:t>w</w:t>
      </w:r>
      <w:r w:rsidR="000E7353">
        <w:rPr>
          <w:sz w:val="22"/>
          <w:szCs w:val="22"/>
          <w:lang w:val="en-GB"/>
        </w:rPr>
        <w:t xml:space="preserve"> relationships (</w:t>
      </w:r>
      <w:r w:rsidR="000E7353">
        <w:rPr>
          <w:sz w:val="22"/>
          <w:szCs w:val="22"/>
          <w:lang w:val="en-GB"/>
        </w:rPr>
        <w:fldChar w:fldCharType="begin"/>
      </w:r>
      <w:r w:rsidR="000E7353">
        <w:rPr>
          <w:sz w:val="22"/>
          <w:szCs w:val="22"/>
          <w:lang w:val="en-GB"/>
        </w:rPr>
        <w:instrText xml:space="preserve"> ADDIN ZOTERO_ITEM CSL_CITATION {"citationID":"tNUdm9wP","properties":{"formattedCitation":"(Harwood et al., 2008)","plainCitation":"(Harwood et al., 2008)","noteIndex":0},"citationItems":[{"id":1628,"uris":["http://zotero.org/users/2470179/items/7N6RNMEZ"],"itemData":{"id":1628,"type":"article-journal","abstract":"Based on measurements of the 18O isotope composition of 247 samples collected over a 3-year period we have assessed the oxygen isotope composition of water masses in the North Sea. This is the ﬁrst d18O data set that covers the entire North Sea basin. The waters lie on a mixing line: d18O (&amp;VSMOW) ¼ À9.300 þ 0.274(S ) with North Atlantic sub-polar mode water (SPMW) and surface waters, and Baltic Sea water representing the saline and freshwater end members respectively. Patterns exhibited in surface and bottom water d18O distributions are representative of the general circulation of the North Sea. Oxygen-18 enriched waters from the North Atlantic enter the North Sea between Scotland and Norway and to a lesser extent through the English Channel. In contrast, oxygen-18 depleted waters mainly inﬂow from the Baltic Sea, the rivers Rhine and Elbe, and to a lesser degree, the Norwegian Fjords and other river sources. Locally the d18Oesalinity relationship will be controlled by the isotopic composition of the freshwater inputs. However, the range of local freshwater compositions around the North Sea basin is too narrow to characterise the relative contributions of individual sources to the overall seawater composition. This dataset provides important information for a number of related disciplines including biogeochemical research and oceanographic studies.","container-title":"Estuarine, Coastal and Shelf Science","DOI":"10.1016/j.ecss.2007.12.010","ISSN":"02727714","issue":"2","journalAbbreviation":"Estuarine, Coastal and Shelf Science","language":"en","page":"353-359","source":"DOI.org (Crossref)","title":"The oxygen isotope composition of water masses within the North Sea","volume":"78","author":[{"family":"Harwood","given":"Andrew J.P."},{"family":"Dennis","given":"Paul F."},{"family":"Marca","given":"Alina D."},{"family":"Pilling","given":"Graham M."},{"family":"Millner","given":"Richard S."}],"issued":{"date-parts":[["2008",6]]}}}],"schema":"https://github.com/citation-style-language/schema/raw/master/csl-citation.json"} </w:instrText>
      </w:r>
      <w:r w:rsidR="000E7353">
        <w:rPr>
          <w:sz w:val="22"/>
          <w:szCs w:val="22"/>
          <w:lang w:val="en-GB"/>
        </w:rPr>
        <w:fldChar w:fldCharType="separate"/>
      </w:r>
      <w:r w:rsidR="000E7353" w:rsidRPr="000E7353">
        <w:rPr>
          <w:rFonts w:ascii="Aptos" w:hAnsi="Aptos"/>
          <w:sz w:val="22"/>
        </w:rPr>
        <w:t>(Harwood et al., 2008)</w:t>
      </w:r>
      <w:r w:rsidR="000E7353">
        <w:rPr>
          <w:sz w:val="22"/>
          <w:szCs w:val="22"/>
          <w:lang w:val="en-GB"/>
        </w:rPr>
        <w:fldChar w:fldCharType="end"/>
      </w:r>
      <w:r w:rsidR="000E7353">
        <w:rPr>
          <w:sz w:val="22"/>
          <w:szCs w:val="22"/>
          <w:lang w:val="en-GB"/>
        </w:rPr>
        <w:t xml:space="preserve"> for the North Sea, </w:t>
      </w:r>
      <w:r w:rsidR="000E7353">
        <w:rPr>
          <w:sz w:val="22"/>
          <w:szCs w:val="22"/>
          <w:lang w:val="en-GB"/>
        </w:rPr>
        <w:fldChar w:fldCharType="begin"/>
      </w:r>
      <w:r w:rsidR="000E7353">
        <w:rPr>
          <w:sz w:val="22"/>
          <w:szCs w:val="22"/>
          <w:lang w:val="en-GB"/>
        </w:rPr>
        <w:instrText xml:space="preserve"> ADDIN ZOTERO_ITEM CSL_CITATION {"citationID":"Px5RWr6N","properties":{"formattedCitation":"(Graniero et al., 2017)","plainCitation":"(Graniero et al., 2017)","noteIndex":0},"citationItems":[{"id":8134,"uris":["http://zotero.org/users/2470179/items/HBBTXNPK"],"itemData":{"id":8134,"type":"article-journal","abstract":"We use time-series δ18O and δ13C data from seawater and live-collected Conus shells from Panama's Pacific coast to test the fidelity of the gastropod's δ13C values as a proxy for the δ13C of marine dissolved inorganic carbon (DIC), and the potential of δ18O-δ13C correlations in shell profiles for resolving relative magnitudes of seasonal upwelling and freshening. Water samples were collected from March 2011 to August 2012 from Naos Island Marine Laboratory, and Conus specimens were collected from nearby Veracruz Beach in July 2013. In general, patterns corresponded with seasonal changes in rainfall and upwelling on the Pacific coast of Panama. During the long rainy season, the upwelling signal is absent and seawater salinity, δ18O, and δ13CDIC all decline. During the dry season, the upwelling signal increases and runoff declines increasing salinity, δ18O, and δ13CDIC values. Shell δ13C values strongly correlate with measured δ13CDIC values, but are lower than expected equilibrium for aragonite by approximately +2‰ reflecting the incorporation of light metabolic C. The co-dependences of δ18O and δ13C provide reliable indicators of upwelling (negative correlation) and freshening (positive correlation) for nearshore environments, allowing for the study of historical climate change and upwelling based on beach-collected museum specimens.","container-title":"Palaeogeography, Palaeoclimatology, Palaeoecology","DOI":"10.1016/j.palaeo.2017.02.007","ISSN":"0031-0182","journalAbbreviation":"Palaeogeography, Palaeoclimatology, Palaeoecology","page":"119-127","source":"ScienceDirect","title":"&lt;i&gt;Conus&lt;/i&gt; Shell δ13C values as proxies for δ13CDIC in tropical waters","volume":"472","author":[{"family":"Graniero","given":"Lauren E."},{"family":"Grossman","given":"Ethan L."},{"family":"Robbins","given":"John"},{"family":"Morales","given":"Jorge"},{"family":"Thompson","given":"Ricardo"},{"family":"O'Dea","given":"Aaron"}],"issued":{"date-parts":[["2017",4,15]]}}}],"schema":"https://github.com/citation-style-language/schema/raw/master/csl-citation.json"} </w:instrText>
      </w:r>
      <w:r w:rsidR="000E7353">
        <w:rPr>
          <w:sz w:val="22"/>
          <w:szCs w:val="22"/>
          <w:lang w:val="en-GB"/>
        </w:rPr>
        <w:fldChar w:fldCharType="separate"/>
      </w:r>
      <w:r w:rsidR="000E7353" w:rsidRPr="000E7353">
        <w:rPr>
          <w:rFonts w:ascii="Aptos" w:hAnsi="Aptos"/>
          <w:sz w:val="22"/>
        </w:rPr>
        <w:t>(Graniero et al., 2017)</w:t>
      </w:r>
      <w:r w:rsidR="000E7353">
        <w:rPr>
          <w:sz w:val="22"/>
          <w:szCs w:val="22"/>
          <w:lang w:val="en-GB"/>
        </w:rPr>
        <w:fldChar w:fldCharType="end"/>
      </w:r>
      <w:r w:rsidR="000E7353">
        <w:rPr>
          <w:sz w:val="22"/>
          <w:szCs w:val="22"/>
          <w:lang w:val="en-GB"/>
        </w:rPr>
        <w:t xml:space="preserve"> for the </w:t>
      </w:r>
      <w:r w:rsidR="000E7353" w:rsidRPr="00256EAA">
        <w:rPr>
          <w:sz w:val="22"/>
          <w:szCs w:val="22"/>
          <w:lang w:val="en-GB"/>
        </w:rPr>
        <w:t>Gulf of Panama</w:t>
      </w:r>
      <w:r w:rsidR="000E7353">
        <w:rPr>
          <w:sz w:val="22"/>
          <w:szCs w:val="22"/>
          <w:lang w:val="en-GB"/>
        </w:rPr>
        <w:t xml:space="preserve"> and both the icehouse and greenhouse model by </w:t>
      </w:r>
      <w:r w:rsidR="000E7353">
        <w:rPr>
          <w:sz w:val="22"/>
          <w:szCs w:val="22"/>
          <w:lang w:val="en-GB"/>
        </w:rPr>
        <w:fldChar w:fldCharType="begin"/>
      </w:r>
      <w:r w:rsidR="000E7353">
        <w:rPr>
          <w:sz w:val="22"/>
          <w:szCs w:val="22"/>
          <w:lang w:val="en-GB"/>
        </w:rPr>
        <w:instrText xml:space="preserve"> ADDIN ZOTERO_ITEM CSL_CITATION {"citationID":"8eF5cDJH","properties":{"formattedCitation":"(Railsback et al., 1989)","plainCitation":"(Railsback et al., 1989)","noteIndex":0},"citationItems":[{"id":11710,"uris":["http://zotero.org/users/2470179/items/NBDGKEWA"],"itemData":{"id":11710,"type":"article-journal","abstract":"Temperature-salinity (T-S) profiles in ancient seawater can be estimated from oxygen isotopic compositions of well-preserved calcitic fossils sampled from known paleodepth gradients. The proposed model uses isotopic compositions of fossils to determine possible combinations of temperature and salinity during deposition (given estimates of average salinity, isotopic composition, and net global hydrologic fractionation for ancient oceans). Increasing density with depth constrains those combinations to narrow ranges. This graphic method superposes curves for density and isotopic composition in T-S space, to reveal possible ancient T-S profiles. Application of this method to oxygen isotope data from Ordovician brachiopods deposited on the eastern continental slope of North America demonstrates its usefulness and yields a stable seawater column in which brackish intermediate waters overlie warmer, more saline deep waters.","container-title":"Paleoceanography","DOI":"10.1029/PA004i005p00585","ISSN":"1944-9186","issue":"5","language":"en","license":"Copyright 1989 by the American Geophysical Union.","note":"_eprint: https://agupubs.onlinelibrary.wiley.com/doi/pdf/10.1029/PA004i005p00585","page":"585-591","source":"Wiley Online Library","title":"Paleoceanographic modeling of temperature-salinity profiles from stable isotopic data","volume":"4","author":[{"family":"Railsback","given":"L. Bruce"},{"family":"Anderson","given":"Thomas F."},{"family":"Ackerly","given":"Spafford C."},{"family":"Cisne","given":"John L."}],"issued":{"date-parts":[["1989"]]}}}],"schema":"https://github.com/citation-style-language/schema/raw/master/csl-citation.json"} </w:instrText>
      </w:r>
      <w:r w:rsidR="000E7353">
        <w:rPr>
          <w:sz w:val="22"/>
          <w:szCs w:val="22"/>
          <w:lang w:val="en-GB"/>
        </w:rPr>
        <w:fldChar w:fldCharType="separate"/>
      </w:r>
      <w:r w:rsidR="000E7353" w:rsidRPr="000E7353">
        <w:rPr>
          <w:rFonts w:ascii="Aptos" w:hAnsi="Aptos"/>
          <w:sz w:val="22"/>
        </w:rPr>
        <w:t>(Railsback et al., 1989)</w:t>
      </w:r>
      <w:r w:rsidR="000E7353">
        <w:rPr>
          <w:sz w:val="22"/>
          <w:szCs w:val="22"/>
          <w:lang w:val="en-GB"/>
        </w:rPr>
        <w:fldChar w:fldCharType="end"/>
      </w:r>
      <w:r w:rsidR="000E7353">
        <w:rPr>
          <w:sz w:val="22"/>
          <w:szCs w:val="22"/>
          <w:lang w:val="en-GB"/>
        </w:rPr>
        <w:t>).</w:t>
      </w:r>
    </w:p>
    <w:p w14:paraId="3D231A58" w14:textId="0F95553B" w:rsidR="00156B07" w:rsidRPr="00B4717D" w:rsidRDefault="00B4717D" w:rsidP="00B4717D">
      <w:pPr>
        <w:jc w:val="both"/>
        <w:rPr>
          <w:sz w:val="22"/>
          <w:szCs w:val="22"/>
          <w:lang w:val="en-GB"/>
        </w:rPr>
      </w:pPr>
      <w:r>
        <w:rPr>
          <w:sz w:val="22"/>
          <w:szCs w:val="22"/>
          <w:lang w:val="en-GB"/>
        </w:rPr>
        <w:t xml:space="preserve">2.3.5 </w:t>
      </w:r>
      <w:r w:rsidR="00F86172">
        <w:rPr>
          <w:sz w:val="22"/>
          <w:szCs w:val="22"/>
          <w:lang w:val="en-GB"/>
        </w:rPr>
        <w:t>Variation in model boundary conditions</w:t>
      </w:r>
    </w:p>
    <w:p w14:paraId="0845DEBF" w14:textId="285B31AA" w:rsidR="001B6F7E" w:rsidRPr="00B4717D" w:rsidRDefault="00363145" w:rsidP="008E3D79">
      <w:pPr>
        <w:jc w:val="both"/>
        <w:rPr>
          <w:sz w:val="22"/>
          <w:szCs w:val="22"/>
          <w:lang w:val="en-GB"/>
        </w:rPr>
      </w:pPr>
      <w:r>
        <w:rPr>
          <w:sz w:val="22"/>
          <w:szCs w:val="22"/>
          <w:lang w:val="en-GB"/>
        </w:rPr>
        <w:t xml:space="preserve">Finally, since the prior state of our data assimilations is based on model outcomes, we included a sensitivity test to assess the fact of model boundary conditions on the data assimilation outcome. Needless to say, GCMs have many boundary conditions, and exploring the effects of </w:t>
      </w:r>
      <w:r>
        <w:rPr>
          <w:sz w:val="22"/>
          <w:szCs w:val="22"/>
          <w:lang w:val="en-GB"/>
        </w:rPr>
        <w:lastRenderedPageBreak/>
        <w:t xml:space="preserve">all of them would vastly increase the scope of this study. We therefore only consider the impact of variations in radiative forcing in this study, but note that the impact of other model conditions can (and should) be explored in </w:t>
      </w:r>
      <w:proofErr w:type="spellStart"/>
      <w:r>
        <w:rPr>
          <w:sz w:val="22"/>
          <w:szCs w:val="22"/>
          <w:lang w:val="en-GB"/>
        </w:rPr>
        <w:t>paleoDA</w:t>
      </w:r>
      <w:proofErr w:type="spellEnd"/>
      <w:r>
        <w:rPr>
          <w:sz w:val="22"/>
          <w:szCs w:val="22"/>
          <w:lang w:val="en-GB"/>
        </w:rPr>
        <w:t xml:space="preserve"> studies to assess the sensitivity of posterior outcomes to model choices. </w:t>
      </w:r>
      <w:r w:rsidR="00C12DC4">
        <w:rPr>
          <w:sz w:val="22"/>
          <w:szCs w:val="22"/>
          <w:lang w:val="en-GB"/>
        </w:rPr>
        <w:t>We tested the sensitivity of our DA protocol on the Lutetian case study by assimilating the same proxy data with prior climate state (SST, SAT, SSS and precipitation) information from two different models run with varying radiative forcing (here expressed in terms of atmospheric pCO</w:t>
      </w:r>
      <w:r w:rsidR="00C12DC4">
        <w:rPr>
          <w:sz w:val="22"/>
          <w:szCs w:val="22"/>
          <w:vertAlign w:val="subscript"/>
          <w:lang w:val="en-GB"/>
        </w:rPr>
        <w:t>2</w:t>
      </w:r>
      <w:r w:rsidR="00C12DC4">
        <w:rPr>
          <w:sz w:val="22"/>
          <w:szCs w:val="22"/>
          <w:lang w:val="en-GB"/>
        </w:rPr>
        <w:t xml:space="preserve">): The </w:t>
      </w:r>
      <w:proofErr w:type="spellStart"/>
      <w:r w:rsidR="00C12DC4">
        <w:rPr>
          <w:sz w:val="22"/>
          <w:szCs w:val="22"/>
          <w:lang w:val="en-GB"/>
        </w:rPr>
        <w:t>HadCM</w:t>
      </w:r>
      <w:proofErr w:type="spellEnd"/>
      <w:r w:rsidR="00C12DC4">
        <w:rPr>
          <w:sz w:val="22"/>
          <w:szCs w:val="22"/>
          <w:lang w:val="en-GB"/>
        </w:rPr>
        <w:t xml:space="preserve"> model (also used for the Cretaceous case study) run</w:t>
      </w:r>
      <w:r w:rsidR="00BE3504">
        <w:rPr>
          <w:sz w:val="22"/>
          <w:szCs w:val="22"/>
          <w:lang w:val="en-GB"/>
        </w:rPr>
        <w:t xml:space="preserve"> with atmospheric pCO</w:t>
      </w:r>
      <w:r w:rsidR="00BE3504" w:rsidRPr="00BE3504">
        <w:rPr>
          <w:sz w:val="22"/>
          <w:szCs w:val="22"/>
          <w:vertAlign w:val="subscript"/>
          <w:lang w:val="en-GB"/>
        </w:rPr>
        <w:t>2</w:t>
      </w:r>
      <w:r w:rsidR="00BE3504">
        <w:rPr>
          <w:sz w:val="22"/>
          <w:szCs w:val="22"/>
          <w:lang w:val="en-GB"/>
        </w:rPr>
        <w:t xml:space="preserve"> concentrations of 280 ppm, 560 ppm and 1120 ppm and the CESM model (same as the default Lutetian case study) run with 2x (560 ppm) and 4x pre-industrial (1120 ppm) atmospheric pCO</w:t>
      </w:r>
      <w:r w:rsidR="00BE3504" w:rsidRPr="00BE3504">
        <w:rPr>
          <w:sz w:val="22"/>
          <w:szCs w:val="22"/>
          <w:vertAlign w:val="subscript"/>
          <w:lang w:val="en-GB"/>
        </w:rPr>
        <w:t>2</w:t>
      </w:r>
      <w:r w:rsidR="00BE3504">
        <w:rPr>
          <w:sz w:val="22"/>
          <w:szCs w:val="22"/>
          <w:lang w:val="en-GB"/>
        </w:rPr>
        <w:t xml:space="preserve"> concentrations.</w:t>
      </w:r>
    </w:p>
    <w:p w14:paraId="13B9A8F6" w14:textId="5AACCF4F" w:rsidR="001B6F7E" w:rsidRPr="001B6F7E" w:rsidRDefault="002F3751" w:rsidP="001B6F7E">
      <w:pPr>
        <w:jc w:val="both"/>
        <w:rPr>
          <w:b/>
          <w:bCs/>
          <w:sz w:val="22"/>
          <w:szCs w:val="22"/>
          <w:lang w:val="en-GB"/>
        </w:rPr>
      </w:pPr>
      <w:r w:rsidRPr="00256EAA">
        <w:rPr>
          <w:b/>
          <w:bCs/>
          <w:sz w:val="22"/>
          <w:szCs w:val="22"/>
          <w:lang w:val="en-GB"/>
        </w:rPr>
        <w:t>Results</w:t>
      </w:r>
    </w:p>
    <w:p w14:paraId="4A9DFA1A" w14:textId="7414D1EC" w:rsidR="00156B07" w:rsidRDefault="00D03063" w:rsidP="00505760">
      <w:pPr>
        <w:pStyle w:val="ListParagraph"/>
        <w:numPr>
          <w:ilvl w:val="0"/>
          <w:numId w:val="1"/>
        </w:numPr>
        <w:jc w:val="both"/>
        <w:rPr>
          <w:sz w:val="22"/>
          <w:szCs w:val="22"/>
          <w:lang w:val="en-GB"/>
        </w:rPr>
      </w:pPr>
      <w:r w:rsidRPr="00256EAA">
        <w:rPr>
          <w:sz w:val="22"/>
          <w:szCs w:val="22"/>
          <w:lang w:val="en-GB"/>
        </w:rPr>
        <w:t xml:space="preserve">Fully </w:t>
      </w:r>
      <w:r w:rsidR="003E7FF0">
        <w:rPr>
          <w:sz w:val="22"/>
          <w:szCs w:val="22"/>
          <w:lang w:val="en-GB"/>
        </w:rPr>
        <w:t>assimilate</w:t>
      </w:r>
      <w:r w:rsidRPr="00256EAA">
        <w:rPr>
          <w:sz w:val="22"/>
          <w:szCs w:val="22"/>
          <w:lang w:val="en-GB"/>
        </w:rPr>
        <w:t>d default posteriors for all case studies</w:t>
      </w:r>
      <w:r w:rsidR="003613F6" w:rsidRPr="00256EAA">
        <w:rPr>
          <w:sz w:val="22"/>
          <w:szCs w:val="22"/>
          <w:lang w:val="en-GB"/>
        </w:rPr>
        <w:t xml:space="preserve"> + compare data and model information on different parameters</w:t>
      </w:r>
    </w:p>
    <w:p w14:paraId="49CD5BA5" w14:textId="77777777" w:rsidR="001B6F7E" w:rsidRDefault="001B6F7E" w:rsidP="001B6F7E">
      <w:pPr>
        <w:pStyle w:val="ListParagraph"/>
        <w:numPr>
          <w:ilvl w:val="0"/>
          <w:numId w:val="1"/>
        </w:numPr>
        <w:jc w:val="both"/>
        <w:rPr>
          <w:sz w:val="22"/>
          <w:szCs w:val="22"/>
          <w:lang w:val="en-US"/>
        </w:rPr>
      </w:pPr>
      <w:r w:rsidRPr="001B6F7E">
        <w:rPr>
          <w:sz w:val="22"/>
          <w:szCs w:val="22"/>
          <w:lang w:val="en-US"/>
        </w:rPr>
        <w:t xml:space="preserve">Model priors, reconstruction likelihoods, posterior estimates and aggregated measurement data for the modern case study using the default choices for assimilation are plotted in </w:t>
      </w:r>
      <w:r w:rsidRPr="001B6F7E">
        <w:rPr>
          <w:b/>
          <w:bCs/>
          <w:sz w:val="22"/>
          <w:szCs w:val="22"/>
          <w:lang w:val="en-US"/>
        </w:rPr>
        <w:t>Figure 6</w:t>
      </w:r>
      <w:r w:rsidRPr="001B6F7E">
        <w:rPr>
          <w:sz w:val="22"/>
          <w:szCs w:val="22"/>
          <w:lang w:val="en-US"/>
        </w:rPr>
        <w:t>.</w:t>
      </w:r>
    </w:p>
    <w:p w14:paraId="6641A806" w14:textId="77777777" w:rsidR="001B6F7E" w:rsidRPr="00752D0A" w:rsidRDefault="001B6F7E" w:rsidP="00752D0A">
      <w:pPr>
        <w:jc w:val="both"/>
        <w:rPr>
          <w:sz w:val="22"/>
          <w:szCs w:val="22"/>
          <w:lang w:val="en-US"/>
        </w:rPr>
      </w:pPr>
      <w:r>
        <w:rPr>
          <w:noProof/>
          <w:lang w:val="en-US"/>
        </w:rPr>
        <w:lastRenderedPageBreak/>
        <w:drawing>
          <wp:inline distT="0" distB="0" distL="0" distR="0" wp14:anchorId="1703F841" wp14:editId="78B836CA">
            <wp:extent cx="5731510" cy="5731510"/>
            <wp:effectExtent l="0" t="0" r="2540" b="2540"/>
            <wp:docPr id="213630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02726"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7FD7DB46" w14:textId="77777777" w:rsidR="001B6F7E" w:rsidRPr="00752D0A" w:rsidRDefault="001B6F7E" w:rsidP="00752D0A">
      <w:pPr>
        <w:jc w:val="both"/>
        <w:rPr>
          <w:sz w:val="22"/>
          <w:szCs w:val="22"/>
          <w:lang w:val="en-US"/>
        </w:rPr>
      </w:pPr>
      <w:r w:rsidRPr="00752D0A">
        <w:rPr>
          <w:b/>
          <w:bCs/>
          <w:sz w:val="22"/>
          <w:szCs w:val="22"/>
          <w:lang w:val="en-US"/>
        </w:rPr>
        <w:t>Figure 6</w:t>
      </w:r>
      <w:r w:rsidRPr="00752D0A">
        <w:rPr>
          <w:sz w:val="22"/>
          <w:szCs w:val="22"/>
          <w:lang w:val="en-US"/>
        </w:rPr>
        <w:t>: Data assimilation model priors (green), reconstruction likelihood (yellow) and posterior estimates (red) for the modern case study compared to local measurements (blue).</w:t>
      </w:r>
    </w:p>
    <w:p w14:paraId="16A5EAFB" w14:textId="61449AD7" w:rsidR="00D03063" w:rsidRDefault="00D03063" w:rsidP="00505760">
      <w:pPr>
        <w:pStyle w:val="ListParagraph"/>
        <w:numPr>
          <w:ilvl w:val="0"/>
          <w:numId w:val="1"/>
        </w:numPr>
        <w:jc w:val="both"/>
        <w:rPr>
          <w:sz w:val="22"/>
          <w:szCs w:val="22"/>
          <w:lang w:val="en-GB"/>
        </w:rPr>
      </w:pPr>
      <w:r w:rsidRPr="00256EAA">
        <w:rPr>
          <w:sz w:val="22"/>
          <w:szCs w:val="22"/>
          <w:lang w:val="en-GB"/>
        </w:rPr>
        <w:t xml:space="preserve">Compare different </w:t>
      </w:r>
      <w:r w:rsidR="003613F6" w:rsidRPr="00256EAA">
        <w:rPr>
          <w:sz w:val="22"/>
          <w:szCs w:val="22"/>
          <w:lang w:val="en-GB"/>
        </w:rPr>
        <w:t xml:space="preserve">ways of treating </w:t>
      </w:r>
      <w:r w:rsidRPr="00256EAA">
        <w:rPr>
          <w:sz w:val="22"/>
          <w:szCs w:val="22"/>
          <w:lang w:val="en-GB"/>
        </w:rPr>
        <w:t xml:space="preserve">proxy </w:t>
      </w:r>
      <w:r w:rsidR="003613F6" w:rsidRPr="00256EAA">
        <w:rPr>
          <w:sz w:val="22"/>
          <w:szCs w:val="22"/>
          <w:lang w:val="en-GB"/>
        </w:rPr>
        <w:t>data and time uncertainty</w:t>
      </w:r>
    </w:p>
    <w:p w14:paraId="6A5EDCC9" w14:textId="6C58D7AA" w:rsidR="00A83C41" w:rsidRDefault="00A83C41" w:rsidP="00752D0A">
      <w:pPr>
        <w:jc w:val="both"/>
        <w:rPr>
          <w:b/>
          <w:bCs/>
          <w:sz w:val="22"/>
          <w:szCs w:val="22"/>
          <w:lang w:val="en-GB"/>
        </w:rPr>
      </w:pPr>
      <w:r>
        <w:rPr>
          <w:b/>
          <w:bCs/>
          <w:noProof/>
          <w:sz w:val="22"/>
          <w:szCs w:val="22"/>
          <w:lang w:val="en-GB"/>
        </w:rPr>
        <w:lastRenderedPageBreak/>
        <w:drawing>
          <wp:inline distT="0" distB="0" distL="0" distR="0" wp14:anchorId="275684C7" wp14:editId="5A2B1F88">
            <wp:extent cx="5685890" cy="4530315"/>
            <wp:effectExtent l="0" t="0" r="0" b="3810"/>
            <wp:docPr id="42991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12538"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685890" cy="4530315"/>
                    </a:xfrm>
                    <a:prstGeom prst="rect">
                      <a:avLst/>
                    </a:prstGeom>
                  </pic:spPr>
                </pic:pic>
              </a:graphicData>
            </a:graphic>
          </wp:inline>
        </w:drawing>
      </w:r>
    </w:p>
    <w:p w14:paraId="1B4F6C6F" w14:textId="743D1E61" w:rsidR="00752D0A" w:rsidRPr="00A83C41" w:rsidRDefault="00752D0A" w:rsidP="00752D0A">
      <w:pPr>
        <w:jc w:val="both"/>
        <w:rPr>
          <w:sz w:val="22"/>
          <w:szCs w:val="22"/>
          <w:lang w:val="en-GB"/>
        </w:rPr>
      </w:pPr>
      <w:r>
        <w:rPr>
          <w:b/>
          <w:bCs/>
          <w:sz w:val="22"/>
          <w:szCs w:val="22"/>
          <w:lang w:val="en-GB"/>
        </w:rPr>
        <w:t>Figure 7</w:t>
      </w:r>
      <w:r>
        <w:rPr>
          <w:sz w:val="22"/>
          <w:szCs w:val="22"/>
          <w:lang w:val="en-GB"/>
        </w:rPr>
        <w:t>: Effect of uncertainty on proxy values on posterior precision and accuracy</w:t>
      </w:r>
      <w:r w:rsidR="0086160F">
        <w:rPr>
          <w:sz w:val="22"/>
          <w:szCs w:val="22"/>
          <w:lang w:val="en-GB"/>
        </w:rPr>
        <w:t xml:space="preserve"> in the proxy domain</w:t>
      </w:r>
      <w:r w:rsidR="00A83C41">
        <w:rPr>
          <w:sz w:val="22"/>
          <w:szCs w:val="22"/>
          <w:lang w:val="en-GB"/>
        </w:rPr>
        <w:t xml:space="preserve"> (green = model prior, blue = </w:t>
      </w:r>
      <w:r w:rsidR="00A83C41">
        <w:rPr>
          <w:i/>
          <w:iCs/>
          <w:sz w:val="22"/>
          <w:szCs w:val="22"/>
          <w:lang w:val="en-GB"/>
        </w:rPr>
        <w:t>in situ</w:t>
      </w:r>
      <w:r w:rsidR="00A83C41">
        <w:rPr>
          <w:sz w:val="22"/>
          <w:szCs w:val="22"/>
          <w:lang w:val="en-GB"/>
        </w:rPr>
        <w:t xml:space="preserve"> measurement, red = posteriors)</w:t>
      </w:r>
    </w:p>
    <w:p w14:paraId="7B1323A6" w14:textId="2B701A25" w:rsidR="00A83C41" w:rsidRDefault="00D550C7" w:rsidP="00752D0A">
      <w:pPr>
        <w:jc w:val="both"/>
        <w:rPr>
          <w:b/>
          <w:bCs/>
          <w:sz w:val="22"/>
          <w:szCs w:val="22"/>
          <w:lang w:val="en-GB"/>
        </w:rPr>
      </w:pPr>
      <w:r>
        <w:rPr>
          <w:b/>
          <w:bCs/>
          <w:noProof/>
          <w:sz w:val="22"/>
          <w:szCs w:val="22"/>
          <w:lang w:val="en-GB"/>
        </w:rPr>
        <w:drawing>
          <wp:inline distT="0" distB="0" distL="0" distR="0" wp14:anchorId="06A7C36E" wp14:editId="61D86B3A">
            <wp:extent cx="5731509" cy="2402283"/>
            <wp:effectExtent l="0" t="0" r="3175" b="0"/>
            <wp:docPr id="1577997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97012"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731509" cy="2402283"/>
                    </a:xfrm>
                    <a:prstGeom prst="rect">
                      <a:avLst/>
                    </a:prstGeom>
                  </pic:spPr>
                </pic:pic>
              </a:graphicData>
            </a:graphic>
          </wp:inline>
        </w:drawing>
      </w:r>
    </w:p>
    <w:p w14:paraId="1B4ABE89" w14:textId="5C1E15A0" w:rsidR="00752D0A" w:rsidRPr="00752D0A" w:rsidRDefault="00752D0A" w:rsidP="00752D0A">
      <w:pPr>
        <w:jc w:val="both"/>
        <w:rPr>
          <w:sz w:val="22"/>
          <w:szCs w:val="22"/>
          <w:lang w:val="en-GB"/>
        </w:rPr>
      </w:pPr>
      <w:r>
        <w:rPr>
          <w:b/>
          <w:bCs/>
          <w:sz w:val="22"/>
          <w:szCs w:val="22"/>
          <w:lang w:val="en-GB"/>
        </w:rPr>
        <w:t>Figure 8</w:t>
      </w:r>
      <w:r>
        <w:rPr>
          <w:sz w:val="22"/>
          <w:szCs w:val="22"/>
          <w:lang w:val="en-GB"/>
        </w:rPr>
        <w:t>: Effect of including or excluding d18Oc or D47 from the data assimilation</w:t>
      </w:r>
      <w:r w:rsidR="0086160F">
        <w:rPr>
          <w:sz w:val="22"/>
          <w:szCs w:val="22"/>
          <w:lang w:val="en-GB"/>
        </w:rPr>
        <w:t xml:space="preserve"> on SST and SAT outcomes</w:t>
      </w:r>
    </w:p>
    <w:p w14:paraId="1AB8368B" w14:textId="6AEFBA9F" w:rsidR="00D91860" w:rsidRDefault="00D91860" w:rsidP="00505760">
      <w:pPr>
        <w:pStyle w:val="ListParagraph"/>
        <w:numPr>
          <w:ilvl w:val="0"/>
          <w:numId w:val="1"/>
        </w:numPr>
        <w:jc w:val="both"/>
        <w:rPr>
          <w:sz w:val="22"/>
          <w:szCs w:val="22"/>
          <w:lang w:val="en-GB"/>
        </w:rPr>
      </w:pPr>
      <w:r>
        <w:rPr>
          <w:sz w:val="22"/>
          <w:szCs w:val="22"/>
          <w:lang w:val="en-GB"/>
        </w:rPr>
        <w:t>Sensitivity to assembling different climate variables</w:t>
      </w:r>
      <w:r w:rsidR="001726AE">
        <w:rPr>
          <w:sz w:val="22"/>
          <w:szCs w:val="22"/>
          <w:lang w:val="en-GB"/>
        </w:rPr>
        <w:t xml:space="preserve"> (exclude </w:t>
      </w:r>
      <w:proofErr w:type="spellStart"/>
      <w:r w:rsidR="001726AE">
        <w:rPr>
          <w:sz w:val="22"/>
          <w:szCs w:val="22"/>
          <w:lang w:val="en-GB"/>
        </w:rPr>
        <w:t>precip</w:t>
      </w:r>
      <w:proofErr w:type="spellEnd"/>
      <w:r w:rsidR="001726AE">
        <w:rPr>
          <w:sz w:val="22"/>
          <w:szCs w:val="22"/>
          <w:lang w:val="en-GB"/>
        </w:rPr>
        <w:t xml:space="preserve"> and SAT?)</w:t>
      </w:r>
    </w:p>
    <w:p w14:paraId="2F3E64DA" w14:textId="4CC7CA95" w:rsidR="00D91860" w:rsidRPr="00D91860" w:rsidRDefault="003C596F" w:rsidP="00D91860">
      <w:pPr>
        <w:jc w:val="both"/>
        <w:rPr>
          <w:sz w:val="22"/>
          <w:szCs w:val="22"/>
          <w:lang w:val="en-GB"/>
        </w:rPr>
      </w:pPr>
      <w:r>
        <w:rPr>
          <w:noProof/>
          <w:sz w:val="22"/>
          <w:szCs w:val="22"/>
          <w:lang w:val="en-GB"/>
        </w:rPr>
        <w:lastRenderedPageBreak/>
        <w:drawing>
          <wp:inline distT="0" distB="0" distL="0" distR="0" wp14:anchorId="27B38ACD" wp14:editId="3A7F93B5">
            <wp:extent cx="5731510" cy="2402205"/>
            <wp:effectExtent l="0" t="0" r="2540" b="0"/>
            <wp:docPr id="18250441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44189" name="Picture 1825044189"/>
                    <pic:cNvPicPr/>
                  </pic:nvPicPr>
                  <pic:blipFill>
                    <a:blip r:embed="rId18">
                      <a:extLst>
                        <a:ext uri="{28A0092B-C50C-407E-A947-70E740481C1C}">
                          <a14:useLocalDpi xmlns:a14="http://schemas.microsoft.com/office/drawing/2010/main" val="0"/>
                        </a:ext>
                      </a:extLst>
                    </a:blip>
                    <a:stretch>
                      <a:fillRect/>
                    </a:stretch>
                  </pic:blipFill>
                  <pic:spPr>
                    <a:xfrm>
                      <a:off x="0" y="0"/>
                      <a:ext cx="5731510" cy="2402205"/>
                    </a:xfrm>
                    <a:prstGeom prst="rect">
                      <a:avLst/>
                    </a:prstGeom>
                  </pic:spPr>
                </pic:pic>
              </a:graphicData>
            </a:graphic>
          </wp:inline>
        </w:drawing>
      </w:r>
    </w:p>
    <w:p w14:paraId="09F57757" w14:textId="7E5B96E1" w:rsidR="00D03063" w:rsidRDefault="003613F6" w:rsidP="00505760">
      <w:pPr>
        <w:pStyle w:val="ListParagraph"/>
        <w:numPr>
          <w:ilvl w:val="0"/>
          <w:numId w:val="1"/>
        </w:numPr>
        <w:jc w:val="both"/>
        <w:rPr>
          <w:sz w:val="22"/>
          <w:szCs w:val="22"/>
          <w:lang w:val="en-GB"/>
        </w:rPr>
      </w:pPr>
      <w:r w:rsidRPr="00256EAA">
        <w:rPr>
          <w:sz w:val="22"/>
          <w:szCs w:val="22"/>
          <w:lang w:val="en-GB"/>
        </w:rPr>
        <w:t>Comparison different d18Oc-hydrology treatments (Harwood vs assuming -7 permille?)</w:t>
      </w:r>
    </w:p>
    <w:p w14:paraId="7B9A55F7" w14:textId="3993F920" w:rsidR="00625895" w:rsidRDefault="00625895" w:rsidP="00681201">
      <w:pPr>
        <w:jc w:val="both"/>
        <w:rPr>
          <w:b/>
          <w:bCs/>
          <w:sz w:val="22"/>
          <w:szCs w:val="22"/>
          <w:lang w:val="en-GB"/>
        </w:rPr>
      </w:pPr>
      <w:r>
        <w:rPr>
          <w:b/>
          <w:bCs/>
          <w:noProof/>
          <w:sz w:val="22"/>
          <w:szCs w:val="22"/>
          <w:lang w:val="en-GB"/>
        </w:rPr>
        <w:drawing>
          <wp:inline distT="0" distB="0" distL="0" distR="0" wp14:anchorId="7CC918F6" wp14:editId="6324FD55">
            <wp:extent cx="5731510" cy="2868652"/>
            <wp:effectExtent l="0" t="0" r="2540" b="8255"/>
            <wp:docPr id="1232772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72347" name="Picture 2"/>
                    <pic:cNvPicPr/>
                  </pic:nvPicPr>
                  <pic:blipFill>
                    <a:blip r:embed="rId19">
                      <a:extLst>
                        <a:ext uri="{28A0092B-C50C-407E-A947-70E740481C1C}">
                          <a14:useLocalDpi xmlns:a14="http://schemas.microsoft.com/office/drawing/2010/main" val="0"/>
                        </a:ext>
                      </a:extLst>
                    </a:blip>
                    <a:stretch>
                      <a:fillRect/>
                    </a:stretch>
                  </pic:blipFill>
                  <pic:spPr>
                    <a:xfrm>
                      <a:off x="0" y="0"/>
                      <a:ext cx="5731510" cy="2868652"/>
                    </a:xfrm>
                    <a:prstGeom prst="rect">
                      <a:avLst/>
                    </a:prstGeom>
                  </pic:spPr>
                </pic:pic>
              </a:graphicData>
            </a:graphic>
          </wp:inline>
        </w:drawing>
      </w:r>
    </w:p>
    <w:p w14:paraId="393BF596" w14:textId="6DE4BFAE" w:rsidR="00681201" w:rsidRDefault="00681201" w:rsidP="00681201">
      <w:pPr>
        <w:jc w:val="both"/>
        <w:rPr>
          <w:sz w:val="22"/>
          <w:szCs w:val="22"/>
          <w:lang w:val="en-GB"/>
        </w:rPr>
      </w:pPr>
      <w:r>
        <w:rPr>
          <w:b/>
          <w:bCs/>
          <w:sz w:val="22"/>
          <w:szCs w:val="22"/>
          <w:lang w:val="en-GB"/>
        </w:rPr>
        <w:t>Figure 9</w:t>
      </w:r>
      <w:r>
        <w:rPr>
          <w:sz w:val="22"/>
          <w:szCs w:val="22"/>
          <w:lang w:val="en-GB"/>
        </w:rPr>
        <w:t>: Effect of SSS-d18Ow relationships on assimilation posteriors</w:t>
      </w:r>
    </w:p>
    <w:p w14:paraId="3FDE14E3" w14:textId="4693FD83" w:rsidR="00091716" w:rsidRDefault="00091716" w:rsidP="00681201">
      <w:pPr>
        <w:jc w:val="both"/>
        <w:rPr>
          <w:b/>
          <w:bCs/>
          <w:sz w:val="22"/>
          <w:szCs w:val="22"/>
          <w:lang w:val="en-GB"/>
        </w:rPr>
      </w:pPr>
      <w:r>
        <w:rPr>
          <w:b/>
          <w:bCs/>
          <w:noProof/>
          <w:sz w:val="22"/>
          <w:szCs w:val="22"/>
          <w:lang w:val="en-GB"/>
        </w:rPr>
        <w:lastRenderedPageBreak/>
        <w:drawing>
          <wp:inline distT="0" distB="0" distL="0" distR="0" wp14:anchorId="3671664E" wp14:editId="29757058">
            <wp:extent cx="5738411" cy="3057350"/>
            <wp:effectExtent l="0" t="0" r="0" b="0"/>
            <wp:docPr id="87640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05166"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5746521" cy="3061671"/>
                    </a:xfrm>
                    <a:prstGeom prst="rect">
                      <a:avLst/>
                    </a:prstGeom>
                  </pic:spPr>
                </pic:pic>
              </a:graphicData>
            </a:graphic>
          </wp:inline>
        </w:drawing>
      </w:r>
    </w:p>
    <w:p w14:paraId="2A02DDA4" w14:textId="3C450BAF" w:rsidR="00402433" w:rsidRPr="00402433" w:rsidRDefault="00402433" w:rsidP="00681201">
      <w:pPr>
        <w:jc w:val="both"/>
        <w:rPr>
          <w:sz w:val="22"/>
          <w:szCs w:val="22"/>
          <w:lang w:val="en-GB"/>
        </w:rPr>
      </w:pPr>
      <w:r>
        <w:rPr>
          <w:b/>
          <w:bCs/>
          <w:sz w:val="22"/>
          <w:szCs w:val="22"/>
          <w:lang w:val="en-GB"/>
        </w:rPr>
        <w:t>Figure 10</w:t>
      </w:r>
      <w:r>
        <w:rPr>
          <w:sz w:val="22"/>
          <w:szCs w:val="22"/>
          <w:lang w:val="en-GB"/>
        </w:rPr>
        <w:t>: Effect of different δ</w:t>
      </w:r>
      <w:r>
        <w:rPr>
          <w:sz w:val="22"/>
          <w:szCs w:val="22"/>
          <w:vertAlign w:val="superscript"/>
          <w:lang w:val="en-GB"/>
        </w:rPr>
        <w:t>18</w:t>
      </w:r>
      <w:r>
        <w:rPr>
          <w:sz w:val="22"/>
          <w:szCs w:val="22"/>
          <w:lang w:val="en-GB"/>
        </w:rPr>
        <w:t>O</w:t>
      </w:r>
      <w:r>
        <w:rPr>
          <w:sz w:val="22"/>
          <w:szCs w:val="22"/>
          <w:vertAlign w:val="subscript"/>
          <w:lang w:val="en-GB"/>
        </w:rPr>
        <w:t>w</w:t>
      </w:r>
      <w:r>
        <w:rPr>
          <w:sz w:val="22"/>
          <w:szCs w:val="22"/>
          <w:lang w:val="en-GB"/>
        </w:rPr>
        <w:t>-δ</w:t>
      </w:r>
      <w:r>
        <w:rPr>
          <w:sz w:val="22"/>
          <w:szCs w:val="22"/>
          <w:vertAlign w:val="superscript"/>
          <w:lang w:val="en-GB"/>
        </w:rPr>
        <w:t>18</w:t>
      </w:r>
      <w:r>
        <w:rPr>
          <w:sz w:val="22"/>
          <w:szCs w:val="22"/>
          <w:lang w:val="en-GB"/>
        </w:rPr>
        <w:t>O</w:t>
      </w:r>
      <w:r>
        <w:rPr>
          <w:sz w:val="22"/>
          <w:szCs w:val="22"/>
          <w:vertAlign w:val="subscript"/>
          <w:lang w:val="en-GB"/>
        </w:rPr>
        <w:t>c</w:t>
      </w:r>
      <w:r>
        <w:rPr>
          <w:sz w:val="22"/>
          <w:szCs w:val="22"/>
          <w:lang w:val="en-GB"/>
        </w:rPr>
        <w:t>-temperature equations</w:t>
      </w:r>
    </w:p>
    <w:p w14:paraId="6EEFF53B" w14:textId="77332033" w:rsidR="00752D0A" w:rsidRDefault="00752D0A" w:rsidP="00752D0A">
      <w:pPr>
        <w:pStyle w:val="ListParagraph"/>
        <w:numPr>
          <w:ilvl w:val="0"/>
          <w:numId w:val="1"/>
        </w:numPr>
        <w:jc w:val="both"/>
        <w:rPr>
          <w:sz w:val="22"/>
          <w:szCs w:val="22"/>
          <w:lang w:val="en-GB"/>
        </w:rPr>
      </w:pPr>
      <w:r w:rsidRPr="00256EAA">
        <w:rPr>
          <w:sz w:val="22"/>
          <w:szCs w:val="22"/>
          <w:lang w:val="en-GB"/>
        </w:rPr>
        <w:t>Sensitivity of PWP result to different pCO2</w:t>
      </w:r>
      <w:r w:rsidR="00681201">
        <w:rPr>
          <w:sz w:val="22"/>
          <w:szCs w:val="22"/>
          <w:lang w:val="en-GB"/>
        </w:rPr>
        <w:t xml:space="preserve"> forcing in</w:t>
      </w:r>
      <w:r w:rsidRPr="00256EAA">
        <w:rPr>
          <w:sz w:val="22"/>
          <w:szCs w:val="22"/>
          <w:lang w:val="en-GB"/>
        </w:rPr>
        <w:t xml:space="preserve"> models</w:t>
      </w:r>
    </w:p>
    <w:p w14:paraId="4329926C" w14:textId="339D0B1D" w:rsidR="00471C8D" w:rsidRDefault="00471C8D" w:rsidP="00752D0A">
      <w:pPr>
        <w:jc w:val="both"/>
        <w:rPr>
          <w:b/>
          <w:bCs/>
          <w:sz w:val="22"/>
          <w:szCs w:val="22"/>
          <w:lang w:val="en-GB"/>
        </w:rPr>
      </w:pPr>
      <w:r>
        <w:rPr>
          <w:b/>
          <w:bCs/>
          <w:noProof/>
          <w:sz w:val="22"/>
          <w:szCs w:val="22"/>
          <w:lang w:val="en-GB"/>
        </w:rPr>
        <w:drawing>
          <wp:inline distT="0" distB="0" distL="0" distR="0" wp14:anchorId="2AC01B6C" wp14:editId="50CF3108">
            <wp:extent cx="5731508" cy="4566662"/>
            <wp:effectExtent l="0" t="0" r="3175" b="5715"/>
            <wp:docPr id="184189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93921"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5731508" cy="4566662"/>
                    </a:xfrm>
                    <a:prstGeom prst="rect">
                      <a:avLst/>
                    </a:prstGeom>
                  </pic:spPr>
                </pic:pic>
              </a:graphicData>
            </a:graphic>
          </wp:inline>
        </w:drawing>
      </w:r>
    </w:p>
    <w:p w14:paraId="7C8952CA" w14:textId="7543BFFF" w:rsidR="00752D0A" w:rsidRDefault="00752D0A" w:rsidP="00752D0A">
      <w:pPr>
        <w:jc w:val="both"/>
        <w:rPr>
          <w:sz w:val="22"/>
          <w:szCs w:val="22"/>
          <w:lang w:val="en-GB"/>
        </w:rPr>
      </w:pPr>
      <w:r>
        <w:rPr>
          <w:b/>
          <w:bCs/>
          <w:sz w:val="22"/>
          <w:szCs w:val="22"/>
          <w:lang w:val="en-GB"/>
        </w:rPr>
        <w:t xml:space="preserve">Figure </w:t>
      </w:r>
      <w:r w:rsidR="00681201">
        <w:rPr>
          <w:b/>
          <w:bCs/>
          <w:sz w:val="22"/>
          <w:szCs w:val="22"/>
          <w:lang w:val="en-GB"/>
        </w:rPr>
        <w:t>1</w:t>
      </w:r>
      <w:r w:rsidR="00402433">
        <w:rPr>
          <w:b/>
          <w:bCs/>
          <w:sz w:val="22"/>
          <w:szCs w:val="22"/>
          <w:lang w:val="en-GB"/>
        </w:rPr>
        <w:t>1</w:t>
      </w:r>
      <w:r>
        <w:rPr>
          <w:sz w:val="22"/>
          <w:szCs w:val="22"/>
          <w:lang w:val="en-GB"/>
        </w:rPr>
        <w:t xml:space="preserve">: Comparison of assimilations of </w:t>
      </w:r>
      <w:r w:rsidR="00681201">
        <w:rPr>
          <w:sz w:val="22"/>
          <w:szCs w:val="22"/>
          <w:lang w:val="en-GB"/>
        </w:rPr>
        <w:t>Lutetian</w:t>
      </w:r>
      <w:r>
        <w:rPr>
          <w:sz w:val="22"/>
          <w:szCs w:val="22"/>
          <w:lang w:val="en-GB"/>
        </w:rPr>
        <w:t xml:space="preserve"> case study </w:t>
      </w:r>
      <w:r w:rsidR="00681201">
        <w:rPr>
          <w:sz w:val="22"/>
          <w:szCs w:val="22"/>
          <w:lang w:val="en-GB"/>
        </w:rPr>
        <w:t>with different models and different pCO2 forcing</w:t>
      </w:r>
    </w:p>
    <w:p w14:paraId="25E27E41" w14:textId="31F92C9E" w:rsidR="00D91860" w:rsidRDefault="00D91860" w:rsidP="00D91860">
      <w:pPr>
        <w:pStyle w:val="ListParagraph"/>
        <w:numPr>
          <w:ilvl w:val="0"/>
          <w:numId w:val="1"/>
        </w:numPr>
        <w:jc w:val="both"/>
        <w:rPr>
          <w:sz w:val="22"/>
          <w:szCs w:val="22"/>
          <w:lang w:val="en-GB"/>
        </w:rPr>
      </w:pPr>
      <w:r>
        <w:rPr>
          <w:sz w:val="22"/>
          <w:szCs w:val="22"/>
          <w:lang w:val="en-GB"/>
        </w:rPr>
        <w:lastRenderedPageBreak/>
        <w:t>Assembling measurements as priors instead of model priors for SSS and/or SST</w:t>
      </w:r>
    </w:p>
    <w:p w14:paraId="5E843BF4" w14:textId="40548F62" w:rsidR="00D91860" w:rsidRPr="00D91860" w:rsidRDefault="00D91860" w:rsidP="00D91860">
      <w:pPr>
        <w:jc w:val="both"/>
        <w:rPr>
          <w:sz w:val="22"/>
          <w:szCs w:val="22"/>
          <w:lang w:val="en-GB"/>
        </w:rPr>
      </w:pPr>
      <w:r>
        <w:rPr>
          <w:noProof/>
          <w:sz w:val="22"/>
          <w:szCs w:val="22"/>
          <w:lang w:val="en-GB"/>
        </w:rPr>
        <w:drawing>
          <wp:inline distT="0" distB="0" distL="0" distR="0" wp14:anchorId="070D73C1" wp14:editId="2D26C726">
            <wp:extent cx="5731510" cy="2853690"/>
            <wp:effectExtent l="0" t="0" r="2540" b="3810"/>
            <wp:docPr id="112433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30304" name="Picture 1124330304"/>
                    <pic:cNvPicPr/>
                  </pic:nvPicPr>
                  <pic:blipFill>
                    <a:blip r:embed="rId22">
                      <a:extLst>
                        <a:ext uri="{28A0092B-C50C-407E-A947-70E740481C1C}">
                          <a14:useLocalDpi xmlns:a14="http://schemas.microsoft.com/office/drawing/2010/main" val="0"/>
                        </a:ext>
                      </a:extLst>
                    </a:blip>
                    <a:stretch>
                      <a:fillRect/>
                    </a:stretch>
                  </pic:blipFill>
                  <pic:spPr>
                    <a:xfrm>
                      <a:off x="0" y="0"/>
                      <a:ext cx="5731510" cy="2853690"/>
                    </a:xfrm>
                    <a:prstGeom prst="rect">
                      <a:avLst/>
                    </a:prstGeom>
                  </pic:spPr>
                </pic:pic>
              </a:graphicData>
            </a:graphic>
          </wp:inline>
        </w:drawing>
      </w:r>
    </w:p>
    <w:p w14:paraId="6268A890" w14:textId="77777777" w:rsidR="00D91860" w:rsidRPr="00D91860" w:rsidRDefault="00D91860" w:rsidP="00D91860">
      <w:pPr>
        <w:pStyle w:val="ListParagraph"/>
        <w:numPr>
          <w:ilvl w:val="0"/>
          <w:numId w:val="1"/>
        </w:numPr>
        <w:jc w:val="both"/>
        <w:rPr>
          <w:sz w:val="22"/>
          <w:szCs w:val="22"/>
          <w:lang w:val="en-GB"/>
        </w:rPr>
      </w:pPr>
    </w:p>
    <w:p w14:paraId="69BF0551" w14:textId="65C83CAF" w:rsidR="002F3751" w:rsidRPr="00256EAA" w:rsidRDefault="002F3751" w:rsidP="00505760">
      <w:pPr>
        <w:jc w:val="both"/>
        <w:rPr>
          <w:b/>
          <w:bCs/>
          <w:sz w:val="22"/>
          <w:szCs w:val="22"/>
          <w:lang w:val="en-GB"/>
        </w:rPr>
      </w:pPr>
      <w:r w:rsidRPr="00256EAA">
        <w:rPr>
          <w:b/>
          <w:bCs/>
          <w:sz w:val="22"/>
          <w:szCs w:val="22"/>
          <w:lang w:val="en-GB"/>
        </w:rPr>
        <w:t>Discussion</w:t>
      </w:r>
    </w:p>
    <w:p w14:paraId="532E5E3A" w14:textId="3510A6B2" w:rsidR="00D07D4B" w:rsidRPr="00256EAA" w:rsidRDefault="00D07D4B" w:rsidP="00505760">
      <w:pPr>
        <w:pStyle w:val="ListParagraph"/>
        <w:numPr>
          <w:ilvl w:val="0"/>
          <w:numId w:val="1"/>
        </w:numPr>
        <w:jc w:val="both"/>
        <w:rPr>
          <w:sz w:val="22"/>
          <w:szCs w:val="22"/>
          <w:lang w:val="en-GB"/>
        </w:rPr>
      </w:pPr>
      <w:r w:rsidRPr="00256EAA">
        <w:rPr>
          <w:sz w:val="22"/>
          <w:szCs w:val="22"/>
          <w:lang w:val="en-GB"/>
        </w:rPr>
        <w:t>Where do proxy and model outcomes agree or disagree?</w:t>
      </w:r>
    </w:p>
    <w:p w14:paraId="22094CAE" w14:textId="261A85EE" w:rsidR="00D07D4B" w:rsidRPr="00256EAA" w:rsidRDefault="00D07D4B" w:rsidP="00505760">
      <w:pPr>
        <w:pStyle w:val="ListParagraph"/>
        <w:numPr>
          <w:ilvl w:val="0"/>
          <w:numId w:val="1"/>
        </w:numPr>
        <w:jc w:val="both"/>
        <w:rPr>
          <w:sz w:val="22"/>
          <w:szCs w:val="22"/>
          <w:lang w:val="en-GB"/>
        </w:rPr>
      </w:pPr>
      <w:r w:rsidRPr="00256EAA">
        <w:rPr>
          <w:sz w:val="22"/>
          <w:szCs w:val="22"/>
          <w:lang w:val="en-GB"/>
        </w:rPr>
        <w:t>Quality of proxy data and transfer functions vs bias in models?</w:t>
      </w:r>
    </w:p>
    <w:p w14:paraId="2B05A4AF" w14:textId="15C57536" w:rsidR="003613F6" w:rsidRPr="00256EAA" w:rsidRDefault="00D07D4B" w:rsidP="00505760">
      <w:pPr>
        <w:pStyle w:val="ListParagraph"/>
        <w:numPr>
          <w:ilvl w:val="0"/>
          <w:numId w:val="1"/>
        </w:numPr>
        <w:jc w:val="both"/>
        <w:rPr>
          <w:sz w:val="22"/>
          <w:szCs w:val="22"/>
          <w:lang w:val="en-GB"/>
        </w:rPr>
      </w:pPr>
      <w:r w:rsidRPr="00256EAA">
        <w:rPr>
          <w:sz w:val="22"/>
          <w:szCs w:val="22"/>
          <w:lang w:val="en-GB"/>
        </w:rPr>
        <w:t>How to weigh proxy vs model information?</w:t>
      </w:r>
    </w:p>
    <w:p w14:paraId="6756F388" w14:textId="006E4701" w:rsidR="00D07D4B" w:rsidRPr="00256EAA" w:rsidRDefault="00D07D4B" w:rsidP="00505760">
      <w:pPr>
        <w:pStyle w:val="ListParagraph"/>
        <w:numPr>
          <w:ilvl w:val="0"/>
          <w:numId w:val="1"/>
        </w:numPr>
        <w:jc w:val="both"/>
        <w:rPr>
          <w:sz w:val="22"/>
          <w:szCs w:val="22"/>
          <w:lang w:val="en-GB"/>
        </w:rPr>
      </w:pPr>
      <w:r w:rsidRPr="00256EAA">
        <w:rPr>
          <w:sz w:val="22"/>
          <w:szCs w:val="22"/>
          <w:lang w:val="en-GB"/>
        </w:rPr>
        <w:t>Can seasonal proxy data be used to inform or tune modelling efforts?</w:t>
      </w:r>
    </w:p>
    <w:p w14:paraId="5DC8D39F" w14:textId="2F04B3AA" w:rsidR="00D07D4B" w:rsidRPr="00256EAA" w:rsidRDefault="00D07D4B" w:rsidP="00505760">
      <w:pPr>
        <w:pStyle w:val="ListParagraph"/>
        <w:numPr>
          <w:ilvl w:val="0"/>
          <w:numId w:val="1"/>
        </w:numPr>
        <w:jc w:val="both"/>
        <w:rPr>
          <w:sz w:val="22"/>
          <w:szCs w:val="22"/>
          <w:lang w:val="en-GB"/>
        </w:rPr>
      </w:pPr>
      <w:r w:rsidRPr="00256EAA">
        <w:rPr>
          <w:sz w:val="22"/>
          <w:szCs w:val="22"/>
          <w:lang w:val="en-GB"/>
        </w:rPr>
        <w:t>How powerful is DA for inferring structure of un-sampled climate parameters?</w:t>
      </w:r>
    </w:p>
    <w:p w14:paraId="4CD3BB6E" w14:textId="53C46822" w:rsidR="002F3751" w:rsidRPr="00256EAA" w:rsidRDefault="002F3751" w:rsidP="00505760">
      <w:pPr>
        <w:jc w:val="both"/>
        <w:rPr>
          <w:b/>
          <w:bCs/>
          <w:sz w:val="22"/>
          <w:szCs w:val="22"/>
          <w:lang w:val="en-GB"/>
        </w:rPr>
      </w:pPr>
      <w:r w:rsidRPr="00256EAA">
        <w:rPr>
          <w:b/>
          <w:bCs/>
          <w:sz w:val="22"/>
          <w:szCs w:val="22"/>
          <w:lang w:val="en-GB"/>
        </w:rPr>
        <w:t>Outlook</w:t>
      </w:r>
      <w:r w:rsidR="00D07D4B" w:rsidRPr="00256EAA">
        <w:rPr>
          <w:b/>
          <w:bCs/>
          <w:sz w:val="22"/>
          <w:szCs w:val="22"/>
          <w:lang w:val="en-GB"/>
        </w:rPr>
        <w:t xml:space="preserve"> and recommendations</w:t>
      </w:r>
    </w:p>
    <w:p w14:paraId="0E683C4E" w14:textId="2C16AA30" w:rsidR="00D07D4B" w:rsidRPr="00256EAA" w:rsidRDefault="00D07D4B" w:rsidP="00505760">
      <w:pPr>
        <w:pStyle w:val="ListParagraph"/>
        <w:numPr>
          <w:ilvl w:val="0"/>
          <w:numId w:val="1"/>
        </w:numPr>
        <w:jc w:val="both"/>
        <w:rPr>
          <w:sz w:val="22"/>
          <w:szCs w:val="22"/>
          <w:lang w:val="en-GB"/>
        </w:rPr>
      </w:pPr>
      <w:r w:rsidRPr="00256EAA">
        <w:rPr>
          <w:sz w:val="22"/>
          <w:szCs w:val="22"/>
          <w:lang w:val="en-GB"/>
        </w:rPr>
        <w:t>Which proxy(-forward model) improvements are the best to focus on to improve our ground-truth information for model assessment?</w:t>
      </w:r>
    </w:p>
    <w:p w14:paraId="197FF7C7" w14:textId="17FC541A" w:rsidR="00D07D4B" w:rsidRPr="00256EAA" w:rsidRDefault="00D07D4B" w:rsidP="00505760">
      <w:pPr>
        <w:pStyle w:val="ListParagraph"/>
        <w:numPr>
          <w:ilvl w:val="0"/>
          <w:numId w:val="1"/>
        </w:numPr>
        <w:jc w:val="both"/>
        <w:rPr>
          <w:sz w:val="22"/>
          <w:szCs w:val="22"/>
          <w:lang w:val="en-GB"/>
        </w:rPr>
      </w:pPr>
      <w:r w:rsidRPr="00256EAA">
        <w:rPr>
          <w:sz w:val="22"/>
          <w:szCs w:val="22"/>
          <w:lang w:val="en-GB"/>
        </w:rPr>
        <w:t>What model biases can be highlighted and how might they be addressed?</w:t>
      </w:r>
    </w:p>
    <w:p w14:paraId="33116E16" w14:textId="2E29B7B9" w:rsidR="00D07D4B" w:rsidRPr="00256EAA" w:rsidRDefault="00D07D4B" w:rsidP="00505760">
      <w:pPr>
        <w:pStyle w:val="ListParagraph"/>
        <w:numPr>
          <w:ilvl w:val="0"/>
          <w:numId w:val="1"/>
        </w:numPr>
        <w:jc w:val="both"/>
        <w:rPr>
          <w:sz w:val="22"/>
          <w:szCs w:val="22"/>
          <w:lang w:val="en-GB"/>
        </w:rPr>
      </w:pPr>
      <w:r w:rsidRPr="00256EAA">
        <w:rPr>
          <w:sz w:val="22"/>
          <w:szCs w:val="22"/>
          <w:lang w:val="en-GB"/>
        </w:rPr>
        <w:t xml:space="preserve">Any technical improvements in the DA script needed to better </w:t>
      </w:r>
      <w:r w:rsidR="003E7FF0">
        <w:rPr>
          <w:sz w:val="22"/>
          <w:szCs w:val="22"/>
          <w:lang w:val="en-GB"/>
        </w:rPr>
        <w:t>assimilate</w:t>
      </w:r>
      <w:r w:rsidRPr="00256EAA">
        <w:rPr>
          <w:sz w:val="22"/>
          <w:szCs w:val="22"/>
          <w:lang w:val="en-GB"/>
        </w:rPr>
        <w:t xml:space="preserve"> these data types?</w:t>
      </w:r>
    </w:p>
    <w:p w14:paraId="303F4D3B" w14:textId="65CBFFE3" w:rsidR="00B053FA" w:rsidRPr="00256EAA" w:rsidRDefault="00B053FA" w:rsidP="00B053FA">
      <w:pPr>
        <w:jc w:val="both"/>
        <w:rPr>
          <w:b/>
          <w:bCs/>
          <w:sz w:val="22"/>
          <w:szCs w:val="22"/>
          <w:lang w:val="en-GB"/>
        </w:rPr>
      </w:pPr>
      <w:r w:rsidRPr="00256EAA">
        <w:rPr>
          <w:b/>
          <w:bCs/>
          <w:sz w:val="22"/>
          <w:szCs w:val="22"/>
          <w:lang w:val="en-GB"/>
        </w:rPr>
        <w:t>References</w:t>
      </w:r>
    </w:p>
    <w:p w14:paraId="2F74F740" w14:textId="77777777" w:rsidR="000E7353" w:rsidRDefault="00B053FA" w:rsidP="000E7353">
      <w:pPr>
        <w:pStyle w:val="Bibliography"/>
      </w:pPr>
      <w:r>
        <w:rPr>
          <w:lang w:val="en-GB"/>
        </w:rPr>
        <w:fldChar w:fldCharType="begin"/>
      </w:r>
      <w:r>
        <w:rPr>
          <w:lang w:val="en-GB"/>
        </w:rPr>
        <w:instrText xml:space="preserve"> ADDIN ZOTERO_BIBL {"uncited":[],"omitted":[],"custom":[]} CSL_BIBLIOGRAPHY </w:instrText>
      </w:r>
      <w:r>
        <w:rPr>
          <w:lang w:val="en-GB"/>
        </w:rPr>
        <w:fldChar w:fldCharType="separate"/>
      </w:r>
      <w:r w:rsidR="000E7353">
        <w:t>Alberti, M., Fürsich, F. T., Abdelhady, A. A., and Andersen, N.: Middle to Late Jurassic equatorial seawater temperatures and latitudinal temperature gradients based on stable isotopes of brachiopods and oysters from Gebel Maghara, Egypt, Palaeogeography, Palaeoclimatology, Palaeoecology, 468, 301–313, https://doi.org/10.1016/j.palaeo.2016.11.052, 2017.</w:t>
      </w:r>
    </w:p>
    <w:p w14:paraId="353E2AAB" w14:textId="77777777" w:rsidR="000E7353" w:rsidRDefault="000E7353" w:rsidP="000E7353">
      <w:pPr>
        <w:pStyle w:val="Bibliography"/>
      </w:pPr>
      <w:r>
        <w:t>Appelblad, P. K., Rodushkin, I., and Baxter, D. C.: Sources of Uncertainty in Isotope Ratio Measurements by Inductively Coupled Plasma Mass Spectrometry, Anal. Chem., 73, 2911–2919, https://doi.org/10.1021/ac001537y, 2001.</w:t>
      </w:r>
    </w:p>
    <w:p w14:paraId="2CF7A27C" w14:textId="77777777" w:rsidR="000E7353" w:rsidRDefault="000E7353" w:rsidP="000E7353">
      <w:pPr>
        <w:pStyle w:val="Bibliography"/>
      </w:pPr>
      <w:r>
        <w:t xml:space="preserve">Baatsen, M., von der Heydt, A. S., Huber, M., Kliphuis, M. A., Bijl, P. K., Sluijs, A., and Dijkstra, H. A.: The middle to late Eocene greenhouse climate modelled using the CESM </w:t>
      </w:r>
      <w:r>
        <w:lastRenderedPageBreak/>
        <w:t>1.0.5, Climate of the Past, 16, 2573–2597, https://doi.org/10.5194/cp-16-2573-2020, 2020.</w:t>
      </w:r>
    </w:p>
    <w:p w14:paraId="33214A03" w14:textId="77777777" w:rsidR="000E7353" w:rsidRDefault="000E7353" w:rsidP="000E7353">
      <w:pPr>
        <w:pStyle w:val="Bibliography"/>
      </w:pPr>
      <w:r>
        <w:t>Bengtsson, L., Arkin, P., Berrisford, P., Bougeault, P., Folland, C. K., Gordon, C., Haines, K., Hodges, K. I., Jones, P., Kallberg, P., Rayner, N., Simmons, A. J., Stammer, D., Thorne, P. W., Uppala, S., and Vose, R. S.: The Need for a Dynamical Climate Reanalysis, Bulletin of the American Meteorological Society, 88, 495–501, 2007.</w:t>
      </w:r>
    </w:p>
    <w:p w14:paraId="1F211C33" w14:textId="77777777" w:rsidR="000E7353" w:rsidRDefault="000E7353" w:rsidP="000E7353">
      <w:pPr>
        <w:pStyle w:val="Bibliography"/>
      </w:pPr>
      <w:r>
        <w:t>Bova, S., Rosenthal, Y., Liu, Z., Godad, S. P., and Yan, M.: Seasonal origin of the thermal maxima at the Holocene and the last interglacial, Nature, 589, 548–553, https://doi.org/10.1038/s41586-020-03155-x, 2021.</w:t>
      </w:r>
    </w:p>
    <w:p w14:paraId="54439277" w14:textId="77777777" w:rsidR="000E7353" w:rsidRDefault="000E7353" w:rsidP="000E7353">
      <w:pPr>
        <w:pStyle w:val="Bibliography"/>
      </w:pPr>
      <w:r>
        <w:t>Brocas, W. M., Felis, T., Obert, J. C., Gierz, P., Lohmann, G., Scholz, D., Kölling, M., and Scheffers, S. R.: Last interglacial temperature seasonality reconstructed from tropical Atlantic corals, Earth and Planetary Science Letters, 449, 418–429, 2016.</w:t>
      </w:r>
    </w:p>
    <w:p w14:paraId="3F56B313" w14:textId="77777777" w:rsidR="000E7353" w:rsidRDefault="000E7353" w:rsidP="000E7353">
      <w:pPr>
        <w:pStyle w:val="Bibliography"/>
      </w:pPr>
      <w:r>
        <w:t>Burke, K. D., Williams, J. W., Chandler, M. A., Haywood, A. M., Lunt, D. J., and Otto-Bliesner, B. L.: Pliocene and Eocene provide best analogs for near-future climates, PNAS, 115, 13288–13293, https://doi.org/10.1073/pnas.1809600115, 2018.</w:t>
      </w:r>
    </w:p>
    <w:p w14:paraId="7C20C38E" w14:textId="77777777" w:rsidR="000E7353" w:rsidRDefault="000E7353" w:rsidP="000E7353">
      <w:pPr>
        <w:pStyle w:val="Bibliography"/>
      </w:pPr>
      <w:r>
        <w:t>Caldarescu, D., Sadatzki, H., Andersson, C., Schäfer, P., Fortunato, H., and Meckler, A. N.: Clumped Isotope Data from Caldarescu et al 2020 Geochimica et Cosmochimica Acta, 2020.</w:t>
      </w:r>
    </w:p>
    <w:p w14:paraId="0FFB0EC2" w14:textId="77777777" w:rsidR="000E7353" w:rsidRDefault="000E7353" w:rsidP="000E7353">
      <w:pPr>
        <w:pStyle w:val="Bibliography"/>
      </w:pPr>
      <w:r>
        <w:t>Caldarescu, D. E., Sadatzki, H., Andersson, C., Schäfer, P., Fortunato, H., and Meckler, A. N.: Clumped isotope thermometry in bivalve shells: A tool for reconstructing seasonal upwelling, Geochimica et Cosmochimica Acta, 294, 174–191, https://doi.org/10.1016/j.gca.2020.11.019, 2021.</w:t>
      </w:r>
    </w:p>
    <w:p w14:paraId="2D71D8CF" w14:textId="77777777" w:rsidR="000E7353" w:rsidRDefault="000E7353" w:rsidP="000E7353">
      <w:pPr>
        <w:pStyle w:val="Bibliography"/>
      </w:pPr>
      <w:r>
        <w:t>Carré, M. and Cheddadi, R.: Seasonality in long-term climate change, Quaternaire. Revue de l’Association française pour l’étude du Quaternaire, 28, 173–177, https://doi.org/10.4000/quaternaire.8018, 2017.</w:t>
      </w:r>
    </w:p>
    <w:p w14:paraId="039736C0" w14:textId="77777777" w:rsidR="000E7353" w:rsidRDefault="000E7353" w:rsidP="000E7353">
      <w:pPr>
        <w:pStyle w:val="Bibliography"/>
      </w:pPr>
      <w:r>
        <w:t>Daëron, M. and Vermeesch, P.: Omnivariant generalized least squares regression: Theory, geochronological applications, and making the case for reconciled Δ47 calibrations, Chemical Geology, 121881, https://doi.org/10.1016/j.chemgeo.2023.121881, 2023.</w:t>
      </w:r>
    </w:p>
    <w:p w14:paraId="5B1C040B" w14:textId="77777777" w:rsidR="000E7353" w:rsidRDefault="000E7353" w:rsidP="000E7353">
      <w:pPr>
        <w:pStyle w:val="Bibliography"/>
      </w:pPr>
      <w:r>
        <w:t>Danabasoglu, G., Lamarque, J.-F., Bacmeister, J., Bailey, D. A., DuVivier, A. K., Edwards, J., Emmons, L. K., Fasullo, J., Garcia, R., Gettelman, A., Hannay, C., Holland, M. M., Large, W. G., Lauritzen, P. H., Lawrence, D. M., Lenaerts, J. T. M., Lindsay, K., Lipscomb, W. H., Mills, M. J., Neale, R., Oleson, K. W., Otto-Bliesner, B., Phillips, A. S., Sacks, W., Tilmes, S., van Kampenhout, L., Vertenstein, M., Bertini, A., Dennis, J., Deser, C., Fischer, C., Fox-Kemper, B., Kay, J. E., Kinnison, D., Kushner, P. J., Larson, V. E., Long, M. C., Mickelson, S., Moore, J. K., Nienhouse, E., Polvani, L., Rasch, P. J., and Strand, W. G.: The Community Earth System Model Version 2 (CESM2), Journal of Advances in Modeling Earth Systems, 12, e2019MS001916, https://doi.org/10.1029/2019MS001916, 2020.</w:t>
      </w:r>
    </w:p>
    <w:p w14:paraId="5CD3FED9" w14:textId="77777777" w:rsidR="000E7353" w:rsidRDefault="000E7353" w:rsidP="000E7353">
      <w:pPr>
        <w:pStyle w:val="Bibliography"/>
      </w:pPr>
      <w:r>
        <w:lastRenderedPageBreak/>
        <w:t>De Winter, N., Snoeck, C., and Claeys, P.: Seasonal cyclicity in trace elements and stable isotopes of modern horse enamel, PLoS ONE, 11, 1, https://doi.org/10.1371/journal.pone.0166678, 2016.</w:t>
      </w:r>
    </w:p>
    <w:p w14:paraId="4BE4B767" w14:textId="77777777" w:rsidR="000E7353" w:rsidRDefault="000E7353" w:rsidP="000E7353">
      <w:pPr>
        <w:pStyle w:val="Bibliography"/>
      </w:pPr>
      <w:r>
        <w:t>Dettman, D. L., Reische, A. K., and Lohmann, K. C.: Controls on the stable isotope composition of seasonal growth bands in aragonitic fresh-water bivalves (unionidae), Geochimica et Cosmochimica Acta, 63, 1049–1057, https://doi.org/10.1016/S0016-7037(99)00020-4, 1999.</w:t>
      </w:r>
    </w:p>
    <w:p w14:paraId="205CCBD4" w14:textId="77777777" w:rsidR="000E7353" w:rsidRDefault="000E7353" w:rsidP="000E7353">
      <w:pPr>
        <w:pStyle w:val="Bibliography"/>
      </w:pPr>
      <w:r>
        <w:t>Evans, M. N., Tolwinski-Ward, S. E., Thompson, D. M., and Anchukaitis, K. J.: Applications of proxy system modeling in high resolution paleoclimatology, Quaternary Science Reviews, 76, 16–28, https://doi.org/10.1016/j.quascirev.2013.05.024, 2013.</w:t>
      </w:r>
    </w:p>
    <w:p w14:paraId="23043C97" w14:textId="77777777" w:rsidR="000E7353" w:rsidRDefault="000E7353" w:rsidP="000E7353">
      <w:pPr>
        <w:pStyle w:val="Bibliography"/>
      </w:pPr>
      <w:r>
        <w:t>Eyring, V., Bony, S., Meehl, G. A., Senior, C. A., Stevens, B., Stouffer, R. J., and Taylor, K. E.: Overview of the Coupled Model Intercomparison Project Phase 6 (CMIP6) experimental design and organization, Geoscientific Model Development, 9, 1937–1958, https://doi.org/10.5194/gmd-9-1937-2016, 2016.</w:t>
      </w:r>
    </w:p>
    <w:p w14:paraId="749525A6" w14:textId="77777777" w:rsidR="000E7353" w:rsidRDefault="000E7353" w:rsidP="000E7353">
      <w:pPr>
        <w:pStyle w:val="Bibliography"/>
      </w:pPr>
      <w:r>
        <w:t>Farnsworth, A., Lunt, D. J., O’Brien, C. L., Foster, G. L., Inglis, G. N., Markwick, P., Pancost, R. D., and Robinson, S. A.: Climate Sensitivity on Geological Timescales Controlled by Nonlinear Feedbacks and Ocean Circulation, Geophys. Res. Lett., 46, 9880–9889, https://doi.org/10.1029/2019GL083574, 2019.</w:t>
      </w:r>
    </w:p>
    <w:p w14:paraId="18D2455F" w14:textId="77777777" w:rsidR="000E7353" w:rsidRDefault="000E7353" w:rsidP="000E7353">
      <w:pPr>
        <w:pStyle w:val="Bibliography"/>
      </w:pPr>
      <w:r>
        <w:t>Font, J., Boutin, J., Reul, N., Spurgeon, P., Ballabrera-Poy, J., Chuprin, A., Gabarró, C., Gourrion, J., Guimbard, S., Hénocq, C., Lavender, S., Martin, N., Martínez, J., McCulloch, M., Meirold-Mautner, I., Mugerin, C., Petitcolin, F., Portabella, M., Sabia, R., Talone, M., Tenerelli, J., Turiel, A., Vergely, J.-L., Waldteufel, P., Yin, X., Zine, S., and Delwart, S.: SMOS first data analysis for sea surface salinity determination, International Journal of Remote Sensing, 34, 3654–3670, https://doi.org/10.1080/01431161.2012.716541, 2013.</w:t>
      </w:r>
    </w:p>
    <w:p w14:paraId="55BC0EEC" w14:textId="77777777" w:rsidR="000E7353" w:rsidRDefault="000E7353" w:rsidP="000E7353">
      <w:pPr>
        <w:pStyle w:val="Bibliography"/>
      </w:pPr>
      <w:r>
        <w:t>Franke, J., Brönnimann, S., Bhend, J., and Brugnara, Y.: A monthly global paleo-reanalysis of the atmosphere from 1600 to 2005 for studying past climatic variations, Sci Data, 4, 170076, https://doi.org/10.1038/sdata.2017.76, 2017.</w:t>
      </w:r>
    </w:p>
    <w:p w14:paraId="2A956387" w14:textId="77777777" w:rsidR="000E7353" w:rsidRDefault="000E7353" w:rsidP="000E7353">
      <w:pPr>
        <w:pStyle w:val="Bibliography"/>
      </w:pPr>
      <w:r>
        <w:t>Fricke, H. C., Clyde, W. C., and O’Neil, J. R.: Intra-tooth variations in δ 18 O (PO 4) of mammalian tooth enamel as a record of seasonal variations in continental climate variables, Geochimica et Cosmochimica Acta, 62, 1839–1850, 1998.</w:t>
      </w:r>
    </w:p>
    <w:p w14:paraId="40180C2F" w14:textId="77777777" w:rsidR="000E7353" w:rsidRDefault="000E7353" w:rsidP="000E7353">
      <w:pPr>
        <w:pStyle w:val="Bibliography"/>
      </w:pPr>
      <w:r>
        <w:t>Gagan, M. K., Chivas, A. R., and Isdale, P. J.: High-resolution isotopic records from corals using ocean temperature and mass-spawning chronometers, Earth and Planetary Science Letters, 121, 549–558, https://doi.org/10.1016/0012-821X(94)90090-6, 1994.</w:t>
      </w:r>
    </w:p>
    <w:p w14:paraId="75982E41" w14:textId="77777777" w:rsidR="000E7353" w:rsidRDefault="000E7353" w:rsidP="000E7353">
      <w:pPr>
        <w:pStyle w:val="Bibliography"/>
      </w:pPr>
      <w:r>
        <w:t>Garbelli, C., Angiolini, L., Posenato, R., Harper, E. M., Lamare, M. D., Shi, G. R., and Shen, S.: Isotopic time-series (δ13C and δ18O) obtained from the columnar layer of Permian brachiopod shells are a reliable archive of seasonal variations, Palaeogeography, Palaeoclimatology, Palaeoecology, 607, 111264, https://doi.org/10.1016/j.palaeo.2022.111264, 2022.</w:t>
      </w:r>
    </w:p>
    <w:p w14:paraId="6A3362E1" w14:textId="77777777" w:rsidR="000E7353" w:rsidRDefault="000E7353" w:rsidP="000E7353">
      <w:pPr>
        <w:pStyle w:val="Bibliography"/>
      </w:pPr>
      <w:r>
        <w:lastRenderedPageBreak/>
        <w:t>Gély, J. P. and Merle, D.: La stratigraphie et la paléogéographie du Lutétien en France, Stratotype Lutétien. Muséum National d’Histoire Naturelle, Paris, 182–227, 2008.</w:t>
      </w:r>
    </w:p>
    <w:p w14:paraId="506547E6" w14:textId="77777777" w:rsidR="000E7353" w:rsidRDefault="000E7353" w:rsidP="000E7353">
      <w:pPr>
        <w:pStyle w:val="Bibliography"/>
      </w:pPr>
      <w:r>
        <w:t>GitHub and OpenAI: GitHub Copilot, 2025.</w:t>
      </w:r>
    </w:p>
    <w:p w14:paraId="58842D8D" w14:textId="77777777" w:rsidR="000E7353" w:rsidRDefault="000E7353" w:rsidP="000E7353">
      <w:pPr>
        <w:pStyle w:val="Bibliography"/>
      </w:pPr>
      <w:r>
        <w:t>Gonfiantini, R., Stichler, W., and Rozanski, K.: Standards and intercomparison materials distributed by the International Atomic Energy Agency for stable isotope measurements, 1995.</w:t>
      </w:r>
    </w:p>
    <w:p w14:paraId="61D462BF" w14:textId="77777777" w:rsidR="000E7353" w:rsidRDefault="000E7353" w:rsidP="000E7353">
      <w:pPr>
        <w:pStyle w:val="Bibliography"/>
      </w:pPr>
      <w:r>
        <w:t>Goudsmit-Harzevoort, B., Lansu, A., Baatsen, M. L. J., von der Heydt, A. S., de Winter, N. J., Zhang, Y., Abe-Ouchi, A., de Boer, A., Chan, W.-L., Donnadieu, Y., Hutchinson, D. K., Knorr, G., Ladant, J.-B., Morozova, P., Niezgodzki, I., Steinig, S., Tripati, A., Zhang, Z., Zhu, J., and Ziegler, M.: The Relationship Between the Global Mean Deep-Sea and Surface Temperature During the Early Eocene, Paleoceanography and Paleoclimatology, 38, e2022PA004532, https://doi.org/10.1029/2022PA004532, 2023.</w:t>
      </w:r>
    </w:p>
    <w:p w14:paraId="2BDD2223" w14:textId="77777777" w:rsidR="000E7353" w:rsidRDefault="000E7353" w:rsidP="000E7353">
      <w:pPr>
        <w:pStyle w:val="Bibliography"/>
      </w:pPr>
      <w:r>
        <w:t xml:space="preserve">Graniero, L. E., Grossman, E. L., Robbins, J., Morales, J., Thompson, R., and O’Dea, A.: </w:t>
      </w:r>
      <w:r>
        <w:rPr>
          <w:i/>
          <w:iCs/>
        </w:rPr>
        <w:t>Conus</w:t>
      </w:r>
      <w:r>
        <w:t xml:space="preserve"> Shell δ13C values as proxies for δ13CDIC in tropical waters, Palaeogeography, Palaeoclimatology, Palaeoecology, 472, 119–127, https://doi.org/10.1016/j.palaeo.2017.02.007, 2017.</w:t>
      </w:r>
    </w:p>
    <w:p w14:paraId="5D737001" w14:textId="77777777" w:rsidR="000E7353" w:rsidRDefault="000E7353" w:rsidP="000E7353">
      <w:pPr>
        <w:pStyle w:val="Bibliography"/>
      </w:pPr>
      <w:r>
        <w:t>Grossman, E. L. and Ku, T.-L.: Oxygen and carbon isotope fractionation in biogenic aragonite: temperature effects, Chemical Geology: Isotope Geoscience section, 59, 59–74, 1986.</w:t>
      </w:r>
    </w:p>
    <w:p w14:paraId="309CC7A8" w14:textId="77777777" w:rsidR="000E7353" w:rsidRDefault="000E7353" w:rsidP="000E7353">
      <w:pPr>
        <w:pStyle w:val="Bibliography"/>
      </w:pPr>
      <w:r>
        <w:t>Hakim, G. J., Emile-Geay, J., Steig, E. J., Noone, D., Anderson, D. M., Tardif, R., Steiger, N., and Perkins, W. A.: The last millennium climate reanalysis project: Framework and first results, Journal of Geophysical Research: Atmospheres, 121, 6745–6764, https://doi.org/10.1002/2016JD024751, 2016.</w:t>
      </w:r>
    </w:p>
    <w:p w14:paraId="09A44416" w14:textId="77777777" w:rsidR="000E7353" w:rsidRDefault="000E7353" w:rsidP="000E7353">
      <w:pPr>
        <w:pStyle w:val="Bibliography"/>
      </w:pPr>
      <w:r>
        <w:t>Hao, S., Zhang, X., Duan, Y., Gowan, E. J., Zhu, J., Cauquoin, A., Chen, J., Werner, M., and Chen, F.: Model seasonal and proxy spatial biases revealed by assimilated mid-Holocene seasonal temperatures, Science Bulletin, 70, 2014–2022, https://doi.org/10.1016/j.scib.2025.03.039, 2025.</w:t>
      </w:r>
    </w:p>
    <w:p w14:paraId="7DD4C17A" w14:textId="77777777" w:rsidR="000E7353" w:rsidRDefault="000E7353" w:rsidP="000E7353">
      <w:pPr>
        <w:pStyle w:val="Bibliography"/>
      </w:pPr>
      <w:r>
        <w:t>Harwood, A. J. P., Dennis, P. F., Marca, A. D., Pilling, G. M., and Millner, R. S.: The oxygen isotope composition of water masses within the North Sea, Estuarine, Coastal and Shelf Science, 78, 353–359, https://doi.org/10.1016/j.ecss.2007.12.010, 2008.</w:t>
      </w:r>
    </w:p>
    <w:p w14:paraId="660F5C14" w14:textId="77777777" w:rsidR="000E7353" w:rsidRDefault="000E7353" w:rsidP="000E7353">
      <w:pPr>
        <w:pStyle w:val="Bibliography"/>
      </w:pPr>
      <w:r>
        <w:t>Haywood, A. M., Dowsett, H. J., Dolan, A. M., Rowley, D., Abe-Ouchi, A., Otto-Bliesner, B., Chandler, M. A., Hunter, S. J., Lunt, D. J., Pound, M., and Salzmann, U.: The Pliocene Model Intercomparison Project (PlioMIP) Phase 2: scientific objectives and experimental design, Climate of the Past, 12, 663–675, https://doi.org/10.5194/cp-12-663-2016, 2016.</w:t>
      </w:r>
    </w:p>
    <w:p w14:paraId="764C67B8" w14:textId="77777777" w:rsidR="000E7353" w:rsidRDefault="000E7353" w:rsidP="000E7353">
      <w:pPr>
        <w:pStyle w:val="Bibliography"/>
      </w:pPr>
      <w:r>
        <w:t>He, T., Kemp, D. B., Li, J., and Ruhl, M.: Paleoenvironmental changes across the Mesozoic–Paleogene hyperthermal events, Global and Planetary Change, 222, 104058, https://doi.org/10.1016/j.gloplacha.2023.104058, 2023.</w:t>
      </w:r>
    </w:p>
    <w:p w14:paraId="6C33F2BB" w14:textId="77777777" w:rsidR="000E7353" w:rsidRDefault="000E7353" w:rsidP="000E7353">
      <w:pPr>
        <w:pStyle w:val="Bibliography"/>
      </w:pPr>
      <w:r>
        <w:lastRenderedPageBreak/>
        <w:t>Henkes, G. A., Passey, B. H., Grossman, E. L., Shenton, B. J., Yancey, T. E., and Pérez-Huerta, A.: Temperature evolution and the oxygen isotope composition of Phanerozoic oceans from carbonate clumped isotope thermometry, Earth and Planetary Science Letters, 490, 40–50, https://doi.org/10.1016/j.epsl.2018.02.001, 2018.</w:t>
      </w:r>
    </w:p>
    <w:p w14:paraId="1FF3D790" w14:textId="77777777" w:rsidR="000E7353" w:rsidRDefault="000E7353" w:rsidP="000E7353">
      <w:pPr>
        <w:pStyle w:val="Bibliography"/>
      </w:pPr>
      <w:r>
        <w:t>von der Heydt, A. S., Ashwin, P., Camp, C. D., Crucifix, M., Dijkstra, H. A., Ditlevsen, P., and Lenton, T. M.: Quantification and interpretation of the climate variability record, Global and Planetary Change, 197, 103399, https://doi.org/10.1016/j.gloplacha.2020.103399, 2021.</w:t>
      </w:r>
    </w:p>
    <w:p w14:paraId="68A16AE1" w14:textId="77777777" w:rsidR="000E7353" w:rsidRDefault="000E7353" w:rsidP="000E7353">
      <w:pPr>
        <w:pStyle w:val="Bibliography"/>
      </w:pPr>
      <w:r>
        <w:t>van Hinsbergen, D. J., de Groot, L. V., van Schaik, S. J., Spakman, W., Bijl, P. K., Sluijs, A., Langereis, C. G., and Brinkhuis, H.: A paleolatitude calculator for paleoclimate studies, PloS one, 10, e0126946, 2015.</w:t>
      </w:r>
    </w:p>
    <w:p w14:paraId="138E2317" w14:textId="77777777" w:rsidR="000E7353" w:rsidRDefault="000E7353" w:rsidP="000E7353">
      <w:pPr>
        <w:pStyle w:val="Bibliography"/>
      </w:pPr>
      <w:r>
        <w:t>IPCC: Climate Change 2021: The Physical Science Basis. Contribution of Working Group I to the Sixth Assessment Report of the Intergovernmental Panel on Climate Change, edited by: Masson-Delmotte, V., Zhai, P., Pirani, A., Connors, S. L., Péan, C., Berger, S., Caud, N., Chen, Y., Goldfarb, L., Gomis, M. I., Huang, M., Leitzell, K., Lonnoy, E., Matthews, J. B. R., Maycock, T. K., Waterfield, T., Yelekçi, Ö., Yu, R., and Zhou, B., Cambridge University Press, 2021.</w:t>
      </w:r>
    </w:p>
    <w:p w14:paraId="4EE4EBAB" w14:textId="77777777" w:rsidR="000E7353" w:rsidRDefault="000E7353" w:rsidP="000E7353">
      <w:pPr>
        <w:pStyle w:val="Bibliography"/>
      </w:pPr>
      <w:r>
        <w:t>Iturbide, M., Fernández, J., Gutiérrez, J. M., Pirani, A., Huard, D., Al Khourdajie, A., Baño-Medina, J., Bedia, J., Casanueva, A., Cimadevilla, E., Cofiño, A. S., De Felice, M., Diez-Sierra, J., García-Díez, M., Goldie, J., Herrera, D. A., Herrera, S., Manzanas, R., Milovac, J., Radhakrishnan, A., San-Martín, D., Spinuso, A., Thyng, K. M., Trenham, C., and Yelekçi, Ö.: Implementation of FAIR principles in the IPCC: the WGI AR6 Atlas repository, Sci Data, 9, 629, https://doi.org/10.1038/s41597-022-01739-y, 2022.</w:t>
      </w:r>
    </w:p>
    <w:p w14:paraId="3F31CF72" w14:textId="77777777" w:rsidR="000E7353" w:rsidRDefault="000E7353" w:rsidP="000E7353">
      <w:pPr>
        <w:pStyle w:val="Bibliography"/>
      </w:pPr>
      <w:r>
        <w:t>Ivany, L. C.: Reconstructing paleoseasonality from accretionary skeletal carbonates—challenges and opportunities, The Paleontological Society Papers, 18, 133–166, 2012.</w:t>
      </w:r>
    </w:p>
    <w:p w14:paraId="74F01776" w14:textId="77777777" w:rsidR="000E7353" w:rsidRDefault="000E7353" w:rsidP="000E7353">
      <w:pPr>
        <w:pStyle w:val="Bibliography"/>
      </w:pPr>
      <w:r>
        <w:t>Ivany, L. C. and Judd, E. J.: Deciphering Temperature Seasonality in Earth’s Ancient Oceans, Annual Review of Earth and Planetary Sciences, 50, 123–152, https://doi.org/10.1146/annurev-earth-032320-095156, 2022.</w:t>
      </w:r>
    </w:p>
    <w:p w14:paraId="39C0FBE9" w14:textId="77777777" w:rsidR="000E7353" w:rsidRDefault="000E7353" w:rsidP="000E7353">
      <w:pPr>
        <w:pStyle w:val="Bibliography"/>
      </w:pPr>
      <w:r>
        <w:t>Ivany, L. C. and Runnegar, B.: Early Permian seasonality from bivalve δ18O and implications for the oxygen isotopic composition of seawater, Geology, 38, 1027–1030, 2010.</w:t>
      </w:r>
    </w:p>
    <w:p w14:paraId="3B8CDECE" w14:textId="77777777" w:rsidR="000E7353" w:rsidRDefault="000E7353" w:rsidP="000E7353">
      <w:pPr>
        <w:pStyle w:val="Bibliography"/>
      </w:pPr>
      <w:r>
        <w:t>Judd, E. J., Bhattacharya, T., and Ivany, L. C.: A Dynamical Framework for Interpreting Ancient Sea Surface Temperatures, Geophysical Research Letters, 47, e2020GL089044, https://doi.org/10.1029/2020GL089044, 2020.</w:t>
      </w:r>
    </w:p>
    <w:p w14:paraId="264C516A" w14:textId="77777777" w:rsidR="000E7353" w:rsidRDefault="000E7353" w:rsidP="000E7353">
      <w:pPr>
        <w:pStyle w:val="Bibliography"/>
      </w:pPr>
      <w:r>
        <w:t>Judd, E. J., Tierney, J. E., Lunt, D. J., Montañez, I. P., Huber, B. T., Wing, S. L., and Valdes, P. J.: A 485-million-year history of Earth’s surface temperature, Science, 385, eadk3705, https://doi.org/10.1126/science.adk3705, 2024.</w:t>
      </w:r>
    </w:p>
    <w:p w14:paraId="58DC1B69" w14:textId="77777777" w:rsidR="000E7353" w:rsidRDefault="000E7353" w:rsidP="000E7353">
      <w:pPr>
        <w:pStyle w:val="Bibliography"/>
      </w:pPr>
      <w:r>
        <w:t>Kalman, R. E.: A New Approach to Linear Filtering and Prediction Problems, J. Basic Eng, 82, 35–45, https://doi.org/10.1115/1.3662552, 1960.</w:t>
      </w:r>
    </w:p>
    <w:p w14:paraId="0F146510" w14:textId="77777777" w:rsidR="000E7353" w:rsidRDefault="000E7353" w:rsidP="000E7353">
      <w:pPr>
        <w:pStyle w:val="Bibliography"/>
      </w:pPr>
      <w:r>
        <w:lastRenderedPageBreak/>
        <w:t>Kim, S.-T., O’Neil, J. R., Hillaire-Marcel, C., and Mucci, A.: Oxygen isotope fractionation between synthetic aragonite and water: Influence of temperature and Mg2+ concentration, Geochimica et Cosmochimica Acta, 71, 4704–4715, https://doi.org/10.1016/j.gca.2007.04.019, 2007.</w:t>
      </w:r>
    </w:p>
    <w:p w14:paraId="1C75C918" w14:textId="77777777" w:rsidR="000E7353" w:rsidRDefault="000E7353" w:rsidP="000E7353">
      <w:pPr>
        <w:pStyle w:val="Bibliography"/>
      </w:pPr>
      <w:r>
        <w:t>King, J. M., Anchukaitis, K. J., Tierney, J. E., Hakim, G. J., Emile-Geay, J., Zhu, F., and Wilson, R.: A Data Assimilation Approach to Last Millennium Temperature Field Reconstruction Using a Limited High-Sensitivity Proxy Network, https://doi.org/10.1175/JCLI-D-20-0661.1, 2021.</w:t>
      </w:r>
    </w:p>
    <w:p w14:paraId="6DB04C9F" w14:textId="77777777" w:rsidR="000E7353" w:rsidRDefault="000E7353" w:rsidP="000E7353">
      <w:pPr>
        <w:pStyle w:val="Bibliography"/>
      </w:pPr>
      <w:r>
        <w:t>Kluyver, T., Ragan-Kelley, B., P&amp;#233, Rez, F., Granger, B., Bussonnier, M., Frederic, J., Kelley, K., Hamrick, J., Grout, J., Corlay, S., Ivanov, P., Avila, D., n, Abdalla, S., Willing, C., and Team, J. D.: Jupyter Notebooks – a publishing format for reproducible computational workflows, in: Positioning and Power in Academic Publishing: Players, Agents and Agendas, IOS Press, 87–90, https://doi.org/10.3233/978-1-61499-649-1-87, 2016.</w:t>
      </w:r>
    </w:p>
    <w:p w14:paraId="1F7864BA" w14:textId="77777777" w:rsidR="000E7353" w:rsidRDefault="000E7353" w:rsidP="000E7353">
      <w:pPr>
        <w:pStyle w:val="Bibliography"/>
      </w:pPr>
      <w:r>
        <w:t>Lazareth, C. E., Willenz, P., Navez, J., Keppens, E., Dehairs, F., and André, L.: Sclerosponges as a new potential recorder of environmental changes: Lead in Ceratoporella nicholsoni, Geology, 28, 515–518, 2000.</w:t>
      </w:r>
    </w:p>
    <w:p w14:paraId="68BCFBE0" w14:textId="77777777" w:rsidR="000E7353" w:rsidRDefault="000E7353" w:rsidP="000E7353">
      <w:pPr>
        <w:pStyle w:val="Bibliography"/>
      </w:pPr>
      <w:r>
        <w:t>Lécuyer, C., Hutzler, A., Amiot, R., Daux, V., Grosheny, D., Otero, O., Martineau, F., Fourel, F., Balter, V., and Reynard, B.: Carbon and oxygen isotope fractionations between aragonite and calcite of shells from modern molluscs, Chemical Geology, 332–333, 92–101, https://doi.org/10.1016/j.chemgeo.2012.08.034, 2012.</w:t>
      </w:r>
    </w:p>
    <w:p w14:paraId="3517A514" w14:textId="77777777" w:rsidR="000E7353" w:rsidRDefault="000E7353" w:rsidP="000E7353">
      <w:pPr>
        <w:pStyle w:val="Bibliography"/>
      </w:pPr>
      <w:r>
        <w:t>LeGrande, A. N. and Schmidt, G. A.: Global gridded data set of the oxygen isotopic composition in seawater, Geophysical research letters, 33, 2006.</w:t>
      </w:r>
    </w:p>
    <w:p w14:paraId="6724CEE6" w14:textId="77777777" w:rsidR="000E7353" w:rsidRDefault="000E7353" w:rsidP="000E7353">
      <w:pPr>
        <w:pStyle w:val="Bibliography"/>
      </w:pPr>
      <w:r>
        <w:t>Liu, Z., Zhu, J., Rosenthal, Y., Zhang, X., Otto-Bliesner, B. L., Timmermann, A., Smith, R. S., Lohmann, G., Zheng, W., and Elison Timm, O.: The Holocene temperature conundrum, Proceedings of the National Academy of Sciences, 111, E3501–E3505, https://doi.org/10.1073/pnas.1407229111, 2014.</w:t>
      </w:r>
    </w:p>
    <w:p w14:paraId="0A223735" w14:textId="77777777" w:rsidR="000E7353" w:rsidRDefault="000E7353" w:rsidP="000E7353">
      <w:pPr>
        <w:pStyle w:val="Bibliography"/>
      </w:pPr>
      <w:r>
        <w:t>Locarnini, R. A., Mishonov, A. V., Antonov, J. I., Boyer, T. P., Garcia, H. E., Baranova, O. K., Zweng, M. M., Paver, C. R., Reagan, J. R., Johnson, D. R., Hamilton, M., and Seidov, D.: World ocean atlas 2013. Volume 1, Temperature, U.S. Department of Commerce, National Oceanic and Atmospheric Administration, National Environmental Satellite, Data and Information Service, https://doi.org/10.7289/v55x26vd, 2013.</w:t>
      </w:r>
    </w:p>
    <w:p w14:paraId="5DACA413" w14:textId="77777777" w:rsidR="000E7353" w:rsidRDefault="000E7353" w:rsidP="000E7353">
      <w:pPr>
        <w:pStyle w:val="Bibliography"/>
      </w:pPr>
      <w:r>
        <w:t>Lunt, D. J., Otto-Bliesner, B. L., Brierley, C., Haywood, A., Inglis, G. N., Izumi, K., Kageyama, M., Kaufman, D., Mauritsen, T., McClymont, E. L., Salzmann, U., Steinig, S., Tierney, J. E., Zhao, A., and Zhu, J.: Paleoclimate data provide constraints on climate models’ large-scale response to past CO2 changes, Commun Earth Environ, 5, 419, https://doi.org/10.1038/s43247-024-01531-3, 2024.</w:t>
      </w:r>
    </w:p>
    <w:p w14:paraId="431F531B" w14:textId="77777777" w:rsidR="000E7353" w:rsidRDefault="000E7353" w:rsidP="000E7353">
      <w:pPr>
        <w:pStyle w:val="Bibliography"/>
      </w:pPr>
      <w:r>
        <w:t>Mann, M. E., Rutherford, S., Wahl, E., and Ammann, C.: Robustness of proxy-based climate field reconstruction methods, Journal of Geophysical Research: Atmospheres, 112, https://doi.org/10.1029/2006JD008272, 2007.</w:t>
      </w:r>
    </w:p>
    <w:p w14:paraId="23C4035C" w14:textId="77777777" w:rsidR="000E7353" w:rsidRDefault="000E7353" w:rsidP="000E7353">
      <w:pPr>
        <w:pStyle w:val="Bibliography"/>
      </w:pPr>
      <w:r>
        <w:lastRenderedPageBreak/>
        <w:t>McCulloch, M. T., Winter, A., Sherman, C. E., and Trotter, J. A.: 300 years of sclerosponge thermometry shows global warming has exceeded 1.5 °C, Nat. Clim. Chang., 14, 171–177, https://doi.org/10.1038/s41558-023-01919-7, 2024.</w:t>
      </w:r>
    </w:p>
    <w:p w14:paraId="31C19E04" w14:textId="77777777" w:rsidR="000E7353" w:rsidRDefault="000E7353" w:rsidP="000E7353">
      <w:pPr>
        <w:pStyle w:val="Bibliography"/>
      </w:pPr>
      <w:r>
        <w:t>Meckler, A. N., Sexton, P. F., Piasecki, A. M., Leutert, T. J., Marquardt, J., Ziegler, M., Agterhuis, T., Lourens, L. J., Rae, J. W. B., Barnet, J., Tripati, A., and Bernasconi, S. M.: Cenozoic evolution of deep ocean temperature from clumped isotope thermometry, Science, 377, 86–90, https://doi.org/10.1126/science.abk0604, 2022.</w:t>
      </w:r>
    </w:p>
    <w:p w14:paraId="6BD7BEC4" w14:textId="77777777" w:rsidR="000E7353" w:rsidRDefault="000E7353" w:rsidP="000E7353">
      <w:pPr>
        <w:pStyle w:val="Bibliography"/>
      </w:pPr>
      <w:r>
        <w:t>Meinshausen, M., Nicholls, Z. R. J., Lewis, J., Gidden, M. J., Vogel, E., Freund, M., Beyerle, U., Gessner, C., Nauels, A., Bauer, N., Canadell, J. G., Daniel, J. S., John, A., Krummel, P. B., Luderer, G., Meinshausen, N., Montzka, S. A., Rayner, P. J., Reimann, S., Smith, S. J., van den Berg, M., Velders, G. J. M., Vollmer, M. K., and Wang, R. H. J.: The shared socio-economic pathway (SSP) greenhouse gas concentrations and their extensions to 2500, Geoscientific Model Development, 13, 3571–3605, https://doi.org/10.5194/gmd-13-3571-2020, 2020.</w:t>
      </w:r>
    </w:p>
    <w:p w14:paraId="4EBE51B3" w14:textId="77777777" w:rsidR="000E7353" w:rsidRDefault="000E7353" w:rsidP="000E7353">
      <w:pPr>
        <w:pStyle w:val="Bibliography"/>
      </w:pPr>
      <w:r>
        <w:t>Mii, H.-S. and Grossman, E. L.: Late Pennsylvanian seasonality reflected in the 18O and elemental composition of a brachiopod shell, Geology, 22, 661–664, https://doi.org/10.1130/0091-7613(1994)022%253C0661:LPSRIT%253E2.3.CO;2, 1994.</w:t>
      </w:r>
    </w:p>
    <w:p w14:paraId="76511A76" w14:textId="77777777" w:rsidR="000E7353" w:rsidRDefault="000E7353" w:rsidP="000E7353">
      <w:pPr>
        <w:pStyle w:val="Bibliography"/>
      </w:pPr>
      <w:r>
        <w:t>Okazaki, A. and Yoshimura, K.: Development and evaluation of a system of proxy data assimilation for paleoclimate reconstruction, Climate of the Past, 13, 379–393, https://doi.org/10.5194/cp-13-379-2017, 2017.</w:t>
      </w:r>
    </w:p>
    <w:p w14:paraId="20712A4A" w14:textId="77777777" w:rsidR="000E7353" w:rsidRDefault="000E7353" w:rsidP="000E7353">
      <w:pPr>
        <w:pStyle w:val="Bibliography"/>
      </w:pPr>
      <w:r>
        <w:t>Osman, M. B., Tierney, J. E., Zhu, J., Tardif, R., Hakim, G. J., King, J., and Poulsen, C. J.: Globally resolved surface temperatures since the Last Glacial Maximum, Nature, 599, 239–244, https://doi.org/10.1038/s41586-021-03984-4, 2021.</w:t>
      </w:r>
    </w:p>
    <w:p w14:paraId="30701174" w14:textId="77777777" w:rsidR="000E7353" w:rsidRDefault="000E7353" w:rsidP="000E7353">
      <w:pPr>
        <w:pStyle w:val="Bibliography"/>
      </w:pPr>
      <w:r>
        <w:t>Petersen, S. V., Defliese, W. F., Saenger, C., Daëron, M., Huntington, K. W., John, C. M., Kelson, J. R., Bernasconi, S. M., Colman, A. S., Kluge, T., Olack, G. A., Schauer, A. J., Bajnai, D., Bonifacie, M., Breitenbach, S. F. M., Fiebig, J., Fernandez, A. B., Henkes, G. A., Hodell, D., Katz, A., Kele, S., Lohmann, K. C., Passey, B. H., Peral, M. Y., Petrizzo, D. A., Rosenheim, B. E., Tripati, A., Venturelli, R., Young, E. D., and Winkelstern, I. Z.: Effects of Improved 17O Correction on Interlaboratory Agreement in Clumped Isotope Calibrations, Estimates of Mineral-Specific Offsets, and Temperature Dependence of Acid Digestion Fractionation, Geochemistry, Geophysics, Geosystems, 20, 3495–3519, https://doi.org/10.1029/2018GC008127, 2019.</w:t>
      </w:r>
    </w:p>
    <w:p w14:paraId="565A6E4C" w14:textId="77777777" w:rsidR="000E7353" w:rsidRDefault="000E7353" w:rsidP="000E7353">
      <w:pPr>
        <w:pStyle w:val="Bibliography"/>
      </w:pPr>
      <w:r>
        <w:t>Posenato, R., Crippa, G., de Winter, N. J., Frijia, G., and Kaskes, P.: Microstructures and sclerochronology of exquisitely preserved Lower Jurassic lithiotid bivalves: Paleobiological and paleoclimatic significance, Palaeogeography, Palaeoclimatology, Palaeoecology, 602, 111162, https://doi.org/10.1016/j.palaeo.2022.111162, 2022.</w:t>
      </w:r>
    </w:p>
    <w:p w14:paraId="66464DAC" w14:textId="77777777" w:rsidR="000E7353" w:rsidRDefault="000E7353" w:rsidP="000E7353">
      <w:pPr>
        <w:pStyle w:val="Bibliography"/>
      </w:pPr>
      <w:r>
        <w:t>Python Software Foundation: Python Language, 2025.</w:t>
      </w:r>
    </w:p>
    <w:p w14:paraId="321EA730" w14:textId="77777777" w:rsidR="000E7353" w:rsidRDefault="000E7353" w:rsidP="000E7353">
      <w:pPr>
        <w:pStyle w:val="Bibliography"/>
      </w:pPr>
      <w:r>
        <w:t>Railsback, L. B., Anderson, T. F., Ackerly, S. C., and Cisne, J. L.: Paleoceanographic modeling of temperature-salinity profiles from stable isotopic data, Paleoceanography, 4, 585–591, https://doi.org/10.1029/PA004i005p00585, 1989.</w:t>
      </w:r>
    </w:p>
    <w:p w14:paraId="5D009EE6" w14:textId="77777777" w:rsidR="000E7353" w:rsidRDefault="000E7353" w:rsidP="000E7353">
      <w:pPr>
        <w:pStyle w:val="Bibliography"/>
      </w:pPr>
      <w:r>
        <w:lastRenderedPageBreak/>
        <w:t>Reagan, J. R., Seidov, D., Wang, Z., Dukhovskoy, D., Boyer, T. P., Locarnini, R. A., Baranova, O. K., Mishonov, A. V., Garcia, H. E., and Bouchard, C.: World ocean atlas 2023, volume 2: salinity, 2024.</w:t>
      </w:r>
    </w:p>
    <w:p w14:paraId="7BDCBBD0" w14:textId="77777777" w:rsidR="000E7353" w:rsidRDefault="000E7353" w:rsidP="000E7353">
      <w:pPr>
        <w:pStyle w:val="Bibliography"/>
      </w:pPr>
      <w:r>
        <w:t>Sharp, Z. D. and Cerling, T. E.: Fossil isotope records of seasonal climate and ecology: straight from the horse’s mouth, Geology, 26, 219–222, 1998.</w:t>
      </w:r>
    </w:p>
    <w:p w14:paraId="5E1E07BB" w14:textId="77777777" w:rsidR="000E7353" w:rsidRDefault="000E7353" w:rsidP="000E7353">
      <w:pPr>
        <w:pStyle w:val="Bibliography"/>
      </w:pPr>
      <w:r>
        <w:t>Shi, X., Werner, M., Krug, C., Brierley, C. M., Zhao, A., Igbinosa, E., Braconnot, P., Brady, E., Cao, J., D’Agostino, R., Jungclaus, J., Liu, X., Otto-Bliesner, B., Sidorenko, D., Tomas, R., Volodin, E. M., Yang, H., Zhang, Q., Zheng, W., and Lohmann, G.: Calendar effects on surface air temperature and precipitation based on model-ensemble equilibrium and transient simulations from PMIP4 and PACMEDY, Climate of the Past, 18, 1047–1070, https://doi.org/10.5194/cp-18-1047-2022, 2022.</w:t>
      </w:r>
    </w:p>
    <w:p w14:paraId="411B83CD" w14:textId="77777777" w:rsidR="000E7353" w:rsidRDefault="000E7353" w:rsidP="000E7353">
      <w:pPr>
        <w:pStyle w:val="Bibliography"/>
      </w:pPr>
      <w:r>
        <w:t>Smithsonian Tropical Research Institute: SST Monitoring - Physical Monitoring | Smithsonian Tropical Research Institute, 2025.</w:t>
      </w:r>
    </w:p>
    <w:p w14:paraId="579C1468" w14:textId="77777777" w:rsidR="000E7353" w:rsidRDefault="000E7353" w:rsidP="000E7353">
      <w:pPr>
        <w:pStyle w:val="Bibliography"/>
      </w:pPr>
      <w:r>
        <w:t>Steiger, N. J., Hakim, G. J., Steig, E. J., Battisti, D. S., and Roe, G. H.: Assimilation of Time-Averaged Pseudoproxies for Climate Reconstruction, Journal of Climate, 27, 426–441, https://doi.org/10.1175/JCLI-D-12-00693.1, 2014.</w:t>
      </w:r>
    </w:p>
    <w:p w14:paraId="19C7B7D2" w14:textId="77777777" w:rsidR="000E7353" w:rsidRDefault="000E7353" w:rsidP="000E7353">
      <w:pPr>
        <w:pStyle w:val="Bibliography"/>
      </w:pPr>
      <w:r>
        <w:t>Tierney, J. E., Poulsen, C. J., Montañez, I. P., Bhattacharya, T., Feng, R., Ford, H. L., Hönisch, B., Inglis, G. N., Petersen, S. V., Sagoo, N., Tabor, C. R., Thirumalai, K., Zhu, J., Burls, N. J., Foster, G. L., Goddéris, Y., Huber, B. T., Ivany, L. C., Turner, S. K., Lunt, D. J., McElwain, J. C., Mills, B. J. W., Otto-Bliesner, B. L., Ridgwell, A., and Zhang, Y. G.: Past climates inform our future, Science, 370, https://doi.org/10.1126/science.aay3701, 2020.</w:t>
      </w:r>
    </w:p>
    <w:p w14:paraId="1DE3A532" w14:textId="77777777" w:rsidR="000E7353" w:rsidRDefault="000E7353" w:rsidP="000E7353">
      <w:pPr>
        <w:pStyle w:val="Bibliography"/>
      </w:pPr>
      <w:r>
        <w:t>Tierney, J. E., Judd, E. J., Osman, M. B., King, J. M., Truax, O. J., Steiger, N. J., Amrhein, D. E., and Anchukaitis, K. J.: Advances in Paleoclimate Data Assimilation, Annual Review of Earth and Planetary Sciences, 53, 625–650, https://doi.org/10.1146/annurev-earth-032320-064209, 2025.</w:t>
      </w:r>
    </w:p>
    <w:p w14:paraId="41452197" w14:textId="77777777" w:rsidR="000E7353" w:rsidRDefault="000E7353" w:rsidP="000E7353">
      <w:pPr>
        <w:pStyle w:val="Bibliography"/>
      </w:pPr>
      <w:r>
        <w:t>Van Horebeek, N., de Winter, N. J., Baatsen, M., Ziegler, M., Speijer, R. P., and Vellekoop, J.: A European monsoon-like climate in a warmhouse world, Nat Commun, 16, 9207, https://doi.org/10.1038/s41467-025-64241-0, 2025.</w:t>
      </w:r>
    </w:p>
    <w:p w14:paraId="14268110" w14:textId="77777777" w:rsidR="000E7353" w:rsidRDefault="000E7353" w:rsidP="000E7353">
      <w:pPr>
        <w:pStyle w:val="Bibliography"/>
      </w:pPr>
      <w:r>
        <w:t>Van Rampelbergh, M., Verheyden, S., Allan, M., Quinif, Y., Cheng, H., Edwards, L., Keppens, E., and Claeys, P.: A 500 year seasonally resolved δ&amp;lt;sup&amp;gt;18&amp;lt;/sup&amp;gt;O and δ&amp;lt;sup&amp;gt;13&amp;lt;/sup&amp;gt;C, layer thickness and calcite fabric record from a speleothem deposited in equilibrium of the Han-sur-Lesse cave, Belgium, Climate of the Past Discussions, 10, 4149–4190, https://doi.org/10.5194/cpd-10-4149-2014, 2014a.</w:t>
      </w:r>
    </w:p>
    <w:p w14:paraId="2432092C" w14:textId="77777777" w:rsidR="000E7353" w:rsidRDefault="000E7353" w:rsidP="000E7353">
      <w:pPr>
        <w:pStyle w:val="Bibliography"/>
      </w:pPr>
      <w:r>
        <w:t xml:space="preserve">Van Rampelbergh, M., Verheyden, S., Allan, M., Quinif, Y., Keppens, E., and Claeys, P.: Seasonal variations recorded in cave monitoring results and a 10 year monthly resolved speleothem &amp;amp;delta;&amp;lt;sup&amp;gt;18&amp;lt;/sup&amp;gt;O and &amp;amp;delta;&amp;lt;sup&amp;gt;13&amp;lt;/sup&amp;gt;C record from the Han-sur-Lesse cave, Belgium, </w:t>
      </w:r>
      <w:r>
        <w:lastRenderedPageBreak/>
        <w:t>Climate of the Past Discussions, 10, 1821–1856, https://doi.org/10.5194/cpd-10-1821-2014, 2014b.</w:t>
      </w:r>
    </w:p>
    <w:p w14:paraId="2E96A5F7" w14:textId="77777777" w:rsidR="000E7353" w:rsidRDefault="000E7353" w:rsidP="000E7353">
      <w:pPr>
        <w:pStyle w:val="Bibliography"/>
      </w:pPr>
      <w:r>
        <w:t>Vansteenberge, S., Winter, N. de, Sinnesael, M., Verheyden, S., Goderis, S., Malderen, S. J. M. V., Vanhaecke, F., and Claeys, P.: Reconstructing seasonality through stable isotope and trace element analysis of the Proserpine stalagmite, Han-sur-Lesse Cave, Belgium: indications for climate-driven changes during the last 400 years, Climate of the Past Discussions, 1–32, https://doi.org/10.5194/cp-2019-78, 2019.</w:t>
      </w:r>
    </w:p>
    <w:p w14:paraId="6469CB6C" w14:textId="77777777" w:rsidR="000E7353" w:rsidRDefault="000E7353" w:rsidP="000E7353">
      <w:pPr>
        <w:pStyle w:val="Bibliography"/>
      </w:pPr>
      <w:r>
        <w:t>Watanabe, T., Winter, A., and Oba, T.: Seasonal changes in sea surface temperature and salinity during the Little Ice Age in the Caribbean Sea deduced from Mg/Ca and 18O/16O ratios in corals, Marine Geology, 173, 21–35, 2001.</w:t>
      </w:r>
    </w:p>
    <w:p w14:paraId="49ADCE24" w14:textId="77777777" w:rsidR="000E7353" w:rsidRDefault="000E7353" w:rsidP="000E7353">
      <w:pPr>
        <w:pStyle w:val="Bibliography"/>
      </w:pPr>
      <w:r>
        <w:t>Westerhold, T., Marwan, N., Drury, A. J., Liebrand, D., Agnini, C., Anagnostou, E., Barnet, J. S. K., Bohaty, S. M., De Vleeschouwer, D., Florindo, F., Frederichs, T., Hodell, D. A., Holbourn, A. E., Kroon, D., Lauretano, V., Littler, K., Lourens, L. J., Lyle, M., Pälike, H., Röhl, U., Tian, J., Wilkens, R. H., Wilson, P. A., and Zachos, J. C.: An astronomically dated record of Earth’s climate and its predictability over the last 66 million years, Science, 369, 1383–1387, https://doi.org/10.1126/science.aba6853, 2020.</w:t>
      </w:r>
    </w:p>
    <w:p w14:paraId="2BCA281A" w14:textId="77777777" w:rsidR="000E7353" w:rsidRDefault="000E7353" w:rsidP="000E7353">
      <w:pPr>
        <w:pStyle w:val="Bibliography"/>
      </w:pPr>
      <w:r>
        <w:t>de Winter, N. J.: ShellChron 0.4.0: a new tool for constructing chronologies in accretionary carbonate archives from stable oxygen isotope profiles, Geoscientific Model Development, 15, 1247–1267, https://doi.org/10.5194/gmd-15-1247-2022, 2022.</w:t>
      </w:r>
    </w:p>
    <w:p w14:paraId="05712BF0" w14:textId="77777777" w:rsidR="000E7353" w:rsidRDefault="000E7353" w:rsidP="000E7353">
      <w:pPr>
        <w:pStyle w:val="Bibliography"/>
      </w:pPr>
      <w:r>
        <w:t>de Winter, N. J.: nielsjdewinter/SeasonalDA_script, 2025.</w:t>
      </w:r>
    </w:p>
    <w:p w14:paraId="61AF5C65" w14:textId="77777777" w:rsidR="000E7353" w:rsidRDefault="000E7353" w:rsidP="000E7353">
      <w:pPr>
        <w:pStyle w:val="Bibliography"/>
      </w:pPr>
      <w:r>
        <w:t>de Winter, N. J., Goderis, S., Dehairs, F., Jagt, J. W. M., Fraaije, R. H. B., Van Malderen, S. J. M., Vanhaecke, F., and Claeys, P.: Tropical seasonality in the late Campanian (late Cretaceous): Comparison between multiproxy records from three bivalve taxa from Oman, Palaeogeography, Palaeoclimatology, Palaeoecology, 485, 740–760, https://doi.org/10.1016/j.palaeo.2017.07.031, 2017.</w:t>
      </w:r>
    </w:p>
    <w:p w14:paraId="1F78701A" w14:textId="77777777" w:rsidR="000E7353" w:rsidRDefault="000E7353" w:rsidP="000E7353">
      <w:pPr>
        <w:pStyle w:val="Bibliography"/>
      </w:pPr>
      <w:r>
        <w:t>de Winter, N. J., Goderis, S., Malderen, S. J. M. V., Sinnesael, M., Vansteenberge, S., Snoeck, C., Belza, J., Vanhaecke, F., and Claeys, P.: Subdaily-Scale Chemical Variability in a Torreites Sanchezi Rudist Shell: Implications for Rudist Paleobiology and the Cretaceous Day-Night Cycle, Paleoceanography and Paleoclimatology, 35, e2019PA003723, https://doi.org/10.1029/2019PA003723, 2020a.</w:t>
      </w:r>
    </w:p>
    <w:p w14:paraId="6A714E04" w14:textId="77777777" w:rsidR="000E7353" w:rsidRDefault="000E7353" w:rsidP="000E7353">
      <w:pPr>
        <w:pStyle w:val="Bibliography"/>
      </w:pPr>
      <w:r>
        <w:t>de Winter, N. J., Vellekoop, J., Clark, A. J., Stassen, P., Speijer, R. P., and Claeys, P.: The giant marine gastropod Campanile giganteum (Lamarck, 1804) as a high-resolution archive of seasonality in the Eocene greenhouse world, Geochemistry, Geophysics, Geosystems, 21, e2019GC008794, https://doi.org/10.1029/2019GC008794, 2020b.</w:t>
      </w:r>
    </w:p>
    <w:p w14:paraId="17CACE9D" w14:textId="77777777" w:rsidR="000E7353" w:rsidRDefault="000E7353" w:rsidP="000E7353">
      <w:pPr>
        <w:pStyle w:val="Bibliography"/>
      </w:pPr>
      <w:r>
        <w:t>de Winter, N. J., Müller, I. A., Kocken, I. J., Thibault, N., Ullmann, C. V., Farnsworth, A., Lunt, D. J., Claeys, P., and Ziegler, M.: Absolute seasonal temperature estimates from clumped isotopes in bivalve shells suggest warm and variable greenhouse climate, Commun Earth Environ, 2, 1–8, https://doi.org/10.1038/s43247-021-00193-9, 2021.</w:t>
      </w:r>
    </w:p>
    <w:p w14:paraId="5A652ABC" w14:textId="77777777" w:rsidR="000E7353" w:rsidRDefault="000E7353" w:rsidP="000E7353">
      <w:pPr>
        <w:pStyle w:val="Bibliography"/>
      </w:pPr>
      <w:r>
        <w:lastRenderedPageBreak/>
        <w:t>de Winter, N. J., Witbaard, R., Kocken, I. J., Müller, I. A., Guo, J., Goudsmit, B., and Ziegler, M.: Temperature Dependence of Clumped Isotopes (∆47) in Aragonite, Geophysical Research Letters, 49, e2022GL099479, https://doi.org/10.1029/2022GL099479, 2022.</w:t>
      </w:r>
    </w:p>
    <w:p w14:paraId="762555FF" w14:textId="77777777" w:rsidR="000E7353" w:rsidRDefault="000E7353" w:rsidP="000E7353">
      <w:pPr>
        <w:pStyle w:val="Bibliography"/>
      </w:pPr>
      <w:r>
        <w:t>de Winter, N. J., Tindall, J., Johnson, A. L. A., Goudsmit-Harzevoort, B., Wichern, N., Kaskes, P., Claeys, P., Huygen, F., van Leeuwen, S., Metcalfe, B., Bakker, P., Goolaerts, S., Wesselingh, F., and Ziegler, M.: Amplified seasonality in western Europe in a warmer world, Science Advances, 10, eadl6717, https://doi.org/10.1126/sciadv.adl6717, 2024.</w:t>
      </w:r>
    </w:p>
    <w:p w14:paraId="398CDE7E" w14:textId="4044D1AB" w:rsidR="00B053FA" w:rsidRPr="00B053FA" w:rsidRDefault="00B053FA" w:rsidP="00B053FA">
      <w:pPr>
        <w:jc w:val="both"/>
        <w:rPr>
          <w:lang w:val="en-GB"/>
        </w:rPr>
      </w:pPr>
      <w:r>
        <w:rPr>
          <w:lang w:val="en-GB"/>
        </w:rPr>
        <w:fldChar w:fldCharType="end"/>
      </w:r>
    </w:p>
    <w:sectPr w:rsidR="00B053FA" w:rsidRPr="00B053FA" w:rsidSect="00261B2C">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inter, N.J. de (Niels)" w:date="2025-11-25T10:06:00Z" w:initials="NW">
    <w:p w14:paraId="6656059E" w14:textId="77777777" w:rsidR="001C3757" w:rsidRDefault="001C3757" w:rsidP="001C3757">
      <w:pPr>
        <w:pStyle w:val="CommentText"/>
      </w:pPr>
      <w:r>
        <w:rPr>
          <w:rStyle w:val="CommentReference"/>
        </w:rPr>
        <w:annotationRef/>
      </w:r>
      <w:r>
        <w:t>Excel file containing pre-processing of age models for Caldarescu data</w:t>
      </w:r>
    </w:p>
  </w:comment>
  <w:comment w:id="1" w:author="Winter, N.J. de (Niels)" w:date="2025-11-28T09:09:00Z" w:initials="NW">
    <w:p w14:paraId="0AC1AF12" w14:textId="77777777" w:rsidR="0006186A" w:rsidRDefault="0006186A" w:rsidP="0006186A">
      <w:pPr>
        <w:pStyle w:val="CommentText"/>
      </w:pPr>
      <w:r>
        <w:rPr>
          <w:rStyle w:val="CommentReference"/>
        </w:rPr>
        <w:annotationRef/>
      </w:r>
      <w:r>
        <w:t>Captions of F1-4 to be written out later.</w:t>
      </w:r>
    </w:p>
    <w:p w14:paraId="4365F532" w14:textId="77777777" w:rsidR="0006186A" w:rsidRDefault="0006186A" w:rsidP="0006186A">
      <w:pPr>
        <w:pStyle w:val="CommentText"/>
      </w:pPr>
    </w:p>
    <w:p w14:paraId="7360E499" w14:textId="77777777" w:rsidR="0006186A" w:rsidRDefault="0006186A" w:rsidP="0006186A">
      <w:pPr>
        <w:pStyle w:val="CommentText"/>
      </w:pPr>
      <w:r>
        <w:t>Figures 1-4 can probably be combined into one “prior + likelihood figure” if I reorganize the panels vertically and equalize the vertical axes between case studies (arranged horizontally). On the to do-list!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56059E" w15:done="0"/>
  <w15:commentEx w15:paraId="7360E4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ACECED" w16cex:dateUtc="2025-11-25T09:06:00Z"/>
  <w16cex:commentExtensible w16cex:durableId="1F1ADC9C" w16cex:dateUtc="2025-11-28T08: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56059E" w16cid:durableId="60ACECED"/>
  <w16cid:commentId w16cid:paraId="7360E499" w16cid:durableId="1F1ADC9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B69F8"/>
    <w:multiLevelType w:val="hybridMultilevel"/>
    <w:tmpl w:val="BD6A39C6"/>
    <w:lvl w:ilvl="0" w:tplc="633454E2">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3817482"/>
    <w:multiLevelType w:val="hybridMultilevel"/>
    <w:tmpl w:val="883AB6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8483050"/>
    <w:multiLevelType w:val="hybridMultilevel"/>
    <w:tmpl w:val="33164536"/>
    <w:lvl w:ilvl="0" w:tplc="54C232A4">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80934748">
    <w:abstractNumId w:val="2"/>
  </w:num>
  <w:num w:numId="2" w16cid:durableId="773672122">
    <w:abstractNumId w:val="1"/>
  </w:num>
  <w:num w:numId="3" w16cid:durableId="167248812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nter, N.J. de (Niels)">
    <w15:presenceInfo w15:providerId="AD" w15:userId="S::n.j.de.winter@vu.nl::e6504d91-0c90-4d44-8513-5500cefb27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revisionView w:formatting="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751"/>
    <w:rsid w:val="000170CD"/>
    <w:rsid w:val="000320AA"/>
    <w:rsid w:val="0006186A"/>
    <w:rsid w:val="00062C73"/>
    <w:rsid w:val="000776D2"/>
    <w:rsid w:val="00085AC6"/>
    <w:rsid w:val="00091716"/>
    <w:rsid w:val="00093AC9"/>
    <w:rsid w:val="000D1EFE"/>
    <w:rsid w:val="000E5CF5"/>
    <w:rsid w:val="000E7353"/>
    <w:rsid w:val="00107CB6"/>
    <w:rsid w:val="0013639F"/>
    <w:rsid w:val="00136807"/>
    <w:rsid w:val="00156B07"/>
    <w:rsid w:val="001726AE"/>
    <w:rsid w:val="0018512C"/>
    <w:rsid w:val="00185E85"/>
    <w:rsid w:val="001966CD"/>
    <w:rsid w:val="001A570A"/>
    <w:rsid w:val="001A621E"/>
    <w:rsid w:val="001B6F7E"/>
    <w:rsid w:val="001C0AB9"/>
    <w:rsid w:val="001C3757"/>
    <w:rsid w:val="001E293D"/>
    <w:rsid w:val="001E50D0"/>
    <w:rsid w:val="001E5F2C"/>
    <w:rsid w:val="001F00C1"/>
    <w:rsid w:val="002000F4"/>
    <w:rsid w:val="00203C6E"/>
    <w:rsid w:val="00236A83"/>
    <w:rsid w:val="00256EAA"/>
    <w:rsid w:val="00261B2C"/>
    <w:rsid w:val="00273730"/>
    <w:rsid w:val="002A7F75"/>
    <w:rsid w:val="002B4754"/>
    <w:rsid w:val="002B6CF9"/>
    <w:rsid w:val="002E575F"/>
    <w:rsid w:val="002F3751"/>
    <w:rsid w:val="0030398C"/>
    <w:rsid w:val="00305A10"/>
    <w:rsid w:val="003266CB"/>
    <w:rsid w:val="003334B1"/>
    <w:rsid w:val="003613F6"/>
    <w:rsid w:val="0036247F"/>
    <w:rsid w:val="00363145"/>
    <w:rsid w:val="003856EB"/>
    <w:rsid w:val="003A25DA"/>
    <w:rsid w:val="003C596F"/>
    <w:rsid w:val="003D0BEF"/>
    <w:rsid w:val="003D191A"/>
    <w:rsid w:val="003E7FF0"/>
    <w:rsid w:val="003F32EB"/>
    <w:rsid w:val="003F4DA4"/>
    <w:rsid w:val="004019EA"/>
    <w:rsid w:val="00402433"/>
    <w:rsid w:val="0040490B"/>
    <w:rsid w:val="00421AD2"/>
    <w:rsid w:val="00425D2F"/>
    <w:rsid w:val="0046364C"/>
    <w:rsid w:val="00471C8D"/>
    <w:rsid w:val="0047651E"/>
    <w:rsid w:val="00495FA3"/>
    <w:rsid w:val="004A6FEB"/>
    <w:rsid w:val="004F30F0"/>
    <w:rsid w:val="00505760"/>
    <w:rsid w:val="00540DB4"/>
    <w:rsid w:val="005936F0"/>
    <w:rsid w:val="005A4B7C"/>
    <w:rsid w:val="005A4F83"/>
    <w:rsid w:val="005B62E7"/>
    <w:rsid w:val="00625895"/>
    <w:rsid w:val="006630F6"/>
    <w:rsid w:val="00681201"/>
    <w:rsid w:val="006C1CEB"/>
    <w:rsid w:val="006E638A"/>
    <w:rsid w:val="00706A20"/>
    <w:rsid w:val="00735D38"/>
    <w:rsid w:val="0074454F"/>
    <w:rsid w:val="0074699D"/>
    <w:rsid w:val="00752D0A"/>
    <w:rsid w:val="007A06F2"/>
    <w:rsid w:val="007B52EE"/>
    <w:rsid w:val="007C5671"/>
    <w:rsid w:val="007D34B4"/>
    <w:rsid w:val="007D7503"/>
    <w:rsid w:val="00825877"/>
    <w:rsid w:val="00837524"/>
    <w:rsid w:val="00837DC6"/>
    <w:rsid w:val="0086160F"/>
    <w:rsid w:val="0086443C"/>
    <w:rsid w:val="008E3D79"/>
    <w:rsid w:val="008E464A"/>
    <w:rsid w:val="008F4501"/>
    <w:rsid w:val="0090670A"/>
    <w:rsid w:val="0092384B"/>
    <w:rsid w:val="0095306F"/>
    <w:rsid w:val="00953791"/>
    <w:rsid w:val="00984D32"/>
    <w:rsid w:val="009A54D2"/>
    <w:rsid w:val="009F0A30"/>
    <w:rsid w:val="009F1935"/>
    <w:rsid w:val="00A06C38"/>
    <w:rsid w:val="00A0729E"/>
    <w:rsid w:val="00A13D69"/>
    <w:rsid w:val="00A2177C"/>
    <w:rsid w:val="00A43638"/>
    <w:rsid w:val="00A83C41"/>
    <w:rsid w:val="00A8482D"/>
    <w:rsid w:val="00A90835"/>
    <w:rsid w:val="00AE4C39"/>
    <w:rsid w:val="00B053FA"/>
    <w:rsid w:val="00B14BEE"/>
    <w:rsid w:val="00B4717D"/>
    <w:rsid w:val="00B76605"/>
    <w:rsid w:val="00B844C9"/>
    <w:rsid w:val="00B9176A"/>
    <w:rsid w:val="00BB31C9"/>
    <w:rsid w:val="00BB6B72"/>
    <w:rsid w:val="00BE3504"/>
    <w:rsid w:val="00BF3E88"/>
    <w:rsid w:val="00C12DC4"/>
    <w:rsid w:val="00C34200"/>
    <w:rsid w:val="00C35FC3"/>
    <w:rsid w:val="00C42363"/>
    <w:rsid w:val="00C56E81"/>
    <w:rsid w:val="00CA4454"/>
    <w:rsid w:val="00D03063"/>
    <w:rsid w:val="00D07D4B"/>
    <w:rsid w:val="00D11201"/>
    <w:rsid w:val="00D17945"/>
    <w:rsid w:val="00D17E14"/>
    <w:rsid w:val="00D36236"/>
    <w:rsid w:val="00D550C7"/>
    <w:rsid w:val="00D91860"/>
    <w:rsid w:val="00DE1E1D"/>
    <w:rsid w:val="00DF0DC1"/>
    <w:rsid w:val="00E030B2"/>
    <w:rsid w:val="00E15706"/>
    <w:rsid w:val="00E17C34"/>
    <w:rsid w:val="00E33CA1"/>
    <w:rsid w:val="00E62E6C"/>
    <w:rsid w:val="00E64B84"/>
    <w:rsid w:val="00EA5404"/>
    <w:rsid w:val="00EE06A0"/>
    <w:rsid w:val="00EF23F4"/>
    <w:rsid w:val="00EF2CE9"/>
    <w:rsid w:val="00F20E4B"/>
    <w:rsid w:val="00F230B0"/>
    <w:rsid w:val="00F37C28"/>
    <w:rsid w:val="00F4367D"/>
    <w:rsid w:val="00F448CD"/>
    <w:rsid w:val="00F534D5"/>
    <w:rsid w:val="00F557E7"/>
    <w:rsid w:val="00F764FB"/>
    <w:rsid w:val="00F86172"/>
    <w:rsid w:val="00F86397"/>
    <w:rsid w:val="00FD10E6"/>
    <w:rsid w:val="00FE12EF"/>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01038"/>
  <w15:chartTrackingRefBased/>
  <w15:docId w15:val="{53BF2DC3-7867-4148-B920-DCFA587D6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7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37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37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37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37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37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7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7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7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7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37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37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37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37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37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7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7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751"/>
    <w:rPr>
      <w:rFonts w:eastAsiaTheme="majorEastAsia" w:cstheme="majorBidi"/>
      <w:color w:val="272727" w:themeColor="text1" w:themeTint="D8"/>
    </w:rPr>
  </w:style>
  <w:style w:type="paragraph" w:styleId="Title">
    <w:name w:val="Title"/>
    <w:basedOn w:val="Normal"/>
    <w:next w:val="Normal"/>
    <w:link w:val="TitleChar"/>
    <w:uiPriority w:val="10"/>
    <w:qFormat/>
    <w:rsid w:val="002F37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7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7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7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751"/>
    <w:pPr>
      <w:spacing w:before="160"/>
      <w:jc w:val="center"/>
    </w:pPr>
    <w:rPr>
      <w:i/>
      <w:iCs/>
      <w:color w:val="404040" w:themeColor="text1" w:themeTint="BF"/>
    </w:rPr>
  </w:style>
  <w:style w:type="character" w:customStyle="1" w:styleId="QuoteChar">
    <w:name w:val="Quote Char"/>
    <w:basedOn w:val="DefaultParagraphFont"/>
    <w:link w:val="Quote"/>
    <w:uiPriority w:val="29"/>
    <w:rsid w:val="002F3751"/>
    <w:rPr>
      <w:i/>
      <w:iCs/>
      <w:color w:val="404040" w:themeColor="text1" w:themeTint="BF"/>
    </w:rPr>
  </w:style>
  <w:style w:type="paragraph" w:styleId="ListParagraph">
    <w:name w:val="List Paragraph"/>
    <w:basedOn w:val="Normal"/>
    <w:uiPriority w:val="34"/>
    <w:qFormat/>
    <w:rsid w:val="002F3751"/>
    <w:pPr>
      <w:ind w:left="720"/>
      <w:contextualSpacing/>
    </w:pPr>
  </w:style>
  <w:style w:type="character" w:styleId="IntenseEmphasis">
    <w:name w:val="Intense Emphasis"/>
    <w:basedOn w:val="DefaultParagraphFont"/>
    <w:uiPriority w:val="21"/>
    <w:qFormat/>
    <w:rsid w:val="002F3751"/>
    <w:rPr>
      <w:i/>
      <w:iCs/>
      <w:color w:val="0F4761" w:themeColor="accent1" w:themeShade="BF"/>
    </w:rPr>
  </w:style>
  <w:style w:type="paragraph" w:styleId="IntenseQuote">
    <w:name w:val="Intense Quote"/>
    <w:basedOn w:val="Normal"/>
    <w:next w:val="Normal"/>
    <w:link w:val="IntenseQuoteChar"/>
    <w:uiPriority w:val="30"/>
    <w:qFormat/>
    <w:rsid w:val="002F37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3751"/>
    <w:rPr>
      <w:i/>
      <w:iCs/>
      <w:color w:val="0F4761" w:themeColor="accent1" w:themeShade="BF"/>
    </w:rPr>
  </w:style>
  <w:style w:type="character" w:styleId="IntenseReference">
    <w:name w:val="Intense Reference"/>
    <w:basedOn w:val="DefaultParagraphFont"/>
    <w:uiPriority w:val="32"/>
    <w:qFormat/>
    <w:rsid w:val="002F3751"/>
    <w:rPr>
      <w:b/>
      <w:bCs/>
      <w:smallCaps/>
      <w:color w:val="0F4761" w:themeColor="accent1" w:themeShade="BF"/>
      <w:spacing w:val="5"/>
    </w:rPr>
  </w:style>
  <w:style w:type="paragraph" w:styleId="Bibliography">
    <w:name w:val="Bibliography"/>
    <w:basedOn w:val="Normal"/>
    <w:next w:val="Normal"/>
    <w:uiPriority w:val="37"/>
    <w:unhideWhenUsed/>
    <w:rsid w:val="00B053FA"/>
    <w:pPr>
      <w:spacing w:after="240" w:line="240" w:lineRule="auto"/>
    </w:pPr>
  </w:style>
  <w:style w:type="character" w:styleId="CommentReference">
    <w:name w:val="annotation reference"/>
    <w:basedOn w:val="DefaultParagraphFont"/>
    <w:uiPriority w:val="99"/>
    <w:semiHidden/>
    <w:unhideWhenUsed/>
    <w:rsid w:val="004019EA"/>
    <w:rPr>
      <w:sz w:val="16"/>
      <w:szCs w:val="16"/>
    </w:rPr>
  </w:style>
  <w:style w:type="paragraph" w:styleId="CommentText">
    <w:name w:val="annotation text"/>
    <w:basedOn w:val="Normal"/>
    <w:link w:val="CommentTextChar"/>
    <w:uiPriority w:val="99"/>
    <w:unhideWhenUsed/>
    <w:rsid w:val="004019EA"/>
    <w:pPr>
      <w:spacing w:line="240" w:lineRule="auto"/>
    </w:pPr>
    <w:rPr>
      <w:sz w:val="20"/>
      <w:szCs w:val="20"/>
    </w:rPr>
  </w:style>
  <w:style w:type="character" w:customStyle="1" w:styleId="CommentTextChar">
    <w:name w:val="Comment Text Char"/>
    <w:basedOn w:val="DefaultParagraphFont"/>
    <w:link w:val="CommentText"/>
    <w:uiPriority w:val="99"/>
    <w:rsid w:val="004019EA"/>
    <w:rPr>
      <w:sz w:val="20"/>
      <w:szCs w:val="20"/>
    </w:rPr>
  </w:style>
  <w:style w:type="paragraph" w:styleId="CommentSubject">
    <w:name w:val="annotation subject"/>
    <w:basedOn w:val="CommentText"/>
    <w:next w:val="CommentText"/>
    <w:link w:val="CommentSubjectChar"/>
    <w:uiPriority w:val="99"/>
    <w:semiHidden/>
    <w:unhideWhenUsed/>
    <w:rsid w:val="004019EA"/>
    <w:rPr>
      <w:b/>
      <w:bCs/>
    </w:rPr>
  </w:style>
  <w:style w:type="character" w:customStyle="1" w:styleId="CommentSubjectChar">
    <w:name w:val="Comment Subject Char"/>
    <w:basedOn w:val="CommentTextChar"/>
    <w:link w:val="CommentSubject"/>
    <w:uiPriority w:val="99"/>
    <w:semiHidden/>
    <w:rsid w:val="004019EA"/>
    <w:rPr>
      <w:b/>
      <w:bCs/>
      <w:sz w:val="20"/>
      <w:szCs w:val="20"/>
    </w:rPr>
  </w:style>
  <w:style w:type="character" w:styleId="LineNumber">
    <w:name w:val="line number"/>
    <w:basedOn w:val="DefaultParagraphFont"/>
    <w:uiPriority w:val="99"/>
    <w:semiHidden/>
    <w:unhideWhenUsed/>
    <w:rsid w:val="00261B2C"/>
  </w:style>
  <w:style w:type="character" w:styleId="PlaceholderText">
    <w:name w:val="Placeholder Text"/>
    <w:basedOn w:val="DefaultParagraphFont"/>
    <w:uiPriority w:val="99"/>
    <w:semiHidden/>
    <w:rsid w:val="00D17E1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740E6E-19B2-406C-9ED0-D6F214062C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2570</TotalTime>
  <Pages>1</Pages>
  <Words>53909</Words>
  <Characters>307284</Characters>
  <Application>Microsoft Office Word</Application>
  <DocSecurity>0</DocSecurity>
  <Lines>2560</Lines>
  <Paragraphs>720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Winter, N.J. de (Niels)</dc:creator>
  <cp:keywords/>
  <dc:description/>
  <cp:lastModifiedBy>Winter, N.J. de (Niels)</cp:lastModifiedBy>
  <cp:revision>67</cp:revision>
  <dcterms:created xsi:type="dcterms:W3CDTF">2025-05-14T15:12:00Z</dcterms:created>
  <dcterms:modified xsi:type="dcterms:W3CDTF">2026-04-17T15:17:00Z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id="xGgMWl4E"/&gt;&lt;style id="http://www.zotero.org/styles/climate-of-the-past" hasBibliography="1" bibliographyStyleHasBeenSet="1"/&gt;&lt;prefs&gt;&lt;pref name="fieldType" value="Field"/&gt;&lt;/prefs&gt;&lt;/data&gt;</vt:lpwstr>
  </property>
</Properties>
</file>