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85A9C" w14:textId="21A86D72" w:rsidR="00BE5793" w:rsidRDefault="00000000">
      <w:pPr>
        <w:spacing w:after="60" w:line="240" w:lineRule="auto"/>
        <w:jc w:val="center"/>
        <w:rPr>
          <w:sz w:val="26"/>
          <w:szCs w:val="26"/>
        </w:rPr>
      </w:pPr>
      <w:r>
        <w:rPr>
          <w:sz w:val="26"/>
          <w:szCs w:val="26"/>
        </w:rPr>
        <w:t>DTSC 671: AI Solutions in the Cloud</w:t>
      </w:r>
      <w:r w:rsidR="00FA6DD7">
        <w:rPr>
          <w:sz w:val="26"/>
          <w:szCs w:val="26"/>
        </w:rPr>
        <w:br/>
        <w:t>Curtis Nielson</w:t>
      </w:r>
    </w:p>
    <w:p w14:paraId="3838E88A" w14:textId="77777777" w:rsidR="00BE5793" w:rsidRDefault="00BE5793">
      <w:pPr>
        <w:spacing w:after="60" w:line="240" w:lineRule="auto"/>
        <w:jc w:val="center"/>
        <w:rPr>
          <w:sz w:val="26"/>
          <w:szCs w:val="26"/>
        </w:rPr>
      </w:pPr>
    </w:p>
    <w:p w14:paraId="7A3DD61D" w14:textId="77777777" w:rsidR="00BE5793" w:rsidRDefault="00000000">
      <w:pPr>
        <w:jc w:val="center"/>
        <w:rPr>
          <w:b/>
          <w:bCs/>
          <w:sz w:val="40"/>
          <w:szCs w:val="40"/>
        </w:rPr>
      </w:pPr>
      <w:r>
        <w:rPr>
          <w:b/>
          <w:bCs/>
          <w:sz w:val="40"/>
          <w:szCs w:val="40"/>
        </w:rPr>
        <w:t>RAG with Amazon Bedrock Knowledge Bases</w:t>
      </w:r>
    </w:p>
    <w:p w14:paraId="69A3383D" w14:textId="77777777" w:rsidR="00BE5793" w:rsidRDefault="00BE5793">
      <w:bookmarkStart w:id="0" w:name="_l4n7e7lhizal" w:colFirst="0" w:colLast="0"/>
      <w:bookmarkEnd w:id="0"/>
    </w:p>
    <w:p w14:paraId="085F48CD" w14:textId="345BD9A8" w:rsidR="00BE5793" w:rsidRDefault="00000000" w:rsidP="00FA6DD7">
      <w:pPr>
        <w:pStyle w:val="Heading1"/>
      </w:pPr>
      <w:bookmarkStart w:id="1" w:name="_lfrpe7aqla4b" w:colFirst="0" w:colLast="0"/>
      <w:bookmarkStart w:id="2" w:name="_p33j9my1ia4y" w:colFirst="0" w:colLast="0"/>
      <w:bookmarkStart w:id="3" w:name="_wjyz2znw5b73" w:colFirst="0" w:colLast="0"/>
      <w:bookmarkStart w:id="4" w:name="_fyuqlfhhif57" w:colFirst="0" w:colLast="0"/>
      <w:bookmarkStart w:id="5" w:name="_mlachp7y3a7d" w:colFirst="0" w:colLast="0"/>
      <w:bookmarkEnd w:id="1"/>
      <w:bookmarkEnd w:id="2"/>
      <w:bookmarkEnd w:id="3"/>
      <w:bookmarkEnd w:id="4"/>
      <w:bookmarkEnd w:id="5"/>
      <w:r>
        <w:t>Submission</w:t>
      </w:r>
    </w:p>
    <w:p w14:paraId="0E33EF61" w14:textId="77777777" w:rsidR="00BE5793" w:rsidRDefault="00000000" w:rsidP="00FA6DD7">
      <w:pPr>
        <w:numPr>
          <w:ilvl w:val="0"/>
          <w:numId w:val="7"/>
        </w:numPr>
        <w:spacing w:line="360" w:lineRule="auto"/>
      </w:pPr>
      <w:r>
        <w:rPr>
          <w:b/>
          <w:bCs/>
        </w:rPr>
        <w:t xml:space="preserve">(10 pts) Introduction </w:t>
      </w:r>
      <w:r>
        <w:t>(introduce the topic that connects all the source documents)</w:t>
      </w:r>
    </w:p>
    <w:p w14:paraId="56BB1D9C" w14:textId="77777777" w:rsidR="002D649D" w:rsidRDefault="002D649D" w:rsidP="002D649D">
      <w:pPr>
        <w:spacing w:line="360" w:lineRule="auto"/>
      </w:pPr>
    </w:p>
    <w:p w14:paraId="104AA817" w14:textId="6DD39A4E" w:rsidR="00D46DF2" w:rsidRDefault="00D46DF2" w:rsidP="00D46DF2">
      <w:pPr>
        <w:spacing w:line="360" w:lineRule="auto"/>
      </w:pPr>
      <w:r>
        <w:t xml:space="preserve">I have been employed by 3M Health Information Systems (HIS) for several years. Originally a division within 3M's Health Care Business Group, HIS became part of Solventum when 3M spun off its </w:t>
      </w:r>
      <w:r w:rsidR="00270D79">
        <w:t xml:space="preserve">various </w:t>
      </w:r>
      <w:r>
        <w:t xml:space="preserve">healthcare </w:t>
      </w:r>
      <w:r w:rsidR="00270D79">
        <w:t xml:space="preserve">divisions </w:t>
      </w:r>
      <w:r>
        <w:t xml:space="preserve">into an independent </w:t>
      </w:r>
      <w:r>
        <w:t xml:space="preserve">business </w:t>
      </w:r>
      <w:r>
        <w:t xml:space="preserve">in April 2024. </w:t>
      </w:r>
      <w:r>
        <w:t>A few weeks ago</w:t>
      </w:r>
      <w:r>
        <w:t>, Solventum announced its intent to separate the HIS division</w:t>
      </w:r>
      <w:r>
        <w:t xml:space="preserve"> through </w:t>
      </w:r>
      <w:r>
        <w:t>a strategic sale or an independent spin-off.</w:t>
      </w:r>
    </w:p>
    <w:p w14:paraId="1B1F3B3F" w14:textId="77777777" w:rsidR="00D46DF2" w:rsidRDefault="00D46DF2" w:rsidP="00D46DF2">
      <w:pPr>
        <w:spacing w:line="360" w:lineRule="auto"/>
      </w:pPr>
    </w:p>
    <w:p w14:paraId="6FBEE003" w14:textId="0617E585" w:rsidR="00FA6DD7" w:rsidRDefault="00D46DF2" w:rsidP="00D46DF2">
      <w:pPr>
        <w:spacing w:line="360" w:lineRule="auto"/>
      </w:pPr>
      <w:r>
        <w:t xml:space="preserve">The documents </w:t>
      </w:r>
      <w:r>
        <w:t xml:space="preserve">collected for this </w:t>
      </w:r>
      <w:r>
        <w:t xml:space="preserve">project focus on this proposed separation. </w:t>
      </w:r>
      <w:r>
        <w:t xml:space="preserve">They include </w:t>
      </w:r>
      <w:r>
        <w:t>public SEC filings, official corporate announcements, and published opinion pieces</w:t>
      </w:r>
      <w:r>
        <w:t xml:space="preserve">.  </w:t>
      </w:r>
      <w:r>
        <w:t>These materials present arguments both for and against the separation, reflecting the analysis of industry experts, thought leaders, and other key stakeholders.</w:t>
      </w:r>
    </w:p>
    <w:p w14:paraId="25C1E15D" w14:textId="77777777" w:rsidR="00D46DF2" w:rsidRDefault="00D46DF2" w:rsidP="00D46DF2">
      <w:pPr>
        <w:spacing w:line="360" w:lineRule="auto"/>
      </w:pPr>
    </w:p>
    <w:p w14:paraId="79730692" w14:textId="77777777" w:rsidR="00BE5793" w:rsidRDefault="00000000" w:rsidP="00FA6DD7">
      <w:pPr>
        <w:numPr>
          <w:ilvl w:val="0"/>
          <w:numId w:val="7"/>
        </w:numPr>
        <w:spacing w:line="360" w:lineRule="auto"/>
      </w:pPr>
      <w:r>
        <w:rPr>
          <w:b/>
          <w:bCs/>
        </w:rPr>
        <w:t>(10 pts) Brief Description</w:t>
      </w:r>
      <w:r>
        <w:t xml:space="preserve"> of each source document with citation or web address</w:t>
      </w:r>
    </w:p>
    <w:p w14:paraId="5EFDBABB" w14:textId="77777777" w:rsidR="00643794" w:rsidRDefault="00643794" w:rsidP="00643794">
      <w:pPr>
        <w:spacing w:line="360" w:lineRule="auto"/>
      </w:pPr>
    </w:p>
    <w:p w14:paraId="5579FE12" w14:textId="77777777" w:rsidR="00F50839" w:rsidRPr="00F50839" w:rsidRDefault="00000000">
      <w:pPr>
        <w:spacing w:line="360" w:lineRule="auto"/>
        <w:rPr>
          <w:b/>
          <w:bCs/>
        </w:rPr>
      </w:pPr>
      <w:r>
        <w:t>Below are the r</w:t>
      </w:r>
      <w:r>
        <w:t>eferences</w:t>
      </w:r>
      <w:r>
        <w:t xml:space="preserve"> use</w:t>
      </w:r>
      <w:r>
        <w:t xml:space="preserve">d. </w:t>
      </w:r>
      <w:r>
        <w:t xml:space="preserve">Many are </w:t>
      </w:r>
      <w:r>
        <w:t>inv</w:t>
      </w:r>
      <w:r>
        <w:t xml:space="preserve">estor announcements </w:t>
      </w:r>
      <w:r>
        <w:t xml:space="preserve">and </w:t>
      </w:r>
      <w:proofErr w:type="gramStart"/>
      <w:r>
        <w:t>requ</w:t>
      </w:r>
      <w:r>
        <w:t>i</w:t>
      </w:r>
      <w:r>
        <w:t>re</w:t>
      </w:r>
      <w:r>
        <w:t>d</w:t>
      </w:r>
      <w:proofErr w:type="gramEnd"/>
      <w:r>
        <w:t xml:space="preserve"> </w:t>
      </w:r>
      <w:r>
        <w:t>SEC fil</w:t>
      </w:r>
      <w:r>
        <w:t xml:space="preserve">ing reports </w:t>
      </w:r>
      <w:r w:rsidR="00014236" w:rsidRPr="00014236">
        <w:t>that</w:t>
      </w:r>
      <w:r>
        <w:t xml:space="preserve"> </w:t>
      </w:r>
      <w:r>
        <w:t xml:space="preserve">provide </w:t>
      </w:r>
      <w:r>
        <w:t xml:space="preserve">financial and </w:t>
      </w:r>
      <w:r>
        <w:t>corpor</w:t>
      </w:r>
      <w:r>
        <w:t xml:space="preserve">ate </w:t>
      </w:r>
      <w:r>
        <w:t>str</w:t>
      </w:r>
      <w:r>
        <w:t>ucture</w:t>
      </w:r>
      <w:r>
        <w:t xml:space="preserve"> updates</w:t>
      </w:r>
      <w:r>
        <w:t xml:space="preserve">. </w:t>
      </w:r>
      <w:r>
        <w:t>These docu</w:t>
      </w:r>
      <w:r>
        <w:t xml:space="preserve">ments </w:t>
      </w:r>
      <w:r w:rsidR="00014236" w:rsidRPr="00014236">
        <w:t>identify</w:t>
      </w:r>
      <w:r>
        <w:t xml:space="preserve"> </w:t>
      </w:r>
      <w:r>
        <w:t>Solventum Corporation</w:t>
      </w:r>
      <w:r>
        <w:t xml:space="preserve"> as the autho</w:t>
      </w:r>
      <w:r>
        <w:t>r</w:t>
      </w:r>
      <w:r>
        <w:t>.</w:t>
      </w:r>
      <w:r>
        <w:t xml:space="preserve"> </w:t>
      </w:r>
      <w:r>
        <w:t xml:space="preserve">The </w:t>
      </w:r>
      <w:r>
        <w:t xml:space="preserve">remaining </w:t>
      </w:r>
      <w:r>
        <w:t>document</w:t>
      </w:r>
      <w:r>
        <w:t xml:space="preserve">s </w:t>
      </w:r>
      <w:r>
        <w:t xml:space="preserve">are </w:t>
      </w:r>
      <w:r>
        <w:t xml:space="preserve">from financial </w:t>
      </w:r>
      <w:r>
        <w:t>institutions</w:t>
      </w:r>
      <w:r>
        <w:t xml:space="preserve">, </w:t>
      </w:r>
      <w:r>
        <w:t>financial</w:t>
      </w:r>
      <w:r>
        <w:t>ly</w:t>
      </w:r>
      <w:r>
        <w:t xml:space="preserve"> focused media outlets, and </w:t>
      </w:r>
      <w:r>
        <w:t>large investor</w:t>
      </w:r>
      <w:r>
        <w:t xml:space="preserve"> organizations</w:t>
      </w:r>
      <w:r>
        <w:t xml:space="preserve"> </w:t>
      </w:r>
      <w:r w:rsidR="00014236" w:rsidRPr="00014236">
        <w:t>that</w:t>
      </w:r>
      <w:r>
        <w:t xml:space="preserve"> hav</w:t>
      </w:r>
      <w:r>
        <w:t xml:space="preserve">e </w:t>
      </w:r>
      <w:r>
        <w:t>prominent</w:t>
      </w:r>
      <w:r>
        <w:t xml:space="preserve"> </w:t>
      </w:r>
      <w:r>
        <w:t>opinion</w:t>
      </w:r>
      <w:r>
        <w:t xml:space="preserve">s </w:t>
      </w:r>
      <w:r>
        <w:t>on</w:t>
      </w:r>
      <w:r>
        <w:t xml:space="preserve"> the subject</w:t>
      </w:r>
      <w:r>
        <w:t>.</w:t>
      </w:r>
    </w:p>
    <w:p w14:paraId="67E04A48" w14:textId="1D908559" w:rsidR="009B2F02" w:rsidRDefault="009B2F02">
      <w:r>
        <w:br w:type="page"/>
      </w:r>
    </w:p>
    <w:p w14:paraId="54578EB5" w14:textId="7940D396" w:rsidR="00C545BC" w:rsidRPr="00C545BC" w:rsidRDefault="00C545BC" w:rsidP="00E31DCF">
      <w:pPr>
        <w:spacing w:line="360" w:lineRule="auto"/>
        <w:rPr>
          <w:b/>
          <w:bCs/>
        </w:rPr>
      </w:pPr>
      <w:r w:rsidRPr="00C545BC">
        <w:rPr>
          <w:b/>
          <w:bCs/>
        </w:rPr>
        <w:lastRenderedPageBreak/>
        <w:t xml:space="preserve">References </w:t>
      </w:r>
      <w:r w:rsidR="009B2F02">
        <w:rPr>
          <w:b/>
          <w:bCs/>
        </w:rPr>
        <w:br/>
      </w:r>
    </w:p>
    <w:p w14:paraId="5E75184A" w14:textId="775D60CD" w:rsidR="00E31DCF" w:rsidRDefault="00E31DCF" w:rsidP="00E31DCF">
      <w:pPr>
        <w:spacing w:line="360" w:lineRule="auto"/>
      </w:pPr>
      <w:r>
        <w:t xml:space="preserve">Earnings Anatomy. (2026, March 6). Solventum (SOLV) 2025 10-K: Analyzing the 3M spin-off and debt paydown. Earnings Anatomy. Retrieved September 13, 2026, from </w:t>
      </w:r>
      <w:hyperlink r:id="rId7" w:history="1">
        <w:r w:rsidRPr="00A94A36">
          <w:rPr>
            <w:rStyle w:val="Hyperlink"/>
          </w:rPr>
          <w:t>https://earningsanatomy.com/blogs/solventum-solv-2025-10k-analysis-3m-sp</w:t>
        </w:r>
        <w:r w:rsidRPr="00A94A36">
          <w:rPr>
            <w:rStyle w:val="Hyperlink"/>
          </w:rPr>
          <w:t>i</w:t>
        </w:r>
        <w:r w:rsidRPr="00A94A36">
          <w:rPr>
            <w:rStyle w:val="Hyperlink"/>
          </w:rPr>
          <w:t>noff</w:t>
        </w:r>
      </w:hyperlink>
    </w:p>
    <w:p w14:paraId="0DF2F220" w14:textId="77777777" w:rsidR="00E31DCF" w:rsidRDefault="00E31DCF" w:rsidP="00E31DCF">
      <w:pPr>
        <w:spacing w:line="360" w:lineRule="auto"/>
      </w:pPr>
    </w:p>
    <w:p w14:paraId="5B18DE9F" w14:textId="480DB03E" w:rsidR="00E31DCF" w:rsidRDefault="00E31DCF" w:rsidP="00E31DCF">
      <w:pPr>
        <w:spacing w:line="360" w:lineRule="auto"/>
      </w:pPr>
      <w:r>
        <w:t xml:space="preserve">Solventum Corporation. (2024, February 20). Registration statement on Form 10 and information statement. U.S. Securities and Exchange Commission. Retrieved September 13, 2026, from </w:t>
      </w:r>
      <w:hyperlink r:id="rId8" w:history="1">
        <w:r w:rsidRPr="00A94A36">
          <w:rPr>
            <w:rStyle w:val="Hyperlink"/>
          </w:rPr>
          <w:t>https://filecache.investorroom.com/mr5ir_3mspinco/153/Solventum_Form_10.pdf</w:t>
        </w:r>
      </w:hyperlink>
    </w:p>
    <w:p w14:paraId="64216CC6" w14:textId="77777777" w:rsidR="00E31DCF" w:rsidRDefault="00E31DCF" w:rsidP="00E31DCF">
      <w:pPr>
        <w:spacing w:line="360" w:lineRule="auto"/>
      </w:pPr>
    </w:p>
    <w:p w14:paraId="7156E129" w14:textId="3578A81E" w:rsidR="00E31DCF" w:rsidRDefault="00E31DCF" w:rsidP="00E31DCF">
      <w:pPr>
        <w:spacing w:line="360" w:lineRule="auto"/>
      </w:pPr>
      <w:r>
        <w:t xml:space="preserve">Solventum Corporation. (2025, March 20). Investor Day transcript. Solventum Investor Relations. Retrieved September 13, 2026, from </w:t>
      </w:r>
      <w:hyperlink r:id="rId9" w:history="1">
        <w:r w:rsidRPr="00A94A36">
          <w:rPr>
            <w:rStyle w:val="Hyperlink"/>
          </w:rPr>
          <w:t>https://investors.solventum.com/_assets/_126b32dd547e00c41e5837743bc3789f/solventum/db/3711/35149/file/SOLV_2025%2BInvestor%2BDay%2BTranscript%2B-%2BvF.pdf</w:t>
        </w:r>
      </w:hyperlink>
    </w:p>
    <w:p w14:paraId="2D08DE0D" w14:textId="77777777" w:rsidR="00E31DCF" w:rsidRDefault="00E31DCF" w:rsidP="00E31DCF">
      <w:pPr>
        <w:spacing w:line="360" w:lineRule="auto"/>
      </w:pPr>
    </w:p>
    <w:p w14:paraId="2B8A1147" w14:textId="6141B39F" w:rsidR="00E31DCF" w:rsidRDefault="00E31DCF" w:rsidP="00E31DCF">
      <w:pPr>
        <w:spacing w:line="360" w:lineRule="auto"/>
      </w:pPr>
      <w:r>
        <w:t xml:space="preserve">Solventum Corporation. (2026). Annual report (Form 10-K) for fiscal year 2025. U.S. Securities and Exchange Commission. Retrieved September 13, 2026, from </w:t>
      </w:r>
      <w:hyperlink r:id="rId10" w:history="1">
        <w:r w:rsidRPr="00A94A36">
          <w:rPr>
            <w:rStyle w:val="Hyperlink"/>
          </w:rPr>
          <w:t>https://investors.solventum.com/financials/sec-filings</w:t>
        </w:r>
      </w:hyperlink>
    </w:p>
    <w:p w14:paraId="69F6BEAD" w14:textId="77777777" w:rsidR="00E31DCF" w:rsidRDefault="00E31DCF" w:rsidP="00E31DCF">
      <w:pPr>
        <w:spacing w:line="360" w:lineRule="auto"/>
      </w:pPr>
    </w:p>
    <w:p w14:paraId="6AC5AD07" w14:textId="0C5C47EE" w:rsidR="00E31DCF" w:rsidRDefault="00E31DCF" w:rsidP="00E31DCF">
      <w:pPr>
        <w:spacing w:line="360" w:lineRule="auto"/>
      </w:pPr>
      <w:r>
        <w:t xml:space="preserve">Solventum Corporation. (2026, August 5). Q2 2026 shareholder letter. Solventum Investor Relations. Retrieved September 13, 2026, from </w:t>
      </w:r>
      <w:hyperlink r:id="rId11" w:history="1">
        <w:r w:rsidRPr="00A94A36">
          <w:rPr>
            <w:rStyle w:val="Hyperlink"/>
          </w:rPr>
          <w:t>https://investors.solventum.com/news-events/events-presentations/detail/20260805-q2-2026-earnings</w:t>
        </w:r>
      </w:hyperlink>
    </w:p>
    <w:p w14:paraId="3C8BD663" w14:textId="77777777" w:rsidR="00E31DCF" w:rsidRDefault="00E31DCF" w:rsidP="00E31DCF">
      <w:pPr>
        <w:spacing w:line="360" w:lineRule="auto"/>
      </w:pPr>
    </w:p>
    <w:p w14:paraId="5BAC5CB8" w14:textId="1F72CB19" w:rsidR="00E31DCF" w:rsidRDefault="00E31DCF" w:rsidP="00E31DCF">
      <w:pPr>
        <w:spacing w:line="360" w:lineRule="auto"/>
      </w:pPr>
      <w:r>
        <w:t xml:space="preserve">Solventum Corporation. (2026, August 5). Q2 FY26 earnings call transcript. Solventum Investor Relations. Retrieved September 13, 2026, from </w:t>
      </w:r>
      <w:hyperlink r:id="rId12" w:history="1">
        <w:r w:rsidRPr="00A94A36">
          <w:rPr>
            <w:rStyle w:val="Hyperlink"/>
          </w:rPr>
          <w:t>https://investors.solventum.com/_assets/_e78219b3b8d85afd378d4f5177fcf8a7/solventum/db/3734/35343/webcast_transcript/SOLV_2Q26+Earnings+Transcript_08052026_vF.pdf</w:t>
        </w:r>
      </w:hyperlink>
    </w:p>
    <w:p w14:paraId="7E6DE6FE" w14:textId="77777777" w:rsidR="00E31DCF" w:rsidRDefault="00E31DCF" w:rsidP="00E31DCF">
      <w:pPr>
        <w:spacing w:line="360" w:lineRule="auto"/>
      </w:pPr>
    </w:p>
    <w:p w14:paraId="59438A8B" w14:textId="6A62BA5D" w:rsidR="00E31DCF" w:rsidRDefault="00E31DCF" w:rsidP="00E31DCF">
      <w:pPr>
        <w:spacing w:line="360" w:lineRule="auto"/>
      </w:pPr>
      <w:r>
        <w:t xml:space="preserve">Solventum Corporation. (2026, August 5). Quarterly report (Form 10-Q) for the quarter ended June 30, 2026. U.S. Securities and Exchange Commission. Retrieved September 13, 2026, from </w:t>
      </w:r>
      <w:hyperlink r:id="rId13" w:history="1">
        <w:r w:rsidRPr="00A94A36">
          <w:rPr>
            <w:rStyle w:val="Hyperlink"/>
          </w:rPr>
          <w:t>https://investors.solventum.com/financials/sec-filings</w:t>
        </w:r>
      </w:hyperlink>
    </w:p>
    <w:p w14:paraId="0F26E279" w14:textId="77777777" w:rsidR="00E31DCF" w:rsidRDefault="00E31DCF" w:rsidP="00E31DCF">
      <w:pPr>
        <w:spacing w:line="360" w:lineRule="auto"/>
      </w:pPr>
    </w:p>
    <w:p w14:paraId="61CAE59E" w14:textId="462589C0" w:rsidR="00E31DCF" w:rsidRDefault="00E31DCF" w:rsidP="00E31DCF">
      <w:pPr>
        <w:spacing w:line="360" w:lineRule="auto"/>
      </w:pPr>
      <w:r>
        <w:t xml:space="preserve">Squire, K. (2024, July 27). Activist Trian has a few levers to pull to build shareholder value at Solventum. CNBC. Retrieved September 13, 2026, from </w:t>
      </w:r>
      <w:hyperlink r:id="rId14" w:history="1">
        <w:r w:rsidRPr="00A94A36">
          <w:rPr>
            <w:rStyle w:val="Hyperlink"/>
          </w:rPr>
          <w:t>https://www.cnbc.com/2024/07/27/activist-t</w:t>
        </w:r>
        <w:r w:rsidRPr="00A94A36">
          <w:rPr>
            <w:rStyle w:val="Hyperlink"/>
          </w:rPr>
          <w:t>r</w:t>
        </w:r>
        <w:r w:rsidRPr="00A94A36">
          <w:rPr>
            <w:rStyle w:val="Hyperlink"/>
          </w:rPr>
          <w:t>ian-has-a-few-levers-to-pull-to-build-shareholder-value-at-solventum.html</w:t>
        </w:r>
      </w:hyperlink>
    </w:p>
    <w:p w14:paraId="3FD7B7F0" w14:textId="77777777" w:rsidR="00E31DCF" w:rsidRDefault="00E31DCF" w:rsidP="00E31DCF">
      <w:pPr>
        <w:spacing w:line="360" w:lineRule="auto"/>
      </w:pPr>
    </w:p>
    <w:p w14:paraId="51B84E59" w14:textId="3A333601" w:rsidR="00E31DCF" w:rsidRDefault="00E31DCF" w:rsidP="00E31DCF">
      <w:pPr>
        <w:spacing w:line="360" w:lineRule="auto"/>
      </w:pPr>
      <w:r>
        <w:t xml:space="preserve">Trian Fund Management, L.P. (2025, January 8). Trian issues open letter to Solventum shareholders. Retrieved September 13, 2026, from </w:t>
      </w:r>
      <w:hyperlink r:id="rId15" w:history="1">
        <w:r w:rsidRPr="00A94A36">
          <w:rPr>
            <w:rStyle w:val="Hyperlink"/>
          </w:rPr>
          <w:t>https://trianpartners.com/wp-content/uploads/2025/01/2025-01-08-SOLV-Shareholder-Let</w:t>
        </w:r>
        <w:r w:rsidRPr="00A94A36">
          <w:rPr>
            <w:rStyle w:val="Hyperlink"/>
          </w:rPr>
          <w:t>t</w:t>
        </w:r>
        <w:r w:rsidRPr="00A94A36">
          <w:rPr>
            <w:rStyle w:val="Hyperlink"/>
          </w:rPr>
          <w:t>er-Release.pdf</w:t>
        </w:r>
      </w:hyperlink>
    </w:p>
    <w:p w14:paraId="26A29635" w14:textId="77777777" w:rsidR="00E31DCF" w:rsidRDefault="00E31DCF" w:rsidP="00E31DCF">
      <w:pPr>
        <w:spacing w:line="360" w:lineRule="auto"/>
      </w:pPr>
    </w:p>
    <w:p w14:paraId="42AA6246" w14:textId="52BEB8C1" w:rsidR="00643794" w:rsidRDefault="00E31DCF" w:rsidP="00E31DCF">
      <w:pPr>
        <w:spacing w:line="360" w:lineRule="auto"/>
      </w:pPr>
      <w:r>
        <w:t xml:space="preserve">Trian Fund Management, L.P. (2026, April 30). Trian calls on Solventum's board to create value: Publishes open letter and slide deck. Retrieved September 13, 2026, from </w:t>
      </w:r>
      <w:hyperlink r:id="rId16" w:history="1">
        <w:r w:rsidRPr="00A94A36">
          <w:rPr>
            <w:rStyle w:val="Hyperlink"/>
          </w:rPr>
          <w:t>https://trianpartners.com/wp-content/uploads/2026/04/Trian-Calls-on-Solventums-Board-to-Create-Value_-Publishes-Open-Letter-and-Slide-De</w:t>
        </w:r>
        <w:r w:rsidRPr="00A94A36">
          <w:rPr>
            <w:rStyle w:val="Hyperlink"/>
          </w:rPr>
          <w:t>c</w:t>
        </w:r>
        <w:r w:rsidRPr="00A94A36">
          <w:rPr>
            <w:rStyle w:val="Hyperlink"/>
          </w:rPr>
          <w:t>k-Combined-Wrap-Letter-Slides.pdf</w:t>
        </w:r>
      </w:hyperlink>
    </w:p>
    <w:p w14:paraId="783B45D9" w14:textId="77777777" w:rsidR="00E31DCF" w:rsidRDefault="00E31DCF" w:rsidP="00E31DCF">
      <w:pPr>
        <w:spacing w:line="360" w:lineRule="auto"/>
      </w:pPr>
    </w:p>
    <w:p w14:paraId="4CD00C6E" w14:textId="77777777" w:rsidR="00BE5793" w:rsidRDefault="00000000" w:rsidP="00FA6DD7">
      <w:pPr>
        <w:numPr>
          <w:ilvl w:val="1"/>
          <w:numId w:val="7"/>
        </w:numPr>
        <w:spacing w:line="360" w:lineRule="auto"/>
        <w:rPr>
          <w:b/>
          <w:bCs/>
        </w:rPr>
      </w:pPr>
      <w:r>
        <w:rPr>
          <w:b/>
          <w:bCs/>
        </w:rPr>
        <w:t>(30 pts) Prompt and Responses</w:t>
      </w:r>
    </w:p>
    <w:p w14:paraId="61D97BF1" w14:textId="6E10E318" w:rsidR="009B2F02" w:rsidRDefault="00000000" w:rsidP="009B2F02">
      <w:pPr>
        <w:numPr>
          <w:ilvl w:val="2"/>
          <w:numId w:val="7"/>
        </w:numPr>
        <w:spacing w:line="360" w:lineRule="auto"/>
      </w:pPr>
      <w:r>
        <w:t>Your prompt to RAG system</w:t>
      </w:r>
    </w:p>
    <w:p w14:paraId="6648DD7F" w14:textId="39934561" w:rsidR="00F50839" w:rsidRPr="009B2F02" w:rsidRDefault="009B2F02" w:rsidP="009B2F02">
      <w:pPr>
        <w:spacing w:line="360" w:lineRule="auto"/>
        <w:rPr>
          <w:b/>
          <w:bCs/>
        </w:rPr>
      </w:pPr>
      <w:r w:rsidRPr="009B2F02">
        <w:rPr>
          <w:rFonts w:ascii="Roboto" w:hAnsi="Roboto"/>
          <w:b/>
          <w:bCs/>
          <w:color w:val="0F141A"/>
          <w:sz w:val="21"/>
          <w:szCs w:val="21"/>
          <w:shd w:val="clear" w:color="auto" w:fill="FCFCFD"/>
        </w:rPr>
        <w:t>What are the top 3 arguments for and against separating HIS from Solventum?</w:t>
      </w:r>
    </w:p>
    <w:p w14:paraId="6842FFF0" w14:textId="77777777" w:rsidR="009B2F02" w:rsidRPr="00F50839" w:rsidRDefault="009B2F02" w:rsidP="009B2F02">
      <w:pPr>
        <w:spacing w:line="360" w:lineRule="auto"/>
        <w:ind w:left="1080" w:firstLine="720"/>
      </w:pPr>
    </w:p>
    <w:p w14:paraId="01034833" w14:textId="4FF1E195" w:rsidR="00F50839" w:rsidRDefault="00000000" w:rsidP="00F50839">
      <w:pPr>
        <w:numPr>
          <w:ilvl w:val="2"/>
          <w:numId w:val="7"/>
        </w:numPr>
        <w:spacing w:line="360" w:lineRule="auto"/>
      </w:pPr>
      <w:r>
        <w:t>Copy-pasted RAG response</w:t>
      </w:r>
    </w:p>
    <w:p w14:paraId="749C8214" w14:textId="77777777" w:rsidR="00F50839" w:rsidRDefault="00F50839" w:rsidP="00F50839">
      <w:pPr>
        <w:spacing w:line="360" w:lineRule="auto"/>
      </w:pPr>
    </w:p>
    <w:p w14:paraId="008C3868" w14:textId="77777777" w:rsidR="009B2F02" w:rsidRPr="009B2F02" w:rsidRDefault="009B2F02" w:rsidP="009B2F02">
      <w:pPr>
        <w:spacing w:line="360" w:lineRule="auto"/>
        <w:rPr>
          <w:lang w:val="en-US"/>
        </w:rPr>
      </w:pPr>
      <w:r w:rsidRPr="009B2F02">
        <w:rPr>
          <w:b/>
          <w:bCs/>
          <w:lang w:val="en-US"/>
        </w:rPr>
        <w:t>Top 3 Arguments FOR Separating HIS from Solventum:</w:t>
      </w:r>
    </w:p>
    <w:p w14:paraId="1E5C9040" w14:textId="77777777" w:rsidR="009B2F02" w:rsidRPr="009B2F02" w:rsidRDefault="009B2F02" w:rsidP="009B2F02">
      <w:pPr>
        <w:numPr>
          <w:ilvl w:val="0"/>
          <w:numId w:val="14"/>
        </w:numPr>
        <w:spacing w:line="360" w:lineRule="auto"/>
        <w:rPr>
          <w:lang w:val="en-US"/>
        </w:rPr>
      </w:pPr>
      <w:r w:rsidRPr="009B2F02">
        <w:rPr>
          <w:b/>
          <w:bCs/>
          <w:lang w:val="en-US"/>
        </w:rPr>
        <w:t>Strategic Fit &amp; Value Creation:</w:t>
      </w:r>
      <w:r w:rsidRPr="009B2F02">
        <w:rPr>
          <w:lang w:val="en-US"/>
        </w:rPr>
        <w:t xml:space="preserve"> HIS is considered non-core to Solventum's primary </w:t>
      </w:r>
      <w:proofErr w:type="spellStart"/>
      <w:r w:rsidRPr="009B2F02">
        <w:rPr>
          <w:lang w:val="en-US"/>
        </w:rPr>
        <w:t>MedSurg</w:t>
      </w:r>
      <w:proofErr w:type="spellEnd"/>
      <w:r w:rsidRPr="009B2F02">
        <w:rPr>
          <w:lang w:val="en-US"/>
        </w:rPr>
        <w:t xml:space="preserve"> business. It is believed that HIS can create greater value outside of Solventum, either as an independent company or combined with a scaled player in the software space, particularly given the rapidly changing AI landscape.</w:t>
      </w:r>
    </w:p>
    <w:p w14:paraId="6016B001" w14:textId="77777777" w:rsidR="009B2F02" w:rsidRPr="009B2F02" w:rsidRDefault="009B2F02" w:rsidP="009B2F02">
      <w:pPr>
        <w:numPr>
          <w:ilvl w:val="0"/>
          <w:numId w:val="14"/>
        </w:numPr>
        <w:spacing w:line="360" w:lineRule="auto"/>
        <w:rPr>
          <w:lang w:val="en-US"/>
        </w:rPr>
      </w:pPr>
      <w:r w:rsidRPr="009B2F02">
        <w:rPr>
          <w:b/>
          <w:bCs/>
          <w:lang w:val="en-US"/>
        </w:rPr>
        <w:t>Focus &amp; Resource Allocation:</w:t>
      </w:r>
      <w:r w:rsidRPr="009B2F02">
        <w:rPr>
          <w:lang w:val="en-US"/>
        </w:rPr>
        <w:t xml:space="preserve"> Separating HIS would make Solventum a more dedicated MedTech company, sharpening focus on </w:t>
      </w:r>
      <w:proofErr w:type="spellStart"/>
      <w:r w:rsidRPr="009B2F02">
        <w:rPr>
          <w:lang w:val="en-US"/>
        </w:rPr>
        <w:t>MedSurg</w:t>
      </w:r>
      <w:proofErr w:type="spellEnd"/>
      <w:r w:rsidRPr="009B2F02">
        <w:rPr>
          <w:lang w:val="en-US"/>
        </w:rPr>
        <w:t xml:space="preserve"> and Dental. Keeping different businesses together creates conflict in allocating resources across units with different priorities, investment cycles, and operational needs. Software businesses require rapid development cycles and agile AI integration, while medical hardware requires sustained capital for physical R&amp;D.</w:t>
      </w:r>
    </w:p>
    <w:p w14:paraId="47A949B1" w14:textId="77777777" w:rsidR="009B2F02" w:rsidRDefault="009B2F02" w:rsidP="009B2F02">
      <w:pPr>
        <w:numPr>
          <w:ilvl w:val="0"/>
          <w:numId w:val="14"/>
        </w:numPr>
        <w:spacing w:line="360" w:lineRule="auto"/>
        <w:rPr>
          <w:lang w:val="en-US"/>
        </w:rPr>
      </w:pPr>
      <w:r w:rsidRPr="009B2F02">
        <w:rPr>
          <w:b/>
          <w:bCs/>
          <w:lang w:val="en-US"/>
        </w:rPr>
        <w:t>Unlocking Shareholder Value:</w:t>
      </w:r>
      <w:r w:rsidRPr="009B2F02">
        <w:rPr>
          <w:lang w:val="en-US"/>
        </w:rPr>
        <w:t xml:space="preserve"> The separation is expected to unlock shareholder value by allowing each business to operate with dedicated management teams, better-aligned incentives, and the capital flexibility needed to pursue their respective growth strategies. HIS, as a standalone entity, could target a $10 billion global addressable market and accelerate its AI-driven capabilities. </w:t>
      </w:r>
      <w:r w:rsidRPr="009B2F02">
        <w:rPr>
          <w:b/>
          <w:bCs/>
          <w:vertAlign w:val="superscript"/>
          <w:lang w:val="en-US"/>
        </w:rPr>
        <w:t>[1]</w:t>
      </w:r>
      <w:r w:rsidRPr="009B2F02">
        <w:rPr>
          <w:lang w:val="en-US"/>
        </w:rPr>
        <w:t xml:space="preserve"> </w:t>
      </w:r>
      <w:r w:rsidRPr="009B2F02">
        <w:rPr>
          <w:b/>
          <w:bCs/>
          <w:vertAlign w:val="superscript"/>
          <w:lang w:val="en-US"/>
        </w:rPr>
        <w:t>[2]</w:t>
      </w:r>
      <w:r w:rsidRPr="009B2F02">
        <w:rPr>
          <w:lang w:val="en-US"/>
        </w:rPr>
        <w:t xml:space="preserve"> </w:t>
      </w:r>
      <w:r w:rsidRPr="009B2F02">
        <w:rPr>
          <w:b/>
          <w:bCs/>
          <w:vertAlign w:val="superscript"/>
          <w:lang w:val="en-US"/>
        </w:rPr>
        <w:t>[3]</w:t>
      </w:r>
      <w:r w:rsidRPr="009B2F02">
        <w:rPr>
          <w:lang w:val="en-US"/>
        </w:rPr>
        <w:t xml:space="preserve"> </w:t>
      </w:r>
    </w:p>
    <w:p w14:paraId="616B0A03" w14:textId="4702175B" w:rsidR="009B2F02" w:rsidRPr="009B2F02" w:rsidRDefault="009B2F02" w:rsidP="009B2F02">
      <w:pPr>
        <w:rPr>
          <w:lang w:val="en-US"/>
        </w:rPr>
      </w:pPr>
      <w:r>
        <w:rPr>
          <w:lang w:val="en-US"/>
        </w:rPr>
        <w:br w:type="page"/>
      </w:r>
      <w:r w:rsidRPr="009B2F02">
        <w:rPr>
          <w:b/>
          <w:bCs/>
          <w:lang w:val="en-US"/>
        </w:rPr>
        <w:lastRenderedPageBreak/>
        <w:t>Top 3 Arguments AGAINST Separating HIS from Solventum:</w:t>
      </w:r>
    </w:p>
    <w:p w14:paraId="626C0FF8" w14:textId="1DBB52E1" w:rsidR="009B2F02" w:rsidRPr="009B2F02" w:rsidRDefault="009B2F02" w:rsidP="009B2F02">
      <w:pPr>
        <w:pStyle w:val="ListParagraph"/>
        <w:numPr>
          <w:ilvl w:val="0"/>
          <w:numId w:val="17"/>
        </w:numPr>
        <w:spacing w:line="360" w:lineRule="auto"/>
        <w:rPr>
          <w:lang w:val="en-US"/>
        </w:rPr>
      </w:pPr>
      <w:r w:rsidRPr="009B2F02">
        <w:rPr>
          <w:b/>
          <w:bCs/>
          <w:lang w:val="en-US"/>
        </w:rPr>
        <w:t>Execution Complexity &amp; Timing Risk:</w:t>
      </w:r>
      <w:r w:rsidRPr="009B2F02">
        <w:rPr>
          <w:lang w:val="en-US"/>
        </w:rPr>
        <w:t xml:space="preserve"> While HIS is described as relatively easier to separate due to its lack of a manufacturing footprint, no separation is truly simple. The transaction is expected to take 12 to 18 months to close, and the separation process will introduce financial variability and uncertainty for Solventum in the near term.</w:t>
      </w:r>
    </w:p>
    <w:p w14:paraId="66AD9919" w14:textId="77777777" w:rsidR="009B2F02" w:rsidRPr="009B2F02" w:rsidRDefault="009B2F02" w:rsidP="009B2F02">
      <w:pPr>
        <w:numPr>
          <w:ilvl w:val="0"/>
          <w:numId w:val="17"/>
        </w:numPr>
        <w:tabs>
          <w:tab w:val="num" w:pos="720"/>
        </w:tabs>
        <w:spacing w:line="360" w:lineRule="auto"/>
        <w:rPr>
          <w:lang w:val="en-US"/>
        </w:rPr>
      </w:pPr>
      <w:r w:rsidRPr="009B2F02">
        <w:rPr>
          <w:b/>
          <w:bCs/>
          <w:lang w:val="en-US"/>
        </w:rPr>
        <w:t>Uncertainty of Separation Method &amp; Value:</w:t>
      </w:r>
      <w:r w:rsidRPr="009B2F02">
        <w:rPr>
          <w:lang w:val="en-US"/>
        </w:rPr>
        <w:t xml:space="preserve"> It is still unclear whether the separation will be a spin-off, sale, or merger, and it is described as too early to provide financial details. This uncertainty around the method and use of proceeds makes it difficult to guarantee that maximum shareholder value will </w:t>
      </w:r>
      <w:proofErr w:type="gramStart"/>
      <w:r w:rsidRPr="009B2F02">
        <w:rPr>
          <w:lang w:val="en-US"/>
        </w:rPr>
        <w:t>actually be</w:t>
      </w:r>
      <w:proofErr w:type="gramEnd"/>
      <w:r w:rsidRPr="009B2F02">
        <w:rPr>
          <w:lang w:val="en-US"/>
        </w:rPr>
        <w:t xml:space="preserve"> achieved.</w:t>
      </w:r>
    </w:p>
    <w:p w14:paraId="2CD74586" w14:textId="77777777" w:rsidR="009B2F02" w:rsidRPr="009B2F02" w:rsidRDefault="009B2F02" w:rsidP="009B2F02">
      <w:pPr>
        <w:numPr>
          <w:ilvl w:val="0"/>
          <w:numId w:val="17"/>
        </w:numPr>
        <w:tabs>
          <w:tab w:val="num" w:pos="720"/>
        </w:tabs>
        <w:spacing w:line="360" w:lineRule="auto"/>
        <w:rPr>
          <w:lang w:val="en-US"/>
        </w:rPr>
      </w:pPr>
      <w:r w:rsidRPr="009B2F02">
        <w:rPr>
          <w:b/>
          <w:bCs/>
          <w:lang w:val="en-US"/>
        </w:rPr>
        <w:t>Loss of a Differentiated, High-Value Asset:</w:t>
      </w:r>
      <w:r w:rsidRPr="009B2F02">
        <w:rPr>
          <w:lang w:val="en-US"/>
        </w:rPr>
        <w:t xml:space="preserve"> HIS generates $1.4 billion in annual revenue, is embedded in over 75% of U.S. hospitals, and processes approximately 660 million clinical documents per month. Separating such a resilient and deeply embedded business means Solventum gives up a significant revenue stream and a uniquely advantaged software platform that few MedTech investors fully appreciate. </w:t>
      </w:r>
      <w:r w:rsidRPr="009B2F02">
        <w:rPr>
          <w:b/>
          <w:bCs/>
          <w:vertAlign w:val="superscript"/>
          <w:lang w:val="en-US"/>
        </w:rPr>
        <w:t>[4]</w:t>
      </w:r>
      <w:r w:rsidRPr="009B2F02">
        <w:rPr>
          <w:lang w:val="en-US"/>
        </w:rPr>
        <w:t xml:space="preserve"> </w:t>
      </w:r>
      <w:r w:rsidRPr="009B2F02">
        <w:rPr>
          <w:b/>
          <w:bCs/>
          <w:vertAlign w:val="superscript"/>
          <w:lang w:val="en-US"/>
        </w:rPr>
        <w:t>[5]</w:t>
      </w:r>
      <w:r w:rsidRPr="009B2F02">
        <w:rPr>
          <w:lang w:val="en-US"/>
        </w:rPr>
        <w:t xml:space="preserve"> </w:t>
      </w:r>
      <w:r w:rsidRPr="009B2F02">
        <w:rPr>
          <w:b/>
          <w:bCs/>
          <w:vertAlign w:val="superscript"/>
          <w:lang w:val="en-US"/>
        </w:rPr>
        <w:t>[6]</w:t>
      </w:r>
      <w:r w:rsidRPr="009B2F02">
        <w:rPr>
          <w:lang w:val="en-US"/>
        </w:rPr>
        <w:t xml:space="preserve"> </w:t>
      </w:r>
      <w:r w:rsidRPr="009B2F02">
        <w:rPr>
          <w:b/>
          <w:bCs/>
          <w:vertAlign w:val="superscript"/>
          <w:lang w:val="en-US"/>
        </w:rPr>
        <w:t>[7]</w:t>
      </w:r>
    </w:p>
    <w:p w14:paraId="54752555" w14:textId="77777777" w:rsidR="00DB6319" w:rsidRDefault="00DB6319" w:rsidP="00F50839">
      <w:pPr>
        <w:spacing w:line="360" w:lineRule="auto"/>
      </w:pPr>
    </w:p>
    <w:p w14:paraId="55B56D27" w14:textId="77777777" w:rsidR="00BE5793" w:rsidRDefault="00000000" w:rsidP="009B2F02">
      <w:pPr>
        <w:numPr>
          <w:ilvl w:val="2"/>
          <w:numId w:val="17"/>
        </w:numPr>
        <w:spacing w:line="360" w:lineRule="auto"/>
      </w:pPr>
      <w:r>
        <w:t>Copy-pasted LLM response</w:t>
      </w:r>
    </w:p>
    <w:p w14:paraId="2D369358" w14:textId="77777777" w:rsidR="00F50839" w:rsidRPr="00F50839" w:rsidRDefault="00000000">
      <w:pPr>
        <w:spacing w:line="360" w:lineRule="auto"/>
        <w:ind w:left="1800"/>
        <w:rPr>
          <w:b/>
          <w:bCs/>
        </w:rPr>
      </w:pPr>
      <w:r>
        <w:t>Google Gemini was used</w:t>
      </w:r>
      <w:r w:rsidR="007F7E1D" w:rsidRPr="007F7E1D">
        <w:t>.</w:t>
      </w:r>
    </w:p>
    <w:p w14:paraId="4CE5F6CE" w14:textId="094164C1" w:rsidR="00DB6319" w:rsidRDefault="009B2F02" w:rsidP="00F50839">
      <w:pPr>
        <w:spacing w:line="360" w:lineRule="auto"/>
        <w:ind w:left="1800"/>
      </w:pPr>
      <w:r w:rsidRPr="009B2F02">
        <w:drawing>
          <wp:inline distT="0" distB="0" distL="0" distR="0" wp14:anchorId="2CC2FD8E" wp14:editId="7D7D1E5A">
            <wp:extent cx="5943600" cy="3775075"/>
            <wp:effectExtent l="0" t="0" r="0" b="0"/>
            <wp:docPr id="169872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24665" name=""/>
                    <pic:cNvPicPr/>
                  </pic:nvPicPr>
                  <pic:blipFill>
                    <a:blip r:embed="rId17"/>
                    <a:stretch>
                      <a:fillRect/>
                    </a:stretch>
                  </pic:blipFill>
                  <pic:spPr>
                    <a:xfrm>
                      <a:off x="0" y="0"/>
                      <a:ext cx="5943600" cy="3775075"/>
                    </a:xfrm>
                    <a:prstGeom prst="rect">
                      <a:avLst/>
                    </a:prstGeom>
                  </pic:spPr>
                </pic:pic>
              </a:graphicData>
            </a:graphic>
          </wp:inline>
        </w:drawing>
      </w:r>
    </w:p>
    <w:p w14:paraId="20114D64" w14:textId="77777777" w:rsidR="009B2F02" w:rsidRPr="009B2F02" w:rsidRDefault="009B2F02" w:rsidP="009B2F02">
      <w:pPr>
        <w:spacing w:line="360" w:lineRule="auto"/>
        <w:rPr>
          <w:lang w:val="en-US"/>
        </w:rPr>
      </w:pPr>
      <w:r w:rsidRPr="009B2F02">
        <w:rPr>
          <w:lang w:val="en-US"/>
        </w:rPr>
        <w:lastRenderedPageBreak/>
        <w:t>Here are the top three arguments for and against Solventum separating its Health Information Systems (HIS) division:</w:t>
      </w:r>
    </w:p>
    <w:p w14:paraId="52D2B88A" w14:textId="77777777" w:rsidR="009B2F02" w:rsidRPr="009B2F02" w:rsidRDefault="009B2F02" w:rsidP="009B2F02">
      <w:pPr>
        <w:spacing w:line="360" w:lineRule="auto"/>
        <w:rPr>
          <w:lang w:val="en-US"/>
        </w:rPr>
      </w:pPr>
      <w:r w:rsidRPr="009B2F02">
        <w:rPr>
          <w:b/>
          <w:bCs/>
          <w:lang w:val="en-US"/>
        </w:rPr>
        <w:t>Arguments For Separation</w:t>
      </w:r>
    </w:p>
    <w:p w14:paraId="515009A8" w14:textId="1172536F" w:rsidR="009B2F02" w:rsidRPr="009B2F02" w:rsidRDefault="009B2F02" w:rsidP="009B2F02">
      <w:pPr>
        <w:numPr>
          <w:ilvl w:val="0"/>
          <w:numId w:val="15"/>
        </w:numPr>
        <w:spacing w:line="360" w:lineRule="auto"/>
        <w:rPr>
          <w:lang w:val="en-US"/>
        </w:rPr>
      </w:pPr>
      <w:r w:rsidRPr="009B2F02">
        <w:rPr>
          <w:b/>
          <w:bCs/>
          <w:lang w:val="en-US"/>
        </w:rPr>
        <w:t>Valuation Unlock and Capital Flexibility:</w:t>
      </w:r>
      <w:r w:rsidRPr="009B2F02">
        <w:rPr>
          <w:lang w:val="en-US"/>
        </w:rPr>
        <w:t xml:space="preserve"> The separation aims to eliminate the structural friction of housing a high-margin, SaaS-like healthcare IT business within a capital-intensive hardware and medical device conglomerate. As a standalone entity (or acquired by a tech/software peer), HIS can command a higher software valuation multiple, while gaining the tailored capital allocation necessary to aggressively invest in its specific growth areas. HIT Consultant+ 1</w:t>
      </w:r>
    </w:p>
    <w:p w14:paraId="068F4249" w14:textId="77777777" w:rsidR="009B2F02" w:rsidRPr="009B2F02" w:rsidRDefault="009B2F02" w:rsidP="009B2F02">
      <w:pPr>
        <w:numPr>
          <w:ilvl w:val="0"/>
          <w:numId w:val="15"/>
        </w:numPr>
        <w:spacing w:line="360" w:lineRule="auto"/>
        <w:rPr>
          <w:lang w:val="en-US"/>
        </w:rPr>
      </w:pPr>
      <w:r w:rsidRPr="009B2F02">
        <w:rPr>
          <w:b/>
          <w:bCs/>
          <w:lang w:val="en-US"/>
        </w:rPr>
        <w:t>Accelerated Innovation in AI and Autonomous Coding:</w:t>
      </w:r>
      <w:r w:rsidRPr="009B2F02">
        <w:rPr>
          <w:lang w:val="en-US"/>
        </w:rPr>
        <w:t xml:space="preserve"> The healthcare revenue cycle management (RCM) sector is rapidly transitioning toward AI-driven, fully autonomous coding. Operating independently allows HIS to increase its investment levels and move with the operational agility required to stay ahead of agile tech startups, free from competing for R&amp;D dollars with Solventum's physical medical and dental product lines.</w:t>
      </w:r>
    </w:p>
    <w:p w14:paraId="1A86CFF6" w14:textId="1DA38BEC" w:rsidR="009B2F02" w:rsidRPr="009B2F02" w:rsidRDefault="009B2F02" w:rsidP="009B2F02">
      <w:pPr>
        <w:numPr>
          <w:ilvl w:val="0"/>
          <w:numId w:val="15"/>
        </w:numPr>
        <w:spacing w:line="360" w:lineRule="auto"/>
        <w:rPr>
          <w:lang w:val="en-US"/>
        </w:rPr>
      </w:pPr>
      <w:r w:rsidRPr="009B2F02">
        <w:rPr>
          <w:b/>
          <w:bCs/>
          <w:lang w:val="en-US"/>
        </w:rPr>
        <w:t>Sharpened Core MedTech Focus:</w:t>
      </w:r>
      <w:r w:rsidRPr="009B2F02">
        <w:rPr>
          <w:lang w:val="en-US"/>
        </w:rPr>
        <w:t xml:space="preserve"> Divesting the $1.4 billion software division allows Solventum to become a pure-play MedTech company. This enables Solventum’s management to dedicate its full strategic focus and resources toward optimizing its core </w:t>
      </w:r>
      <w:proofErr w:type="spellStart"/>
      <w:r w:rsidRPr="009B2F02">
        <w:rPr>
          <w:lang w:val="en-US"/>
        </w:rPr>
        <w:t>MedSurg</w:t>
      </w:r>
      <w:proofErr w:type="spellEnd"/>
      <w:r w:rsidRPr="009B2F02">
        <w:rPr>
          <w:lang w:val="en-US"/>
        </w:rPr>
        <w:t xml:space="preserve"> and Dental Solutions hardware businesses. </w:t>
      </w:r>
      <w:proofErr w:type="spellStart"/>
      <w:r w:rsidRPr="009B2F02">
        <w:rPr>
          <w:lang w:val="en-US"/>
        </w:rPr>
        <w:t>RevCycleAI</w:t>
      </w:r>
      <w:proofErr w:type="spellEnd"/>
      <w:r w:rsidRPr="009B2F02">
        <w:rPr>
          <w:lang w:val="en-US"/>
        </w:rPr>
        <w:t>+ 1</w:t>
      </w:r>
    </w:p>
    <w:p w14:paraId="40E4D500" w14:textId="77777777" w:rsidR="009B2F02" w:rsidRPr="009B2F02" w:rsidRDefault="009B2F02" w:rsidP="009B2F02">
      <w:pPr>
        <w:spacing w:line="360" w:lineRule="auto"/>
        <w:rPr>
          <w:lang w:val="en-US"/>
        </w:rPr>
      </w:pPr>
      <w:r w:rsidRPr="009B2F02">
        <w:rPr>
          <w:b/>
          <w:bCs/>
          <w:lang w:val="en-US"/>
        </w:rPr>
        <w:t>Arguments Against Separation</w:t>
      </w:r>
    </w:p>
    <w:p w14:paraId="292D826E" w14:textId="3510CE19" w:rsidR="009B2F02" w:rsidRPr="009B2F02" w:rsidRDefault="009B2F02" w:rsidP="009B2F02">
      <w:pPr>
        <w:numPr>
          <w:ilvl w:val="0"/>
          <w:numId w:val="16"/>
        </w:numPr>
        <w:spacing w:line="360" w:lineRule="auto"/>
        <w:rPr>
          <w:lang w:val="en-US"/>
        </w:rPr>
      </w:pPr>
      <w:r w:rsidRPr="009B2F02">
        <w:rPr>
          <w:b/>
          <w:bCs/>
          <w:lang w:val="en-US"/>
        </w:rPr>
        <w:t>Operational Distraction and "Separation Hangover":</w:t>
      </w:r>
      <w:r w:rsidRPr="009B2F02">
        <w:rPr>
          <w:lang w:val="en-US"/>
        </w:rPr>
        <w:t xml:space="preserve"> Solventum only recently completed a massive, complex spin-off from 3M in April 2024. Executing another structural separation of a massive global division—estimated to take 12 to 18 months—risks severe organizational fatigue, management distraction, and heavy legal, banking, and technology transition costs. MedTech Dive</w:t>
      </w:r>
    </w:p>
    <w:p w14:paraId="3AC4C18B" w14:textId="578CBF97" w:rsidR="009B2F02" w:rsidRPr="009B2F02" w:rsidRDefault="009B2F02" w:rsidP="009B2F02">
      <w:pPr>
        <w:numPr>
          <w:ilvl w:val="0"/>
          <w:numId w:val="16"/>
        </w:numPr>
        <w:spacing w:line="360" w:lineRule="auto"/>
        <w:rPr>
          <w:lang w:val="en-US"/>
        </w:rPr>
      </w:pPr>
      <w:r w:rsidRPr="009B2F02">
        <w:rPr>
          <w:b/>
          <w:bCs/>
          <w:lang w:val="en-US"/>
        </w:rPr>
        <w:t>Customer Disruption and Integration Risks:</w:t>
      </w:r>
      <w:r w:rsidRPr="009B2F02">
        <w:rPr>
          <w:lang w:val="en-US"/>
        </w:rPr>
        <w:t xml:space="preserve"> HIS technology is deeply embedded in over 75% of U.S. hospitals, often tied to multi-year contracts and tightly integrated with major EHR systems like Epic and Oracle. A change in ownership creates uncertainty regarding product roadmaps, contract continuity, and software updates. If acquired by private equity, hospitals fear a shift toward aggressive price escalation and slower product support. </w:t>
      </w:r>
      <w:proofErr w:type="spellStart"/>
      <w:r w:rsidRPr="009B2F02">
        <w:rPr>
          <w:lang w:val="en-US"/>
        </w:rPr>
        <w:t>RevCycleAI</w:t>
      </w:r>
      <w:proofErr w:type="spellEnd"/>
      <w:r w:rsidRPr="009B2F02">
        <w:rPr>
          <w:lang w:val="en-US"/>
        </w:rPr>
        <w:t>+ 2</w:t>
      </w:r>
    </w:p>
    <w:p w14:paraId="5A118BB5" w14:textId="32CDD5D1" w:rsidR="009B2F02" w:rsidRPr="009B2F02" w:rsidRDefault="009B2F02" w:rsidP="009B2F02">
      <w:pPr>
        <w:numPr>
          <w:ilvl w:val="0"/>
          <w:numId w:val="16"/>
        </w:numPr>
        <w:spacing w:line="360" w:lineRule="auto"/>
        <w:rPr>
          <w:lang w:val="en-US"/>
        </w:rPr>
      </w:pPr>
      <w:r w:rsidRPr="009B2F02">
        <w:rPr>
          <w:b/>
          <w:bCs/>
          <w:lang w:val="en-US"/>
        </w:rPr>
        <w:t>Loss of Revenue Diversification and High-Margin Scale:</w:t>
      </w:r>
      <w:r w:rsidRPr="009B2F02">
        <w:rPr>
          <w:lang w:val="en-US"/>
        </w:rPr>
        <w:t xml:space="preserve"> HIS accounts for approximately 16% of Solventum's total sales and boasts a highly profitable, recurring revenue model. Divesting this sticky software business removes a significant growth </w:t>
      </w:r>
      <w:r w:rsidRPr="009B2F02">
        <w:rPr>
          <w:lang w:val="en-US"/>
        </w:rPr>
        <w:lastRenderedPageBreak/>
        <w:t xml:space="preserve">engine, leaving Solventum highly dependent on its </w:t>
      </w:r>
      <w:proofErr w:type="spellStart"/>
      <w:r w:rsidRPr="009B2F02">
        <w:rPr>
          <w:lang w:val="en-US"/>
        </w:rPr>
        <w:t>MedSurg</w:t>
      </w:r>
      <w:proofErr w:type="spellEnd"/>
      <w:r w:rsidRPr="009B2F02">
        <w:rPr>
          <w:lang w:val="en-US"/>
        </w:rPr>
        <w:t xml:space="preserve"> and Dental divisions, which have experienced relatively stagnant growth in recent years. MedTech Dive+ 1</w:t>
      </w:r>
    </w:p>
    <w:p w14:paraId="39B70344" w14:textId="77777777" w:rsidR="00F50839" w:rsidRDefault="00F50839" w:rsidP="00F50839">
      <w:pPr>
        <w:spacing w:line="360" w:lineRule="auto"/>
      </w:pPr>
    </w:p>
    <w:p w14:paraId="2C294E15" w14:textId="77777777" w:rsidR="00BE5793" w:rsidRDefault="00000000" w:rsidP="009B2F02">
      <w:pPr>
        <w:numPr>
          <w:ilvl w:val="1"/>
          <w:numId w:val="17"/>
        </w:numPr>
        <w:spacing w:line="360" w:lineRule="auto"/>
      </w:pPr>
      <w:r>
        <w:rPr>
          <w:b/>
          <w:bCs/>
        </w:rPr>
        <w:t>(15 pts) Similarities</w:t>
      </w:r>
      <w:r>
        <w:t xml:space="preserve"> (at least 2 similarities between the RAG &amp; LLM response)</w:t>
      </w:r>
    </w:p>
    <w:p w14:paraId="39491023" w14:textId="77777777" w:rsidR="00F50839" w:rsidRPr="00264C41" w:rsidRDefault="00000000" w:rsidP="00264C41">
      <w:pPr>
        <w:pStyle w:val="ListParagraph"/>
        <w:numPr>
          <w:ilvl w:val="2"/>
          <w:numId w:val="17"/>
        </w:numPr>
        <w:rPr>
          <w:b/>
          <w:bCs/>
        </w:rPr>
      </w:pPr>
      <w:r>
        <w:t>Both</w:t>
      </w:r>
      <w:r w:rsidR="00264C41" w:rsidRPr="00264C41">
        <w:t xml:space="preserve"> the</w:t>
      </w:r>
      <w:r>
        <w:t xml:space="preserve"> RA</w:t>
      </w:r>
      <w:r>
        <w:t>G and LLM response</w:t>
      </w:r>
      <w:r>
        <w:t xml:space="preserve">s </w:t>
      </w:r>
      <w:r>
        <w:t xml:space="preserve">included </w:t>
      </w:r>
      <w:r>
        <w:t>Solventum</w:t>
      </w:r>
      <w:r>
        <w:t xml:space="preserve">’s management reasoning that the </w:t>
      </w:r>
      <w:r>
        <w:t xml:space="preserve">move </w:t>
      </w:r>
      <w:r>
        <w:t xml:space="preserve">is </w:t>
      </w:r>
      <w:r>
        <w:t>“</w:t>
      </w:r>
      <w:r>
        <w:t>designed to unlock shareholder value</w:t>
      </w:r>
      <w:r w:rsidR="00264C41" w:rsidRPr="00264C41">
        <w:t>.”</w:t>
      </w:r>
      <w:r>
        <w:t xml:space="preserve">  </w:t>
      </w:r>
      <w:r>
        <w:t>This wa</w:t>
      </w:r>
      <w:r>
        <w:t xml:space="preserve">s expected from the </w:t>
      </w:r>
      <w:r>
        <w:t xml:space="preserve">RAG </w:t>
      </w:r>
      <w:r>
        <w:t xml:space="preserve">because </w:t>
      </w:r>
      <w:r>
        <w:t>unlocking shareholder valu</w:t>
      </w:r>
      <w:r>
        <w:t>e is a repeated theme</w:t>
      </w:r>
      <w:r>
        <w:t xml:space="preserve"> in </w:t>
      </w:r>
      <w:r>
        <w:t>docu</w:t>
      </w:r>
      <w:r>
        <w:t xml:space="preserve">ments </w:t>
      </w:r>
      <w:r>
        <w:t>publis</w:t>
      </w:r>
      <w:r>
        <w:t xml:space="preserve">hed by </w:t>
      </w:r>
      <w:r>
        <w:t>Solventum</w:t>
      </w:r>
      <w:r>
        <w:t xml:space="preserve">.  </w:t>
      </w:r>
      <w:r>
        <w:t>I</w:t>
      </w:r>
      <w:r>
        <w:t>t was not expected to be so pro</w:t>
      </w:r>
      <w:r>
        <w:t>minent in the LLM response, b</w:t>
      </w:r>
      <w:r>
        <w:t>ut this may su</w:t>
      </w:r>
      <w:r>
        <w:t>ggest that Solv</w:t>
      </w:r>
      <w:r>
        <w:t>entum</w:t>
      </w:r>
      <w:r>
        <w:t xml:space="preserve">’s </w:t>
      </w:r>
      <w:r>
        <w:t xml:space="preserve">communication </w:t>
      </w:r>
      <w:r w:rsidR="00264C41" w:rsidRPr="00264C41">
        <w:t>efforts have</w:t>
      </w:r>
      <w:r>
        <w:t xml:space="preserve"> been success</w:t>
      </w:r>
      <w:r>
        <w:t xml:space="preserve">ful in </w:t>
      </w:r>
      <w:r w:rsidR="00264C41" w:rsidRPr="00264C41">
        <w:t>presenting its</w:t>
      </w:r>
      <w:r>
        <w:t xml:space="preserve"> viewpoint </w:t>
      </w:r>
      <w:r w:rsidR="00264C41" w:rsidRPr="00264C41">
        <w:t>across</w:t>
      </w:r>
      <w:r>
        <w:t xml:space="preserve"> many different sources.</w:t>
      </w:r>
    </w:p>
    <w:p w14:paraId="3B26BD24" w14:textId="77777777" w:rsidR="00F50839" w:rsidRPr="00B75B7C" w:rsidRDefault="00000000" w:rsidP="0069574F">
      <w:pPr>
        <w:pStyle w:val="ListParagraph"/>
        <w:numPr>
          <w:ilvl w:val="2"/>
          <w:numId w:val="17"/>
        </w:numPr>
      </w:pPr>
      <w:r>
        <w:t>Both</w:t>
      </w:r>
      <w:r w:rsidR="0069574F" w:rsidRPr="0069574F">
        <w:t xml:space="preserve"> the</w:t>
      </w:r>
      <w:r>
        <w:t xml:space="preserve"> RAG and LLM responses </w:t>
      </w:r>
      <w:r>
        <w:t>iden</w:t>
      </w:r>
      <w:r>
        <w:t>tify th</w:t>
      </w:r>
      <w:r>
        <w:t>a</w:t>
      </w:r>
      <w:r>
        <w:t xml:space="preserve">t a separation </w:t>
      </w:r>
      <w:r>
        <w:t xml:space="preserve">would enable Solventum to </w:t>
      </w:r>
      <w:r w:rsidRPr="00B75B7C">
        <w:rPr>
          <w:lang w:val="en-US"/>
        </w:rPr>
        <w:t>sharpen</w:t>
      </w:r>
      <w:r w:rsidRPr="00B75B7C">
        <w:rPr>
          <w:lang w:val="en-US"/>
        </w:rPr>
        <w:t xml:space="preserve"> </w:t>
      </w:r>
      <w:r w:rsidRPr="00B75B7C">
        <w:rPr>
          <w:lang w:val="en-US"/>
        </w:rPr>
        <w:t xml:space="preserve">its </w:t>
      </w:r>
      <w:r w:rsidRPr="00B75B7C">
        <w:rPr>
          <w:lang w:val="en-US"/>
        </w:rPr>
        <w:t>focus</w:t>
      </w:r>
      <w:r w:rsidRPr="00B75B7C">
        <w:rPr>
          <w:lang w:val="en-US"/>
        </w:rPr>
        <w:t xml:space="preserve"> </w:t>
      </w:r>
      <w:r w:rsidRPr="00B75B7C">
        <w:rPr>
          <w:lang w:val="en-US"/>
        </w:rPr>
        <w:t>as a MedTech company</w:t>
      </w:r>
      <w:r w:rsidR="0069574F" w:rsidRPr="00B75B7C">
        <w:t>,</w:t>
      </w:r>
      <w:r w:rsidRPr="00B75B7C">
        <w:rPr>
          <w:lang w:val="en-US"/>
        </w:rPr>
        <w:t xml:space="preserve"> though they </w:t>
      </w:r>
      <w:r w:rsidRPr="00B75B7C">
        <w:rPr>
          <w:lang w:val="en-US"/>
        </w:rPr>
        <w:t xml:space="preserve">assign </w:t>
      </w:r>
      <w:r w:rsidRPr="00B75B7C">
        <w:rPr>
          <w:lang w:val="en-US"/>
        </w:rPr>
        <w:t xml:space="preserve">it </w:t>
      </w:r>
      <w:r w:rsidRPr="00B75B7C">
        <w:rPr>
          <w:lang w:val="en-US"/>
        </w:rPr>
        <w:t xml:space="preserve">different </w:t>
      </w:r>
      <w:r w:rsidRPr="00B75B7C">
        <w:rPr>
          <w:lang w:val="en-US"/>
        </w:rPr>
        <w:t>priorities</w:t>
      </w:r>
      <w:r w:rsidRPr="00B75B7C">
        <w:rPr>
          <w:lang w:val="en-US"/>
        </w:rPr>
        <w:t xml:space="preserve">.  </w:t>
      </w:r>
    </w:p>
    <w:p w14:paraId="10E03346" w14:textId="77777777" w:rsidR="00B75B7C" w:rsidRPr="00B75B7C" w:rsidRDefault="00B75B7C" w:rsidP="00B75B7C">
      <w:pPr>
        <w:pStyle w:val="ListParagraph"/>
        <w:numPr>
          <w:ilvl w:val="2"/>
          <w:numId w:val="17"/>
        </w:numPr>
      </w:pPr>
      <w:r w:rsidRPr="00B75B7C">
        <w:t>Both RAG and LLM responses note that HIS generates $1.4 billion in revenue.</w:t>
      </w:r>
    </w:p>
    <w:p w14:paraId="4F78D09A" w14:textId="77777777" w:rsidR="009A3576" w:rsidRDefault="009A3576" w:rsidP="009A3576">
      <w:pPr>
        <w:spacing w:line="360" w:lineRule="auto"/>
        <w:ind w:left="1440"/>
      </w:pPr>
    </w:p>
    <w:p w14:paraId="47A53819" w14:textId="77777777" w:rsidR="00BE5793" w:rsidRDefault="00000000" w:rsidP="009B2F02">
      <w:pPr>
        <w:numPr>
          <w:ilvl w:val="1"/>
          <w:numId w:val="17"/>
        </w:numPr>
        <w:spacing w:line="360" w:lineRule="auto"/>
      </w:pPr>
      <w:r>
        <w:rPr>
          <w:b/>
          <w:bCs/>
        </w:rPr>
        <w:t>(15 pts) Differences</w:t>
      </w:r>
      <w:r>
        <w:t xml:space="preserve"> (at least 3 differences between the RAG &amp; LLM response)</w:t>
      </w:r>
    </w:p>
    <w:p w14:paraId="5485AA71" w14:textId="77777777" w:rsidR="00270D79" w:rsidRDefault="00270D79" w:rsidP="00270D79">
      <w:pPr>
        <w:spacing w:line="360" w:lineRule="auto"/>
        <w:ind w:left="1080"/>
      </w:pPr>
    </w:p>
    <w:p w14:paraId="46447C18" w14:textId="77777777" w:rsidR="00F50839" w:rsidRPr="00F50839" w:rsidRDefault="00000000" w:rsidP="005C41A0">
      <w:pPr>
        <w:pStyle w:val="ListParagraph"/>
        <w:numPr>
          <w:ilvl w:val="2"/>
          <w:numId w:val="17"/>
        </w:numPr>
        <w:rPr>
          <w:b/>
          <w:bCs/>
        </w:rPr>
      </w:pPr>
      <w:r>
        <w:t xml:space="preserve">The </w:t>
      </w:r>
      <w:r>
        <w:t>LLM</w:t>
      </w:r>
      <w:r>
        <w:t xml:space="preserve"> response </w:t>
      </w:r>
      <w:r>
        <w:t>reference</w:t>
      </w:r>
      <w:r>
        <w:t>d</w:t>
      </w:r>
      <w:r>
        <w:t xml:space="preserve"> </w:t>
      </w:r>
      <w:r w:rsidR="005C41A0" w:rsidRPr="005C41A0">
        <w:t>Solventum’s</w:t>
      </w:r>
      <w:r>
        <w:t xml:space="preserve"> </w:t>
      </w:r>
      <w:r>
        <w:t xml:space="preserve">separation </w:t>
      </w:r>
      <w:r>
        <w:t>f</w:t>
      </w:r>
      <w:r>
        <w:t>rom 3M</w:t>
      </w:r>
      <w:r w:rsidR="005C41A0" w:rsidRPr="005C41A0">
        <w:t>,</w:t>
      </w:r>
      <w:r>
        <w:t xml:space="preserve"> </w:t>
      </w:r>
      <w:r>
        <w:t xml:space="preserve">which </w:t>
      </w:r>
      <w:r w:rsidR="005C41A0" w:rsidRPr="005C41A0">
        <w:t>occurred recently</w:t>
      </w:r>
      <w:r>
        <w:t xml:space="preserve"> but</w:t>
      </w:r>
      <w:r>
        <w:t xml:space="preserve"> </w:t>
      </w:r>
      <w:r>
        <w:t xml:space="preserve">was </w:t>
      </w:r>
      <w:r>
        <w:t>not a focus of the data</w:t>
      </w:r>
      <w:r>
        <w:t>set the RA</w:t>
      </w:r>
      <w:r>
        <w:t>G</w:t>
      </w:r>
      <w:r>
        <w:t xml:space="preserve"> </w:t>
      </w:r>
      <w:r>
        <w:t>used.  The LLM</w:t>
      </w:r>
      <w:r>
        <w:t xml:space="preserve"> </w:t>
      </w:r>
      <w:r>
        <w:t xml:space="preserve">pointed out that separation fatigue </w:t>
      </w:r>
      <w:r>
        <w:t xml:space="preserve">is an </w:t>
      </w:r>
      <w:r>
        <w:t>argument</w:t>
      </w:r>
      <w:r>
        <w:t xml:space="preserve"> </w:t>
      </w:r>
      <w:r>
        <w:t>against separation, but the RAG</w:t>
      </w:r>
      <w:r>
        <w:t xml:space="preserve"> </w:t>
      </w:r>
      <w:r w:rsidR="005C41A0" w:rsidRPr="005C41A0">
        <w:t xml:space="preserve">did not </w:t>
      </w:r>
      <w:r>
        <w:t>consider</w:t>
      </w:r>
      <w:r>
        <w:t xml:space="preserve"> </w:t>
      </w:r>
      <w:r>
        <w:t xml:space="preserve">it </w:t>
      </w:r>
      <w:r>
        <w:t xml:space="preserve">a </w:t>
      </w:r>
      <w:proofErr w:type="gramStart"/>
      <w:r>
        <w:t>top</w:t>
      </w:r>
      <w:r w:rsidR="005C41A0" w:rsidRPr="005C41A0">
        <w:t>-three</w:t>
      </w:r>
      <w:proofErr w:type="gramEnd"/>
      <w:r>
        <w:t xml:space="preserve"> argument</w:t>
      </w:r>
      <w:r>
        <w:t>.</w:t>
      </w:r>
    </w:p>
    <w:p w14:paraId="6591BAB4" w14:textId="53CFC3CB" w:rsidR="00F50839" w:rsidRPr="00742528" w:rsidRDefault="00000000" w:rsidP="00742528">
      <w:pPr>
        <w:pStyle w:val="ListParagraph"/>
        <w:numPr>
          <w:ilvl w:val="2"/>
          <w:numId w:val="17"/>
        </w:numPr>
        <w:rPr>
          <w:b/>
          <w:bCs/>
        </w:rPr>
      </w:pPr>
      <w:r>
        <w:t xml:space="preserve">While both </w:t>
      </w:r>
      <w:r w:rsidR="00742528" w:rsidRPr="00742528">
        <w:t xml:space="preserve">the </w:t>
      </w:r>
      <w:r>
        <w:t>RAG and LLM</w:t>
      </w:r>
      <w:r>
        <w:t xml:space="preserve"> </w:t>
      </w:r>
      <w:r>
        <w:t xml:space="preserve">responses </w:t>
      </w:r>
      <w:r>
        <w:t xml:space="preserve">mention </w:t>
      </w:r>
      <w:r w:rsidR="00742528" w:rsidRPr="00742528">
        <w:t xml:space="preserve">that </w:t>
      </w:r>
      <w:r>
        <w:t xml:space="preserve">HIS </w:t>
      </w:r>
      <w:r>
        <w:t xml:space="preserve">generates </w:t>
      </w:r>
      <w:r>
        <w:t>$</w:t>
      </w:r>
      <w:r>
        <w:t>1.4</w:t>
      </w:r>
      <w:r>
        <w:t xml:space="preserve"> billion i</w:t>
      </w:r>
      <w:r>
        <w:t>n</w:t>
      </w:r>
      <w:r>
        <w:t xml:space="preserve"> </w:t>
      </w:r>
      <w:r>
        <w:t>revenue</w:t>
      </w:r>
      <w:r>
        <w:t xml:space="preserve">, they </w:t>
      </w:r>
      <w:r>
        <w:t xml:space="preserve">use the value </w:t>
      </w:r>
      <w:r>
        <w:t>to argue different sides of the question.</w:t>
      </w:r>
      <w:r>
        <w:t xml:space="preserve">  </w:t>
      </w:r>
      <w:r>
        <w:t xml:space="preserve">The </w:t>
      </w:r>
      <w:r>
        <w:t>RAG</w:t>
      </w:r>
      <w:r>
        <w:t xml:space="preserve"> response uses the </w:t>
      </w:r>
      <w:r>
        <w:t>$1.4 billion to arg</w:t>
      </w:r>
      <w:r>
        <w:t xml:space="preserve">ue </w:t>
      </w:r>
      <w:r>
        <w:t xml:space="preserve">that </w:t>
      </w:r>
      <w:r>
        <w:t xml:space="preserve">losing </w:t>
      </w:r>
      <w:r>
        <w:t xml:space="preserve">such a large amount </w:t>
      </w:r>
      <w:r w:rsidR="00C432C9">
        <w:t>of</w:t>
      </w:r>
      <w:r>
        <w:t xml:space="preserve"> Sol</w:t>
      </w:r>
      <w:r>
        <w:t>ventum</w:t>
      </w:r>
      <w:r>
        <w:t>’s annual</w:t>
      </w:r>
      <w:r>
        <w:t xml:space="preserve"> income would </w:t>
      </w:r>
      <w:r>
        <w:t xml:space="preserve">represent the </w:t>
      </w:r>
      <w:r>
        <w:t>loss of a high</w:t>
      </w:r>
      <w:r w:rsidR="00742528" w:rsidRPr="00742528">
        <w:t>-</w:t>
      </w:r>
      <w:r>
        <w:t>va</w:t>
      </w:r>
      <w:r>
        <w:t>lue asset</w:t>
      </w:r>
      <w:r>
        <w:t>.</w:t>
      </w:r>
      <w:r>
        <w:t xml:space="preserve">  </w:t>
      </w:r>
      <w:r>
        <w:t>T</w:t>
      </w:r>
      <w:r>
        <w:t>he</w:t>
      </w:r>
      <w:r>
        <w:t xml:space="preserve"> LLM argues tha</w:t>
      </w:r>
      <w:r>
        <w:t xml:space="preserve">t </w:t>
      </w:r>
      <w:r>
        <w:t xml:space="preserve">divesting the </w:t>
      </w:r>
      <w:r>
        <w:t xml:space="preserve">$1.4 billion </w:t>
      </w:r>
      <w:r>
        <w:t xml:space="preserve">portion of the company allows </w:t>
      </w:r>
      <w:r>
        <w:t xml:space="preserve">Solventum to focus on </w:t>
      </w:r>
      <w:r>
        <w:t>optimizing i</w:t>
      </w:r>
      <w:r>
        <w:t xml:space="preserve">ts core </w:t>
      </w:r>
      <w:r>
        <w:t xml:space="preserve">MedTech </w:t>
      </w:r>
      <w:r>
        <w:t xml:space="preserve">business.  </w:t>
      </w:r>
      <w:r>
        <w:t xml:space="preserve">I </w:t>
      </w:r>
      <w:r>
        <w:t>found</w:t>
      </w:r>
      <w:r>
        <w:t xml:space="preserve"> this </w:t>
      </w:r>
      <w:r>
        <w:t xml:space="preserve">reasoning </w:t>
      </w:r>
      <w:r>
        <w:t>unexpectedly weak</w:t>
      </w:r>
      <w:r w:rsidR="00742528" w:rsidRPr="00742528">
        <w:t>,</w:t>
      </w:r>
      <w:r>
        <w:t xml:space="preserve"> considering the </w:t>
      </w:r>
      <w:r w:rsidR="00742528" w:rsidRPr="00742528">
        <w:t>LLM’s</w:t>
      </w:r>
      <w:r>
        <w:t xml:space="preserve"> </w:t>
      </w:r>
      <w:r>
        <w:t xml:space="preserve">access </w:t>
      </w:r>
      <w:r>
        <w:t xml:space="preserve">to </w:t>
      </w:r>
      <w:r>
        <w:t>a much larger dataset</w:t>
      </w:r>
      <w:r>
        <w:t>.</w:t>
      </w:r>
    </w:p>
    <w:p w14:paraId="79F60C4E" w14:textId="77777777" w:rsidR="00F50839" w:rsidRPr="00F50839" w:rsidRDefault="00000000" w:rsidP="009A760E">
      <w:pPr>
        <w:pStyle w:val="ListParagraph"/>
        <w:numPr>
          <w:ilvl w:val="2"/>
          <w:numId w:val="17"/>
        </w:numPr>
        <w:rPr>
          <w:b/>
          <w:bCs/>
        </w:rPr>
      </w:pPr>
      <w:r>
        <w:t>T</w:t>
      </w:r>
      <w:r>
        <w:t xml:space="preserve">he </w:t>
      </w:r>
      <w:r>
        <w:t xml:space="preserve">RAG response </w:t>
      </w:r>
      <w:r w:rsidRPr="009267FD">
        <w:t>said</w:t>
      </w:r>
      <w:r>
        <w:t xml:space="preserve"> little </w:t>
      </w:r>
      <w:r w:rsidRPr="009267FD">
        <w:t xml:space="preserve">about customer </w:t>
      </w:r>
      <w:r>
        <w:t>i</w:t>
      </w:r>
      <w:r>
        <w:t>mpact</w:t>
      </w:r>
      <w:r>
        <w:t>, while the</w:t>
      </w:r>
      <w:r>
        <w:t xml:space="preserve"> </w:t>
      </w:r>
      <w:r>
        <w:t xml:space="preserve">LLM </w:t>
      </w:r>
      <w:r>
        <w:t xml:space="preserve">response </w:t>
      </w:r>
      <w:r w:rsidRPr="009267FD">
        <w:t>identified</w:t>
      </w:r>
      <w:r>
        <w:t xml:space="preserve"> customer disru</w:t>
      </w:r>
      <w:r>
        <w:t xml:space="preserve">ption as the </w:t>
      </w:r>
      <w:r w:rsidRPr="009267FD">
        <w:t>second-</w:t>
      </w:r>
      <w:r>
        <w:t xml:space="preserve">most important </w:t>
      </w:r>
      <w:r w:rsidRPr="009267FD">
        <w:t>argument</w:t>
      </w:r>
      <w:r>
        <w:t xml:space="preserve"> against </w:t>
      </w:r>
      <w:r>
        <w:t xml:space="preserve">separation.  This </w:t>
      </w:r>
      <w:r w:rsidRPr="009267FD">
        <w:t>difference may reflect</w:t>
      </w:r>
      <w:r>
        <w:t xml:space="preserve"> the </w:t>
      </w:r>
      <w:r>
        <w:t xml:space="preserve">RAG </w:t>
      </w:r>
      <w:r w:rsidRPr="009267FD">
        <w:t>dataset’s emphasis</w:t>
      </w:r>
      <w:r>
        <w:t xml:space="preserve"> on </w:t>
      </w:r>
      <w:r w:rsidRPr="009267FD">
        <w:t xml:space="preserve">shareholder </w:t>
      </w:r>
      <w:r>
        <w:t xml:space="preserve">impact </w:t>
      </w:r>
      <w:r>
        <w:t xml:space="preserve">and </w:t>
      </w:r>
      <w:r>
        <w:t>company fundamentals</w:t>
      </w:r>
      <w:r w:rsidRPr="009267FD">
        <w:t>,</w:t>
      </w:r>
      <w:r>
        <w:t xml:space="preserve"> </w:t>
      </w:r>
      <w:r>
        <w:t xml:space="preserve">with </w:t>
      </w:r>
      <w:r w:rsidRPr="009267FD">
        <w:t xml:space="preserve">limited attention to </w:t>
      </w:r>
      <w:r>
        <w:t>c</w:t>
      </w:r>
      <w:r>
        <w:t>u</w:t>
      </w:r>
      <w:r>
        <w:t>s</w:t>
      </w:r>
      <w:r>
        <w:t xml:space="preserve">tomer </w:t>
      </w:r>
      <w:r w:rsidRPr="009267FD">
        <w:t>implications.</w:t>
      </w:r>
    </w:p>
    <w:p w14:paraId="08703855" w14:textId="77777777" w:rsidR="003357B2" w:rsidRDefault="003357B2" w:rsidP="00FA6DD7">
      <w:pPr>
        <w:spacing w:line="360" w:lineRule="auto"/>
        <w:ind w:left="1080"/>
      </w:pPr>
    </w:p>
    <w:p w14:paraId="2865E0F7" w14:textId="77777777" w:rsidR="00BE5793" w:rsidRDefault="00000000" w:rsidP="009B2F02">
      <w:pPr>
        <w:numPr>
          <w:ilvl w:val="1"/>
          <w:numId w:val="17"/>
        </w:numPr>
        <w:spacing w:line="360" w:lineRule="auto"/>
      </w:pPr>
      <w:r>
        <w:rPr>
          <w:b/>
          <w:bCs/>
        </w:rPr>
        <w:t>(10 pts) Screenshot</w:t>
      </w:r>
      <w:r>
        <w:t xml:space="preserve"> of prompt that RAG declined to answer</w:t>
      </w:r>
    </w:p>
    <w:p w14:paraId="01F87913" w14:textId="77777777" w:rsidR="003357B2" w:rsidRDefault="003357B2" w:rsidP="003357B2">
      <w:pPr>
        <w:pStyle w:val="ListParagraph"/>
      </w:pPr>
    </w:p>
    <w:p w14:paraId="67CB48B3" w14:textId="77777777" w:rsidR="00F50839" w:rsidRPr="00F50839" w:rsidRDefault="00000000">
      <w:pPr>
        <w:pStyle w:val="ListParagraph"/>
        <w:ind w:left="1080"/>
        <w:rPr>
          <w:b/>
          <w:bCs/>
        </w:rPr>
      </w:pPr>
      <w:r>
        <w:t>It</w:t>
      </w:r>
      <w:r>
        <w:t xml:space="preserve"> i</w:t>
      </w:r>
      <w:r>
        <w:t xml:space="preserve">s </w:t>
      </w:r>
      <w:r>
        <w:t>inter</w:t>
      </w:r>
      <w:r>
        <w:t>esting that the RA</w:t>
      </w:r>
      <w:r>
        <w:t>G res</w:t>
      </w:r>
      <w:r>
        <w:t>p</w:t>
      </w:r>
      <w:r>
        <w:t>o</w:t>
      </w:r>
      <w:r>
        <w:t>nds b</w:t>
      </w:r>
      <w:r>
        <w:t>y stating there is no</w:t>
      </w:r>
      <w:r>
        <w:t xml:space="preserve"> information about Oracle buying HIS</w:t>
      </w:r>
      <w:r w:rsidR="00041575" w:rsidRPr="00041575">
        <w:t>,</w:t>
      </w:r>
      <w:r>
        <w:t xml:space="preserve"> </w:t>
      </w:r>
      <w:r>
        <w:t>t</w:t>
      </w:r>
      <w:r>
        <w:t>he</w:t>
      </w:r>
      <w:r>
        <w:t xml:space="preserve">n </w:t>
      </w:r>
      <w:r>
        <w:t>provide</w:t>
      </w:r>
      <w:r>
        <w:t xml:space="preserve">s </w:t>
      </w:r>
      <w:r>
        <w:t xml:space="preserve">general information </w:t>
      </w:r>
      <w:r>
        <w:t>tha</w:t>
      </w:r>
      <w:r>
        <w:t>t</w:t>
      </w:r>
      <w:r>
        <w:t xml:space="preserve"> </w:t>
      </w:r>
      <w:r w:rsidR="00041575" w:rsidRPr="00041575">
        <w:t>was not requested</w:t>
      </w:r>
      <w:r>
        <w:t>.</w:t>
      </w:r>
    </w:p>
    <w:p w14:paraId="437549A8" w14:textId="5DD710CF" w:rsidR="003357B2" w:rsidRDefault="003357B2" w:rsidP="003357B2">
      <w:pPr>
        <w:spacing w:line="360" w:lineRule="auto"/>
        <w:ind w:left="1080"/>
      </w:pPr>
      <w:r w:rsidRPr="003357B2">
        <w:lastRenderedPageBreak/>
        <w:drawing>
          <wp:inline distT="0" distB="0" distL="0" distR="0" wp14:anchorId="1EACCC30" wp14:editId="19F503DF">
            <wp:extent cx="5943600" cy="5029200"/>
            <wp:effectExtent l="0" t="0" r="0" b="0"/>
            <wp:docPr id="61092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2980" name=""/>
                    <pic:cNvPicPr/>
                  </pic:nvPicPr>
                  <pic:blipFill>
                    <a:blip r:embed="rId18"/>
                    <a:stretch>
                      <a:fillRect/>
                    </a:stretch>
                  </pic:blipFill>
                  <pic:spPr>
                    <a:xfrm>
                      <a:off x="0" y="0"/>
                      <a:ext cx="5943600" cy="5029200"/>
                    </a:xfrm>
                    <a:prstGeom prst="rect">
                      <a:avLst/>
                    </a:prstGeom>
                  </pic:spPr>
                </pic:pic>
              </a:graphicData>
            </a:graphic>
          </wp:inline>
        </w:drawing>
      </w:r>
    </w:p>
    <w:p w14:paraId="1D7ADE64" w14:textId="77777777" w:rsidR="00FA6DD7" w:rsidRDefault="00FA6DD7" w:rsidP="00FA6DD7">
      <w:pPr>
        <w:spacing w:line="360" w:lineRule="auto"/>
        <w:ind w:left="1080"/>
      </w:pPr>
    </w:p>
    <w:p w14:paraId="0184AC34" w14:textId="77777777" w:rsidR="00F50839" w:rsidRPr="00F50839" w:rsidRDefault="00000000">
      <w:pPr>
        <w:spacing w:line="360" w:lineRule="auto"/>
        <w:ind w:left="1080"/>
        <w:rPr>
          <w:b/>
          <w:bCs/>
        </w:rPr>
      </w:pPr>
      <w:r>
        <w:t>W</w:t>
      </w:r>
      <w:r>
        <w:t>hen I ask Gemini the same question</w:t>
      </w:r>
      <w:r w:rsidR="00B75B7C" w:rsidRPr="00B75B7C">
        <w:t>, it</w:t>
      </w:r>
      <w:r>
        <w:t xml:space="preserve"> </w:t>
      </w:r>
      <w:r>
        <w:t>offer</w:t>
      </w:r>
      <w:r>
        <w:t>s</w:t>
      </w:r>
      <w:r>
        <w:t xml:space="preserve"> an opi</w:t>
      </w:r>
      <w:r>
        <w:t>nion based on information n</w:t>
      </w:r>
      <w:r>
        <w:t xml:space="preserve">ot </w:t>
      </w:r>
      <w:r>
        <w:t>included in the RA</w:t>
      </w:r>
      <w:r>
        <w:t>G dataset</w:t>
      </w:r>
      <w:r w:rsidR="00B75B7C" w:rsidRPr="00B75B7C">
        <w:t>.</w:t>
      </w:r>
    </w:p>
    <w:p w14:paraId="2FBC6292" w14:textId="77777777" w:rsidR="003357B2" w:rsidRDefault="003357B2" w:rsidP="00FA6DD7">
      <w:pPr>
        <w:spacing w:line="360" w:lineRule="auto"/>
        <w:ind w:left="1080"/>
      </w:pPr>
    </w:p>
    <w:p w14:paraId="06E46E6B" w14:textId="014AD696" w:rsidR="003357B2" w:rsidRDefault="003357B2" w:rsidP="00FA6DD7">
      <w:pPr>
        <w:spacing w:line="360" w:lineRule="auto"/>
        <w:ind w:left="1080"/>
      </w:pPr>
      <w:r w:rsidRPr="003357B2">
        <w:lastRenderedPageBreak/>
        <w:drawing>
          <wp:inline distT="0" distB="0" distL="0" distR="0" wp14:anchorId="2F16F483" wp14:editId="1D38FC20">
            <wp:extent cx="5943600" cy="2914650"/>
            <wp:effectExtent l="0" t="0" r="0" b="0"/>
            <wp:docPr id="108252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29476" name=""/>
                    <pic:cNvPicPr/>
                  </pic:nvPicPr>
                  <pic:blipFill>
                    <a:blip r:embed="rId19"/>
                    <a:stretch>
                      <a:fillRect/>
                    </a:stretch>
                  </pic:blipFill>
                  <pic:spPr>
                    <a:xfrm>
                      <a:off x="0" y="0"/>
                      <a:ext cx="5943600" cy="2914650"/>
                    </a:xfrm>
                    <a:prstGeom prst="rect">
                      <a:avLst/>
                    </a:prstGeom>
                  </pic:spPr>
                </pic:pic>
              </a:graphicData>
            </a:graphic>
          </wp:inline>
        </w:drawing>
      </w:r>
      <w:r>
        <w:t xml:space="preserve"> </w:t>
      </w:r>
    </w:p>
    <w:p w14:paraId="577623DA" w14:textId="77777777" w:rsidR="003357B2" w:rsidRDefault="003357B2" w:rsidP="00FA6DD7">
      <w:pPr>
        <w:spacing w:line="360" w:lineRule="auto"/>
        <w:ind w:left="1080"/>
      </w:pPr>
    </w:p>
    <w:p w14:paraId="67741AF3" w14:textId="0DB26132" w:rsidR="00BE5793" w:rsidRDefault="00000000" w:rsidP="009B2F02">
      <w:pPr>
        <w:numPr>
          <w:ilvl w:val="1"/>
          <w:numId w:val="17"/>
        </w:numPr>
        <w:spacing w:line="360" w:lineRule="auto"/>
      </w:pPr>
      <w:r>
        <w:rPr>
          <w:b/>
          <w:bCs/>
        </w:rPr>
        <w:t>(10 pts) Screenshot</w:t>
      </w:r>
      <w:r>
        <w:t xml:space="preserve"> of your RAG system test:</w:t>
      </w:r>
    </w:p>
    <w:p w14:paraId="70D00D46" w14:textId="00F43844" w:rsidR="00BE5793" w:rsidRDefault="00F50839">
      <w:pPr>
        <w:spacing w:line="360" w:lineRule="auto"/>
        <w:rPr>
          <w:b/>
          <w:bCs/>
        </w:rPr>
      </w:pPr>
      <w:r w:rsidRPr="00F50839">
        <w:drawing>
          <wp:inline distT="0" distB="0" distL="0" distR="0" wp14:anchorId="341F47B8" wp14:editId="65C1F9FE">
            <wp:extent cx="5886450" cy="3185350"/>
            <wp:effectExtent l="0" t="0" r="0" b="0"/>
            <wp:docPr id="86300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04458" name=""/>
                    <pic:cNvPicPr/>
                  </pic:nvPicPr>
                  <pic:blipFill>
                    <a:blip r:embed="rId20"/>
                    <a:stretch>
                      <a:fillRect/>
                    </a:stretch>
                  </pic:blipFill>
                  <pic:spPr>
                    <a:xfrm>
                      <a:off x="0" y="0"/>
                      <a:ext cx="5901482" cy="3193484"/>
                    </a:xfrm>
                    <a:prstGeom prst="rect">
                      <a:avLst/>
                    </a:prstGeom>
                  </pic:spPr>
                </pic:pic>
              </a:graphicData>
            </a:graphic>
          </wp:inline>
        </w:drawing>
      </w:r>
    </w:p>
    <w:p w14:paraId="4A4041F3" w14:textId="1336CE7E" w:rsidR="00F50839" w:rsidRPr="00F50839" w:rsidRDefault="003357B2">
      <w:pPr>
        <w:spacing w:line="360" w:lineRule="auto"/>
        <w:rPr>
          <w:b/>
          <w:bCs/>
        </w:rPr>
      </w:pPr>
      <w:r w:rsidRPr="003357B2">
        <w:rPr>
          <w:b/>
          <w:bCs/>
        </w:rPr>
        <w:lastRenderedPageBreak/>
        <w:drawing>
          <wp:inline distT="0" distB="0" distL="0" distR="0" wp14:anchorId="389C6D33" wp14:editId="24D10AD3">
            <wp:extent cx="5943600" cy="3210560"/>
            <wp:effectExtent l="0" t="0" r="0" b="8890"/>
            <wp:docPr id="202396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60783" name=""/>
                    <pic:cNvPicPr/>
                  </pic:nvPicPr>
                  <pic:blipFill>
                    <a:blip r:embed="rId21"/>
                    <a:stretch>
                      <a:fillRect/>
                    </a:stretch>
                  </pic:blipFill>
                  <pic:spPr>
                    <a:xfrm>
                      <a:off x="0" y="0"/>
                      <a:ext cx="5943600" cy="3210560"/>
                    </a:xfrm>
                    <a:prstGeom prst="rect">
                      <a:avLst/>
                    </a:prstGeom>
                  </pic:spPr>
                </pic:pic>
              </a:graphicData>
            </a:graphic>
          </wp:inline>
        </w:drawing>
      </w:r>
    </w:p>
    <w:sectPr w:rsidR="00F50839" w:rsidRPr="00F50839">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C3EE7" w14:textId="77777777" w:rsidR="00183FD1" w:rsidRDefault="00183FD1">
      <w:pPr>
        <w:spacing w:line="240" w:lineRule="auto"/>
      </w:pPr>
      <w:r>
        <w:separator/>
      </w:r>
    </w:p>
  </w:endnote>
  <w:endnote w:type="continuationSeparator" w:id="0">
    <w:p w14:paraId="6CF69D8E" w14:textId="77777777" w:rsidR="00183FD1" w:rsidRDefault="00183F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0A4BB9D9-8277-4BBF-BD64-CF5FEF1B9871}"/>
    <w:embedBold r:id="rId2" w:fontKey="{9235418C-7F44-4175-9CDB-295E3EDF2532}"/>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FDD61ABB-7421-4F8E-8EAD-F011BB72AAF8}"/>
    <w:embedItalic r:id="rId4" w:fontKey="{0379059C-F3DA-4B68-97B1-D3D300DCBA17}"/>
  </w:font>
  <w:font w:name="Cambria">
    <w:panose1 w:val="02040503050406030204"/>
    <w:charset w:val="00"/>
    <w:family w:val="roman"/>
    <w:pitch w:val="variable"/>
    <w:sig w:usb0="E00006FF" w:usb1="420024FF" w:usb2="02000000" w:usb3="00000000" w:csb0="0000019F" w:csb1="00000000"/>
    <w:embedRegular r:id="rId5" w:fontKey="{9C592D00-0BA0-4C83-8C62-F0C75B6752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3C46C" w14:textId="77777777" w:rsidR="00CA299C" w:rsidRDefault="00CA29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F675A" w14:textId="77777777" w:rsidR="00BE5793" w:rsidRDefault="00BE579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C02B1" w14:textId="77777777" w:rsidR="00BE5793" w:rsidRDefault="00BE57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98325" w14:textId="77777777" w:rsidR="00183FD1" w:rsidRDefault="00183FD1">
      <w:pPr>
        <w:spacing w:line="240" w:lineRule="auto"/>
      </w:pPr>
      <w:r>
        <w:separator/>
      </w:r>
    </w:p>
  </w:footnote>
  <w:footnote w:type="continuationSeparator" w:id="0">
    <w:p w14:paraId="63E999DC" w14:textId="77777777" w:rsidR="00183FD1" w:rsidRDefault="00183F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4F142" w14:textId="77777777" w:rsidR="00CA299C" w:rsidRDefault="00CA29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6855E" w14:textId="77777777" w:rsidR="00BE5793" w:rsidRDefault="00BE579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DA616" w14:textId="77777777" w:rsidR="00BE5793" w:rsidRDefault="00000000">
    <w:pPr>
      <w:spacing w:after="194" w:line="259" w:lineRule="auto"/>
      <w:ind w:left="30" w:right="-30"/>
      <w:jc w:val="center"/>
    </w:pPr>
    <w:r>
      <w:rPr>
        <w:noProof/>
      </w:rPr>
      <w:drawing>
        <wp:inline distT="0" distB="0" distL="0" distR="0" wp14:anchorId="7E22FD65" wp14:editId="1F60036E">
          <wp:extent cx="3467100" cy="956744"/>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467100" cy="95674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379"/>
    <w:multiLevelType w:val="multilevel"/>
    <w:tmpl w:val="229645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121E5C"/>
    <w:multiLevelType w:val="multilevel"/>
    <w:tmpl w:val="E0BADB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6B91B10"/>
    <w:multiLevelType w:val="multilevel"/>
    <w:tmpl w:val="E48ECDE6"/>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8B1B99"/>
    <w:multiLevelType w:val="multilevel"/>
    <w:tmpl w:val="CE06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C5EFA"/>
    <w:multiLevelType w:val="multilevel"/>
    <w:tmpl w:val="F97EDAC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decimal"/>
      <w:lvlText w:val="%3."/>
      <w:lvlJc w:val="right"/>
      <w:pPr>
        <w:ind w:left="1800" w:hanging="360"/>
      </w:pPr>
      <w:rPr>
        <w:rFonts w:ascii="Arial" w:eastAsia="Arial" w:hAnsi="Arial" w:cs="Arial"/>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5" w15:restartNumberingAfterBreak="0">
    <w:nsid w:val="16B1415A"/>
    <w:multiLevelType w:val="multilevel"/>
    <w:tmpl w:val="D096B2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BDB6092"/>
    <w:multiLevelType w:val="multilevel"/>
    <w:tmpl w:val="2B06EE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C2E3439"/>
    <w:multiLevelType w:val="multilevel"/>
    <w:tmpl w:val="4B46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C395A"/>
    <w:multiLevelType w:val="multilevel"/>
    <w:tmpl w:val="DDF226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A98544D"/>
    <w:multiLevelType w:val="multilevel"/>
    <w:tmpl w:val="A8ECD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87018A"/>
    <w:multiLevelType w:val="multilevel"/>
    <w:tmpl w:val="92949E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57E682F"/>
    <w:multiLevelType w:val="multilevel"/>
    <w:tmpl w:val="5BB8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622A9"/>
    <w:multiLevelType w:val="multilevel"/>
    <w:tmpl w:val="E820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4269AE"/>
    <w:multiLevelType w:val="multilevel"/>
    <w:tmpl w:val="0490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4D16B3"/>
    <w:multiLevelType w:val="multilevel"/>
    <w:tmpl w:val="EDEE4B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2641F97"/>
    <w:multiLevelType w:val="multilevel"/>
    <w:tmpl w:val="4FFE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3F3683"/>
    <w:multiLevelType w:val="multilevel"/>
    <w:tmpl w:val="F3CA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EC57E2"/>
    <w:multiLevelType w:val="multilevel"/>
    <w:tmpl w:val="A6B6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4E7ABB"/>
    <w:multiLevelType w:val="multilevel"/>
    <w:tmpl w:val="3ACE7BF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698140BE"/>
    <w:multiLevelType w:val="multilevel"/>
    <w:tmpl w:val="F97EDAC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decimal"/>
      <w:lvlText w:val="%3."/>
      <w:lvlJc w:val="right"/>
      <w:pPr>
        <w:ind w:left="1800" w:hanging="360"/>
      </w:pPr>
      <w:rPr>
        <w:rFonts w:ascii="Arial" w:eastAsia="Arial" w:hAnsi="Arial" w:cs="Arial"/>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0" w15:restartNumberingAfterBreak="0">
    <w:nsid w:val="6E8F3664"/>
    <w:multiLevelType w:val="multilevel"/>
    <w:tmpl w:val="96FCC4B6"/>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32766AE"/>
    <w:multiLevelType w:val="multilevel"/>
    <w:tmpl w:val="D5408E20"/>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BF52883"/>
    <w:multiLevelType w:val="multilevel"/>
    <w:tmpl w:val="DF50B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59735634">
    <w:abstractNumId w:val="21"/>
  </w:num>
  <w:num w:numId="2" w16cid:durableId="1360811629">
    <w:abstractNumId w:val="2"/>
  </w:num>
  <w:num w:numId="3" w16cid:durableId="1403723279">
    <w:abstractNumId w:val="14"/>
  </w:num>
  <w:num w:numId="4" w16cid:durableId="306514467">
    <w:abstractNumId w:val="8"/>
  </w:num>
  <w:num w:numId="5" w16cid:durableId="144512944">
    <w:abstractNumId w:val="10"/>
  </w:num>
  <w:num w:numId="6" w16cid:durableId="693992781">
    <w:abstractNumId w:val="18"/>
  </w:num>
  <w:num w:numId="7" w16cid:durableId="455834436">
    <w:abstractNumId w:val="19"/>
  </w:num>
  <w:num w:numId="8" w16cid:durableId="19285219">
    <w:abstractNumId w:val="22"/>
  </w:num>
  <w:num w:numId="9" w16cid:durableId="1754008194">
    <w:abstractNumId w:val="0"/>
  </w:num>
  <w:num w:numId="10" w16cid:durableId="19673678">
    <w:abstractNumId w:val="6"/>
  </w:num>
  <w:num w:numId="11" w16cid:durableId="367801693">
    <w:abstractNumId w:val="5"/>
  </w:num>
  <w:num w:numId="12" w16cid:durableId="741030894">
    <w:abstractNumId w:val="1"/>
  </w:num>
  <w:num w:numId="13" w16cid:durableId="1767268875">
    <w:abstractNumId w:val="20"/>
  </w:num>
  <w:num w:numId="14" w16cid:durableId="870261979">
    <w:abstractNumId w:val="9"/>
  </w:num>
  <w:num w:numId="15" w16cid:durableId="372510080">
    <w:abstractNumId w:val="16"/>
  </w:num>
  <w:num w:numId="16" w16cid:durableId="1540238068">
    <w:abstractNumId w:val="7"/>
  </w:num>
  <w:num w:numId="17" w16cid:durableId="1472405028">
    <w:abstractNumId w:val="4"/>
  </w:num>
  <w:num w:numId="18" w16cid:durableId="1102188172">
    <w:abstractNumId w:val="17"/>
  </w:num>
  <w:num w:numId="19" w16cid:durableId="1469742706">
    <w:abstractNumId w:val="15"/>
  </w:num>
  <w:num w:numId="20" w16cid:durableId="741832098">
    <w:abstractNumId w:val="12"/>
  </w:num>
  <w:num w:numId="21" w16cid:durableId="521633754">
    <w:abstractNumId w:val="11"/>
  </w:num>
  <w:num w:numId="22" w16cid:durableId="481124503">
    <w:abstractNumId w:val="13"/>
  </w:num>
  <w:num w:numId="23" w16cid:durableId="20052825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793"/>
    <w:rsid w:val="00014236"/>
    <w:rsid w:val="00041575"/>
    <w:rsid w:val="00183FD1"/>
    <w:rsid w:val="00264C41"/>
    <w:rsid w:val="00270D79"/>
    <w:rsid w:val="002D649D"/>
    <w:rsid w:val="003357B2"/>
    <w:rsid w:val="00363809"/>
    <w:rsid w:val="005C41A0"/>
    <w:rsid w:val="00643794"/>
    <w:rsid w:val="0069574F"/>
    <w:rsid w:val="00723A4B"/>
    <w:rsid w:val="00742528"/>
    <w:rsid w:val="007F7E1D"/>
    <w:rsid w:val="00903EA8"/>
    <w:rsid w:val="009267FD"/>
    <w:rsid w:val="00974A27"/>
    <w:rsid w:val="009A3576"/>
    <w:rsid w:val="009A760E"/>
    <w:rsid w:val="009B2F02"/>
    <w:rsid w:val="00B75B7C"/>
    <w:rsid w:val="00BE5793"/>
    <w:rsid w:val="00C432C9"/>
    <w:rsid w:val="00C545BC"/>
    <w:rsid w:val="00CA299C"/>
    <w:rsid w:val="00D46DF2"/>
    <w:rsid w:val="00DB6319"/>
    <w:rsid w:val="00E31DCF"/>
    <w:rsid w:val="00ED7778"/>
    <w:rsid w:val="00EF43E6"/>
    <w:rsid w:val="00F50839"/>
    <w:rsid w:val="00FA6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4C17A"/>
  <w15:docId w15:val="{CA445AC9-6A82-4CEA-BC0B-9D78DBCD4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576"/>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CA299C"/>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CA299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299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FA6DD7"/>
    <w:pPr>
      <w:ind w:left="720"/>
      <w:contextualSpacing/>
    </w:pPr>
  </w:style>
  <w:style w:type="character" w:styleId="Hyperlink">
    <w:name w:val="Hyperlink"/>
    <w:basedOn w:val="DefaultParagraphFont"/>
    <w:uiPriority w:val="99"/>
    <w:unhideWhenUsed/>
    <w:rsid w:val="00E31DCF"/>
    <w:rPr>
      <w:color w:val="0000FF" w:themeColor="hyperlink"/>
      <w:u w:val="single"/>
    </w:rPr>
  </w:style>
  <w:style w:type="character" w:styleId="UnresolvedMention">
    <w:name w:val="Unresolved Mention"/>
    <w:basedOn w:val="DefaultParagraphFont"/>
    <w:uiPriority w:val="99"/>
    <w:semiHidden/>
    <w:unhideWhenUsed/>
    <w:rsid w:val="00E31DCF"/>
    <w:rPr>
      <w:color w:val="605E5C"/>
      <w:shd w:val="clear" w:color="auto" w:fill="E1DFDD"/>
    </w:rPr>
  </w:style>
  <w:style w:type="character" w:styleId="FollowedHyperlink">
    <w:name w:val="FollowedHyperlink"/>
    <w:basedOn w:val="DefaultParagraphFont"/>
    <w:uiPriority w:val="99"/>
    <w:semiHidden/>
    <w:unhideWhenUsed/>
    <w:rsid w:val="00903EA8"/>
    <w:rPr>
      <w:color w:val="800080" w:themeColor="followedHyperlink"/>
      <w:u w:val="single"/>
    </w:rPr>
  </w:style>
  <w:style w:type="paragraph" w:styleId="Header">
    <w:name w:val="header"/>
    <w:basedOn w:val="Normal"/>
    <w:link w:val="HeaderChar"/>
    <w:uiPriority w:val="99"/>
    <w:unhideWhenUsed/>
    <w:rsid w:val="00CA299C"/>
    <w:pPr>
      <w:tabs>
        <w:tab w:val="center" w:pos="4680"/>
        <w:tab w:val="right" w:pos="9360"/>
      </w:tabs>
      <w:spacing w:line="240" w:lineRule="auto"/>
    </w:pPr>
  </w:style>
  <w:style w:type="character" w:customStyle="1" w:styleId="HeaderChar">
    <w:name w:val="Header Char"/>
    <w:basedOn w:val="DefaultParagraphFont"/>
    <w:link w:val="Header"/>
    <w:uiPriority w:val="99"/>
    <w:rsid w:val="00CA299C"/>
  </w:style>
  <w:style w:type="paragraph" w:styleId="Footer">
    <w:name w:val="footer"/>
    <w:basedOn w:val="Normal"/>
    <w:link w:val="FooterChar"/>
    <w:uiPriority w:val="99"/>
    <w:unhideWhenUsed/>
    <w:rsid w:val="00CA299C"/>
    <w:pPr>
      <w:tabs>
        <w:tab w:val="center" w:pos="4680"/>
        <w:tab w:val="right" w:pos="9360"/>
      </w:tabs>
      <w:spacing w:line="240" w:lineRule="auto"/>
    </w:pPr>
  </w:style>
  <w:style w:type="character" w:customStyle="1" w:styleId="FooterChar">
    <w:name w:val="Footer Char"/>
    <w:basedOn w:val="DefaultParagraphFont"/>
    <w:link w:val="Footer"/>
    <w:uiPriority w:val="99"/>
    <w:rsid w:val="00CA299C"/>
  </w:style>
  <w:style w:type="character" w:styleId="BookTitle">
    <w:name w:val="Book Title"/>
    <w:basedOn w:val="DefaultParagraphFont"/>
    <w:uiPriority w:val="33"/>
    <w:qFormat/>
    <w:rsid w:val="00CA299C"/>
    <w:rPr>
      <w:b/>
      <w:bCs/>
      <w:i/>
      <w:iCs/>
      <w:spacing w:val="5"/>
    </w:rPr>
  </w:style>
  <w:style w:type="paragraph" w:styleId="Caption">
    <w:name w:val="caption"/>
    <w:basedOn w:val="Normal"/>
    <w:next w:val="Normal"/>
    <w:uiPriority w:val="35"/>
    <w:semiHidden/>
    <w:unhideWhenUsed/>
    <w:qFormat/>
    <w:rsid w:val="00CA299C"/>
    <w:pPr>
      <w:spacing w:after="200" w:line="240" w:lineRule="auto"/>
    </w:pPr>
    <w:rPr>
      <w:i/>
      <w:iCs/>
      <w:color w:val="1F497D" w:themeColor="text2"/>
      <w:sz w:val="18"/>
      <w:szCs w:val="18"/>
    </w:rPr>
  </w:style>
  <w:style w:type="character" w:styleId="Emphasis">
    <w:name w:val="Emphasis"/>
    <w:basedOn w:val="DefaultParagraphFont"/>
    <w:uiPriority w:val="20"/>
    <w:qFormat/>
    <w:rsid w:val="00CA299C"/>
    <w:rPr>
      <w:i/>
      <w:iCs/>
    </w:rPr>
  </w:style>
  <w:style w:type="character" w:customStyle="1" w:styleId="Heading7Char">
    <w:name w:val="Heading 7 Char"/>
    <w:basedOn w:val="DefaultParagraphFont"/>
    <w:link w:val="Heading7"/>
    <w:uiPriority w:val="9"/>
    <w:semiHidden/>
    <w:rsid w:val="00CA299C"/>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CA299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299C"/>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CA299C"/>
    <w:rPr>
      <w:i/>
      <w:iCs/>
      <w:color w:val="4F81BD" w:themeColor="accent1"/>
    </w:rPr>
  </w:style>
  <w:style w:type="paragraph" w:styleId="IntenseQuote">
    <w:name w:val="Intense Quote"/>
    <w:basedOn w:val="Normal"/>
    <w:next w:val="Normal"/>
    <w:link w:val="IntenseQuoteChar"/>
    <w:uiPriority w:val="30"/>
    <w:qFormat/>
    <w:rsid w:val="00CA299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CA299C"/>
    <w:rPr>
      <w:i/>
      <w:iCs/>
      <w:color w:val="4F81BD" w:themeColor="accent1"/>
    </w:rPr>
  </w:style>
  <w:style w:type="character" w:styleId="IntenseReference">
    <w:name w:val="Intense Reference"/>
    <w:basedOn w:val="DefaultParagraphFont"/>
    <w:uiPriority w:val="32"/>
    <w:qFormat/>
    <w:rsid w:val="00CA299C"/>
    <w:rPr>
      <w:b/>
      <w:bCs/>
      <w:smallCaps/>
      <w:color w:val="4F81BD" w:themeColor="accent1"/>
      <w:spacing w:val="5"/>
    </w:rPr>
  </w:style>
  <w:style w:type="paragraph" w:styleId="NoSpacing">
    <w:name w:val="No Spacing"/>
    <w:uiPriority w:val="1"/>
    <w:qFormat/>
    <w:rsid w:val="00CA299C"/>
    <w:pPr>
      <w:spacing w:line="240" w:lineRule="auto"/>
    </w:pPr>
  </w:style>
  <w:style w:type="paragraph" w:styleId="Quote">
    <w:name w:val="Quote"/>
    <w:basedOn w:val="Normal"/>
    <w:next w:val="Normal"/>
    <w:link w:val="QuoteChar"/>
    <w:uiPriority w:val="29"/>
    <w:qFormat/>
    <w:rsid w:val="00CA299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A299C"/>
    <w:rPr>
      <w:i/>
      <w:iCs/>
      <w:color w:val="404040" w:themeColor="text1" w:themeTint="BF"/>
    </w:rPr>
  </w:style>
  <w:style w:type="character" w:styleId="Strong">
    <w:name w:val="Strong"/>
    <w:basedOn w:val="DefaultParagraphFont"/>
    <w:uiPriority w:val="22"/>
    <w:qFormat/>
    <w:rsid w:val="00CA299C"/>
    <w:rPr>
      <w:b/>
      <w:bCs/>
    </w:rPr>
  </w:style>
  <w:style w:type="character" w:styleId="SubtleEmphasis">
    <w:name w:val="Subtle Emphasis"/>
    <w:basedOn w:val="DefaultParagraphFont"/>
    <w:uiPriority w:val="19"/>
    <w:qFormat/>
    <w:rsid w:val="00CA299C"/>
    <w:rPr>
      <w:i/>
      <w:iCs/>
      <w:color w:val="404040" w:themeColor="text1" w:themeTint="BF"/>
    </w:rPr>
  </w:style>
  <w:style w:type="character" w:styleId="SubtleReference">
    <w:name w:val="Subtle Reference"/>
    <w:basedOn w:val="DefaultParagraphFont"/>
    <w:uiPriority w:val="31"/>
    <w:qFormat/>
    <w:rsid w:val="00CA299C"/>
    <w:rPr>
      <w:smallCaps/>
      <w:color w:val="5A5A5A" w:themeColor="text1" w:themeTint="A5"/>
    </w:rPr>
  </w:style>
  <w:style w:type="paragraph" w:styleId="TOCHeading">
    <w:name w:val="TOC Heading"/>
    <w:basedOn w:val="Heading1"/>
    <w:next w:val="Normal"/>
    <w:uiPriority w:val="39"/>
    <w:semiHidden/>
    <w:unhideWhenUsed/>
    <w:qFormat/>
    <w:rsid w:val="00CA299C"/>
    <w:pPr>
      <w:spacing w:before="240" w:after="0"/>
      <w:outlineLvl w:val="9"/>
    </w:pPr>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ilecache.investorroom.com/mr5ir_3mspinco/153/Solventum_Form_10.pdf" TargetMode="External"/><Relationship Id="rId13" Type="http://schemas.openxmlformats.org/officeDocument/2006/relationships/hyperlink" Target="https://investors.solventum.com/financials/sec-filings" TargetMode="External"/><Relationship Id="rId18" Type="http://schemas.openxmlformats.org/officeDocument/2006/relationships/image" Target="media/image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s://earningsanatomy.com/blogs/solventum-solv-2025-10k-analysis-3m-spinoff" TargetMode="External"/><Relationship Id="rId12" Type="http://schemas.openxmlformats.org/officeDocument/2006/relationships/hyperlink" Target="https://investors.solventum.com/_assets/_e78219b3b8d85afd378d4f5177fcf8a7/solventum/db/3734/35343/webcast_transcript/SOLV_2Q26+Earnings+Transcript_08052026_vF.pdf" TargetMode="External"/><Relationship Id="rId17" Type="http://schemas.openxmlformats.org/officeDocument/2006/relationships/image" Target="media/image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trianpartners.com/wp-content/uploads/2026/04/Trian-Calls-on-Solventums-Board-to-Create-Value_-Publishes-Open-Letter-and-Slide-Deck-Combined-Wrap-Letter-Slides.pdf" TargetMode="Externa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nvestors.solventum.com/news-events/events-presentations/detail/20260805-q2-2026-earnings"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trianpartners.com/wp-content/uploads/2025/01/2025-01-08-SOLV-Shareholder-Letter-Release.pdf"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investors.solventum.com/financials/sec-filings"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investors.solventum.com/_assets/_126b32dd547e00c41e5837743bc3789f/solventum/db/3711/35149/file/SOLV_2025%2BInvestor%2BDay%2BTranscript%2B-%2BvF.pdf" TargetMode="External"/><Relationship Id="rId14" Type="http://schemas.openxmlformats.org/officeDocument/2006/relationships/hyperlink" Target="https://www.cnbc.com/2024/07/27/activist-trian-has-a-few-levers-to-pull-to-build-shareholder-value-at-solventum.html" TargetMode="External"/><Relationship Id="rId22" Type="http://schemas.openxmlformats.org/officeDocument/2006/relationships/header" Target="header1.xml"/><Relationship Id="rId27"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174</TotalTime>
  <Pages>9</Pages>
  <Words>1731</Words>
  <Characters>11045</Characters>
  <Application>Microsoft Office Word</Application>
  <DocSecurity>0</DocSecurity>
  <Lines>220</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Curtis Nielson</cp:lastModifiedBy>
  <cp:revision>3</cp:revision>
  <dcterms:created xsi:type="dcterms:W3CDTF">2026-09-13T19:23:00Z</dcterms:created>
  <dcterms:modified xsi:type="dcterms:W3CDTF">2026-09-14T02:55:00Z</dcterms:modified>
</cp:coreProperties>
</file>