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1.-cohort-characteristics-n-171"/>
    <w:p>
      <w:pPr>
        <w:pStyle w:val="Heading2"/>
      </w:pPr>
      <w:r>
        <w:t xml:space="preserve">Table 1. Cohort characteristics (N = 171)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Age, years — mean (SD)</w:t>
            </w:r>
          </w:p>
        </w:tc>
        <w:tc>
          <w:tcPr/>
          <w:p>
            <w:pPr>
              <w:pStyle w:val="Compact"/>
            </w:pPr>
            <w:r>
              <w:t xml:space="preserve">54.1 (14.5)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 sex</w:t>
            </w:r>
          </w:p>
        </w:tc>
        <w:tc>
          <w:tcPr/>
          <w:p>
            <w:pPr>
              <w:pStyle w:val="Compact"/>
            </w:pPr>
            <w:r>
              <w:t xml:space="preserve">113 (66%)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Current/former smoker</w:t>
            </w:r>
          </w:p>
        </w:tc>
        <w:tc>
          <w:tcPr/>
          <w:p>
            <w:pPr>
              <w:pStyle w:val="Compact"/>
            </w:pPr>
            <w:r>
              <w:t xml:space="preserve">73 (44%)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Hypertension</w:t>
            </w:r>
          </w:p>
        </w:tc>
        <w:tc>
          <w:tcPr/>
          <w:p>
            <w:pPr>
              <w:pStyle w:val="Compact"/>
            </w:pPr>
            <w:r>
              <w:t xml:space="preserve">84 (63%)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19 (11%)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Statin use</w:t>
            </w:r>
          </w:p>
        </w:tc>
        <w:tc>
          <w:tcPr/>
          <w:p>
            <w:pPr>
              <w:pStyle w:val="Compact"/>
            </w:pPr>
            <w:r>
              <w:t xml:space="preserve">40 (24%)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Posterior circulation</w:t>
            </w:r>
          </w:p>
        </w:tc>
        <w:tc>
          <w:tcPr/>
          <w:p>
            <w:pPr>
              <w:pStyle w:val="Compact"/>
            </w:pPr>
            <w:r>
              <w:t xml:space="preserve">42 (25%)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 3–5</w:t>
            </w:r>
          </w:p>
        </w:tc>
        <w:tc>
          <w:tcPr/>
          <w:p>
            <w:pPr>
              <w:pStyle w:val="Compact"/>
            </w:pPr>
            <w:r>
              <w:t xml:space="preserve">68 (51%)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mFS 3–4</w:t>
            </w:r>
          </w:p>
        </w:tc>
        <w:tc>
          <w:tcPr/>
          <w:p>
            <w:pPr>
              <w:pStyle w:val="Compact"/>
            </w:pPr>
            <w:r>
              <w:t xml:space="preserve">101 (76%)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 4–5</w:t>
            </w:r>
          </w:p>
        </w:tc>
        <w:tc>
          <w:tcPr/>
          <w:p>
            <w:pPr>
              <w:pStyle w:val="Compact"/>
            </w:pPr>
            <w:r>
              <w:t xml:space="preserve">41 (30%)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diameter, mm — mean (SD)</w:t>
            </w:r>
          </w:p>
        </w:tc>
        <w:tc>
          <w:tcPr/>
          <w:p>
            <w:pPr>
              <w:pStyle w:val="Compact"/>
            </w:pPr>
            <w:r>
              <w:t xml:space="preserve">7.1 (4.6)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Aspect ratio — mean (SD)</w:t>
            </w:r>
          </w:p>
        </w:tc>
        <w:tc>
          <w:tcPr/>
          <w:p>
            <w:pPr>
              <w:pStyle w:val="Compact"/>
            </w:pPr>
            <w:r>
              <w:t xml:space="preserve">2.02 (0.87)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ratio — mean (SD)</w:t>
            </w:r>
          </w:p>
        </w:tc>
        <w:tc>
          <w:tcPr/>
          <w:p>
            <w:pPr>
              <w:pStyle w:val="Compact"/>
            </w:pPr>
            <w:r>
              <w:t xml:space="preserve">2.05 (1.22)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Volume, mm³ — mean (SD)</w:t>
            </w:r>
          </w:p>
        </w:tc>
        <w:tc>
          <w:tcPr/>
          <w:p>
            <w:pPr>
              <w:pStyle w:val="Compact"/>
            </w:pPr>
            <w:r>
              <w:t xml:space="preserve">257 (687)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Bleb present</w:t>
            </w:r>
          </w:p>
        </w:tc>
        <w:tc>
          <w:tcPr/>
          <w:p>
            <w:pPr>
              <w:pStyle w:val="Compact"/>
            </w:pPr>
            <w:r>
              <w:t xml:space="preserve">55 (32%)</w:t>
            </w:r>
          </w:p>
        </w:tc>
      </w:tr>
    </w:tbl>
    <w:bookmarkEnd w:id="9"/>
    <w:bookmarkStart w:id="10" w:name="Xb8ae118f6da29769d109bdb887d44e788d481f9"/>
    <w:p>
      <w:pPr>
        <w:pStyle w:val="Heading2"/>
      </w:pPr>
      <w:r>
        <w:t xml:space="preserve">Table 2. Adjusted per-SD ordinal odds ratios for morphology → severity</w:t>
      </w:r>
    </w:p>
    <w:p>
      <w:pPr>
        <w:pStyle w:val="FirstParagraph"/>
      </w:pPr>
      <w:r>
        <w:t xml:space="preserve">Proportional-odds ordinal regression, one index per model, adjusted for age, sex, smoking, hypertension, diabetes, statin, circulation. OR &gt; 1 = higher severity.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Complete-case OR (95% CI), p</w:t>
            </w:r>
          </w:p>
        </w:tc>
        <w:tc>
          <w:tcPr/>
          <w:p>
            <w:pPr>
              <w:pStyle w:val="Compact"/>
            </w:pPr>
            <w:r>
              <w:t xml:space="preserve">Multiple-imputation OR (95% CI), p</w:t>
            </w:r>
          </w:p>
        </w:tc>
        <w:tc>
          <w:tcPr/>
          <w:p>
            <w:pPr>
              <w:pStyle w:val="Compact"/>
            </w:pPr>
            <w:r>
              <w:t xml:space="preserve">MI FDR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Size ratio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2.04 (1.16–3.60), 0.013</w:t>
            </w:r>
          </w:p>
        </w:tc>
        <w:tc>
          <w:tcPr/>
          <w:p>
            <w:pPr>
              <w:pStyle w:val="Compact"/>
            </w:pPr>
            <w:r>
              <w:t xml:space="preserve">1.67 (1.17–2.39), 0.004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1.26 (0.75–2.14), 0.384</w:t>
            </w:r>
          </w:p>
        </w:tc>
        <w:tc>
          <w:tcPr/>
          <w:p>
            <w:pPr>
              <w:pStyle w:val="Compact"/>
            </w:pPr>
            <w:r>
              <w:t xml:space="preserve">1.46 (1.01–2.10), 0.042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Max diameter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1.13 (0.64–2.00), 0.671</w:t>
            </w:r>
          </w:p>
        </w:tc>
        <w:tc>
          <w:tcPr/>
          <w:p>
            <w:pPr>
              <w:pStyle w:val="Compact"/>
            </w:pPr>
            <w:r>
              <w:t xml:space="preserve">1.33 (0.93–1.89), 0.113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Volume (log)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1.16 (0.69–1.93), 0.582</w:t>
            </w:r>
          </w:p>
        </w:tc>
        <w:tc>
          <w:tcPr/>
          <w:p>
            <w:pPr>
              <w:pStyle w:val="Compact"/>
            </w:pPr>
            <w:r>
              <w:t xml:space="preserve">1.35 (0.96–1.88), 0.082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Neck width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1.03 (0.68–1.55), 0.904</w:t>
            </w:r>
          </w:p>
        </w:tc>
        <w:tc>
          <w:tcPr/>
          <w:p>
            <w:pPr>
              <w:pStyle w:val="Compact"/>
            </w:pPr>
            <w:r>
              <w:t xml:space="preserve">1.09 (0.81–1.48), 0.576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Height/width ratio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0.90 (0.60–1.34), 0.606</w:t>
            </w:r>
          </w:p>
        </w:tc>
        <w:tc>
          <w:tcPr/>
          <w:p>
            <w:pPr>
              <w:pStyle w:val="Compact"/>
            </w:pPr>
            <w:r>
              <w:t xml:space="preserve">1.01 (0.74–1.38), 0.941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Neck/parent ratio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1.51 (0.95–2.39), 0.080</w:t>
            </w:r>
          </w:p>
        </w:tc>
        <w:tc>
          <w:tcPr/>
          <w:p>
            <w:pPr>
              <w:pStyle w:val="Compact"/>
            </w:pPr>
            <w:r>
              <w:t xml:space="preserve">1.39 (0.99–1.96), 0.058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Size ratio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1.56 (1.01–2.39), 0.043</w:t>
            </w:r>
          </w:p>
        </w:tc>
        <w:tc>
          <w:tcPr/>
          <w:p>
            <w:pPr>
              <w:pStyle w:val="Compact"/>
            </w:pPr>
            <w:r>
              <w:t xml:space="preserve">1.54 (1.10–2.16), 0.011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1.37 (0.92–2.03), 0.123</w:t>
            </w:r>
          </w:p>
        </w:tc>
        <w:tc>
          <w:tcPr/>
          <w:p>
            <w:pPr>
              <w:pStyle w:val="Compact"/>
            </w:pPr>
            <w:r>
              <w:t xml:space="preserve">1.71 (1.22–2.40), 0.002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Max diameter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1.47 (0.86–2.53), 0.162</w:t>
            </w:r>
          </w:p>
        </w:tc>
        <w:tc>
          <w:tcPr/>
          <w:p>
            <w:pPr>
              <w:pStyle w:val="Compact"/>
            </w:pPr>
            <w:r>
              <w:t xml:space="preserve">1.52 (1.08–2.12), 0.016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Volume (log)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1.41 (0.85–2.34), 0.185</w:t>
            </w:r>
          </w:p>
        </w:tc>
        <w:tc>
          <w:tcPr/>
          <w:p>
            <w:pPr>
              <w:pStyle w:val="Compact"/>
            </w:pPr>
            <w:r>
              <w:t xml:space="preserve">1.61 (1.14–2.27), 0.007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Neck width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1.02 (0.67–1.55), 0.932</w:t>
            </w:r>
          </w:p>
        </w:tc>
        <w:tc>
          <w:tcPr/>
          <w:p>
            <w:pPr>
              <w:pStyle w:val="Compact"/>
            </w:pPr>
            <w:r>
              <w:t xml:space="preserve">1.08 (0.79–1.46), 0.634</w:t>
            </w:r>
          </w:p>
        </w:tc>
        <w:tc>
          <w:tcPr/>
          <w:p>
            <w:pPr>
              <w:pStyle w:val="Compact"/>
            </w:pPr>
            <w:r>
              <w:t xml:space="preserve">0.740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Height/width ratio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0.97 (0.66–1.42), 0.878</w:t>
            </w:r>
          </w:p>
        </w:tc>
        <w:tc>
          <w:tcPr/>
          <w:p>
            <w:pPr>
              <w:pStyle w:val="Compact"/>
            </w:pPr>
            <w:r>
              <w:t xml:space="preserve">1.14 (0.84–1.54), 0.402</w:t>
            </w:r>
          </w:p>
        </w:tc>
        <w:tc>
          <w:tcPr/>
          <w:p>
            <w:pPr>
              <w:pStyle w:val="Compact"/>
            </w:pPr>
            <w:r>
              <w:t xml:space="preserve">0.528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Neck/parent ratio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1.23 (0.80–1.90), 0.341</w:t>
            </w:r>
          </w:p>
        </w:tc>
        <w:tc>
          <w:tcPr/>
          <w:p>
            <w:pPr>
              <w:pStyle w:val="Compact"/>
            </w:pPr>
            <w:r>
              <w:t xml:space="preserve">1.27 (0.94–1.72), 0.127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Size ratio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1.82 (1.16–2.87), 0.010</w:t>
            </w:r>
          </w:p>
        </w:tc>
        <w:tc>
          <w:tcPr/>
          <w:p>
            <w:pPr>
              <w:pStyle w:val="Compact"/>
            </w:pPr>
            <w:r>
              <w:t xml:space="preserve">1.38 (1.00–1.91), 0.049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1.46 (0.98–2.18), 0.061</w:t>
            </w:r>
          </w:p>
        </w:tc>
        <w:tc>
          <w:tcPr/>
          <w:p>
            <w:pPr>
              <w:pStyle w:val="Compact"/>
            </w:pPr>
            <w:r>
              <w:t xml:space="preserve">1.50 (1.10–2.05), 0.010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Max diameter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1.69 (0.97–2.95), 0.062</w:t>
            </w:r>
          </w:p>
        </w:tc>
        <w:tc>
          <w:tcPr/>
          <w:p>
            <w:pPr>
              <w:pStyle w:val="Compact"/>
            </w:pPr>
            <w:r>
              <w:t xml:space="preserve">1.34 (0.96–1.87), 0.085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Volume (log)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1.45 (0.86–2.42), 0.162</w:t>
            </w:r>
          </w:p>
        </w:tc>
        <w:tc>
          <w:tcPr/>
          <w:p>
            <w:pPr>
              <w:pStyle w:val="Compact"/>
            </w:pPr>
            <w:r>
              <w:t xml:space="preserve">1.42 (1.00–2.01), 0.049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Neck width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1.03 (0.66–1.61), 0.885</w:t>
            </w:r>
          </w:p>
        </w:tc>
        <w:tc>
          <w:tcPr/>
          <w:p>
            <w:pPr>
              <w:pStyle w:val="Compact"/>
            </w:pPr>
            <w:r>
              <w:t xml:space="preserve">1.05 (0.75–1.48), 0.772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Height/width ratio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1.05 (0.71–1.55), 0.805</w:t>
            </w:r>
          </w:p>
        </w:tc>
        <w:tc>
          <w:tcPr/>
          <w:p>
            <w:pPr>
              <w:pStyle w:val="Compact"/>
            </w:pPr>
            <w:r>
              <w:t xml:space="preserve">1.07 (0.77–1.49), 0.682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Neck/parent ratio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1.26 (0.80–1.99), 0.313</w:t>
            </w:r>
          </w:p>
        </w:tc>
        <w:tc>
          <w:tcPr/>
          <w:p>
            <w:pPr>
              <w:pStyle w:val="Compact"/>
            </w:pPr>
            <w:r>
              <w:t xml:space="preserve">1.20 (0.86–1.68), 0.280</w:t>
            </w:r>
          </w:p>
        </w:tc>
        <w:tc>
          <w:tcPr/>
          <w:p>
            <w:pPr>
              <w:pStyle w:val="Compact"/>
            </w:pPr>
            <w:r>
              <w:t xml:space="preserve">0.392</w:t>
            </w:r>
          </w:p>
        </w:tc>
      </w:tr>
    </w:tbl>
    <w:bookmarkEnd w:id="10"/>
    <w:bookmarkStart w:id="11" w:name="Xca6edfe73796d7fbb2272b40085cf498b40b089"/>
    <w:p>
      <w:pPr>
        <w:pStyle w:val="Heading2"/>
      </w:pPr>
      <w:r>
        <w:t xml:space="preserve">Table 3. Morphometric associations surviving FDR correction (multiple imputation)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MI OR (95% CI), p</w:t>
            </w:r>
          </w:p>
        </w:tc>
        <w:tc>
          <w:tcPr/>
          <w:p>
            <w:pPr>
              <w:pStyle w:val="Compact"/>
            </w:pPr>
            <w:r>
              <w:t xml:space="preserve">MI FDR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1.71 (1.22–2.40), 0.002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Size ratio</w:t>
            </w:r>
          </w:p>
        </w:tc>
        <w:tc>
          <w:tcPr/>
          <w:p>
            <w:pPr>
              <w:pStyle w:val="Compact"/>
            </w:pPr>
            <w:r>
              <w:t xml:space="preserve">1.67 (1.17–2.39), 0.004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Size ratio</w:t>
            </w:r>
          </w:p>
        </w:tc>
        <w:tc>
          <w:tcPr/>
          <w:p>
            <w:pPr>
              <w:pStyle w:val="Compact"/>
            </w:pPr>
            <w:r>
              <w:t xml:space="preserve">1.54 (1.10–2.16), 0.011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Volume (log)</w:t>
            </w:r>
          </w:p>
        </w:tc>
        <w:tc>
          <w:tcPr/>
          <w:p>
            <w:pPr>
              <w:pStyle w:val="Compact"/>
            </w:pPr>
            <w:r>
              <w:t xml:space="preserve">1.61 (1.14–2.27), 0.007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1.50 (1.10–2.05), 0.010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</w:tbl>
    <w:bookmarkEnd w:id="11"/>
    <w:bookmarkStart w:id="12" w:name="Xac14465a0c69454e11f9ba49ebe752f7acdb5e8"/>
    <w:p>
      <w:pPr>
        <w:pStyle w:val="Heading2"/>
      </w:pPr>
      <w:r>
        <w:t xml:space="preserve">Supplementary Table S1. Principal components → severity (ordinal, adjusted)</w:t>
      </w:r>
    </w:p>
    <w:p>
      <w:pPr>
        <w:pStyle w:val="FirstParagraph"/>
      </w:pPr>
      <w:r>
        <w:t xml:space="preserve">PC1 = size axis (48% var); PC2 = shape axis (22%).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OR (95% CI),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1.19 (0.94–1.52), 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0.97 (0.71–1.33), 0.860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PC3</w:t>
            </w:r>
          </w:p>
        </w:tc>
        <w:tc>
          <w:tcPr/>
          <w:p>
            <w:pPr>
              <w:pStyle w:val="Compact"/>
            </w:pPr>
            <w:r>
              <w:t xml:space="preserve">1.01 (0.70–1.46), 0.956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1.22 (0.98–1.53), 0.079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0.88 (0.65–1.18), 0.387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PC3</w:t>
            </w:r>
          </w:p>
        </w:tc>
        <w:tc>
          <w:tcPr/>
          <w:p>
            <w:pPr>
              <w:pStyle w:val="Compact"/>
            </w:pPr>
            <w:r>
              <w:t xml:space="preserve">1.20 (0.84–1.71), 0.325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1.29 (1.02–1.62), 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0.87 (0.63–1.19), 0.374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PC3</w:t>
            </w:r>
          </w:p>
        </w:tc>
        <w:tc>
          <w:tcPr/>
          <w:p>
            <w:pPr>
              <w:pStyle w:val="Compact"/>
            </w:pPr>
            <w:r>
              <w:t xml:space="preserve">1.23 (0.85–1.79), 0.270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GCS (linear)</w:t>
            </w:r>
          </w:p>
        </w:tc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β=-0.61, p=0.007</w:t>
            </w:r>
          </w:p>
        </w:tc>
      </w:tr>
    </w:tbl>
    <w:bookmarkEnd w:id="12"/>
    <w:bookmarkStart w:id="13" w:name="Xf751e1e9dfb84f7eebce91ec98d128e3b5ce44f"/>
    <w:p>
      <w:pPr>
        <w:pStyle w:val="Heading2"/>
      </w:pPr>
      <w:r>
        <w:t xml:space="preserve">Supplementary Table S2. E-values for unmeasured confounding (MI estimates)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OR (95% CI)</w:t>
            </w:r>
          </w:p>
        </w:tc>
        <w:tc>
          <w:tcPr/>
          <w:p>
            <w:pPr>
              <w:pStyle w:val="Compact"/>
            </w:pPr>
            <w:r>
              <w:t xml:space="preserve">E-value (point)</w:t>
            </w:r>
          </w:p>
        </w:tc>
        <w:tc>
          <w:tcPr/>
          <w:p>
            <w:pPr>
              <w:pStyle w:val="Compact"/>
            </w:pPr>
            <w:r>
              <w:t xml:space="preserve">E-value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Size ratio</w:t>
            </w:r>
          </w:p>
        </w:tc>
        <w:tc>
          <w:tcPr/>
          <w:p>
            <w:pPr>
              <w:pStyle w:val="Compact"/>
            </w:pPr>
            <w:r>
              <w:t xml:space="preserve">1.67 (1.17–2.39)</w:t>
            </w:r>
          </w:p>
        </w:tc>
        <w:tc>
          <w:tcPr/>
          <w:p>
            <w:pPr>
              <w:pStyle w:val="Compact"/>
            </w:pPr>
            <w:r>
              <w:t xml:space="preserve">1.91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Fisher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1.46 (1.01–2.10)</w:t>
            </w:r>
          </w:p>
        </w:tc>
        <w:tc>
          <w:tcPr/>
          <w:p>
            <w:pPr>
              <w:pStyle w:val="Compact"/>
            </w:pPr>
            <w:r>
              <w:t xml:space="preserve">1.71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Size ratio</w:t>
            </w:r>
          </w:p>
        </w:tc>
        <w:tc>
          <w:tcPr/>
          <w:p>
            <w:pPr>
              <w:pStyle w:val="Compact"/>
            </w:pPr>
            <w:r>
              <w:t xml:space="preserve">1.54 (1.10–2.16)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  <w:tc>
          <w:tcPr/>
          <w:p>
            <w:pPr>
              <w:pStyle w:val="Compact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Hunt &amp; Hess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1.71 (1.22–2.40)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Size ratio</w:t>
            </w:r>
          </w:p>
        </w:tc>
        <w:tc>
          <w:tcPr/>
          <w:p>
            <w:pPr>
              <w:pStyle w:val="Compact"/>
            </w:pPr>
            <w:r>
              <w:t xml:space="preserve">1.38 (1.00–1.91)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WFNS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t xml:space="preserve">1.50 (1.10–2.05)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t xml:space="preserve">1.28</w:t>
            </w:r>
          </w:p>
        </w:tc>
      </w:tr>
    </w:tbl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2026-07-02T00:46:06Z</dcterms:created>
  <dcterms:modified xsi:type="dcterms:W3CDTF">2026-07-02T00:46:06Z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