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see Appendix S4.</w:t>
            </w:r>
          </w:p>
        </w:tc>
        <w:tc>
          <w:tcPr>
            <w:tcW w:type="dxa" w:w="2340"/>
          </w:tcPr>
          <w:p>
            <w:r>
              <w:rPr>
                <w:rFonts w:ascii="Times New Roman" w:hAnsi="Times New Roman"/>
                <w:sz w:val="20"/>
              </w:rPr>
              <w:t>Yes,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excluded from the primary analysis</w:t>
      </w:r>
    </w:p>
    <w:p>
      <w:pPr>
        <w:spacing w:line="360" w:lineRule="auto" w:after="120"/>
        <w:jc w:val="both"/>
      </w:pPr>
      <w:r>
        <w:rPr>
          <w:rFonts w:ascii="Times New Roman" w:hAnsi="Times New Roman"/>
          <w:b w:val="0"/>
          <w:i w:val="0"/>
          <w:sz w:val="22"/>
        </w:rPr>
        <w:t>A preliminary analysis attempted to extend external evaluation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candidate pipeline depends on the missing-data assumption. The candidate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external-evaluation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Appendix S6.  Conformal set-to-action mapping and cost-effectiveness sensitivity</w:t>
      </w:r>
    </w:p>
    <w:p>
      <w:pPr>
        <w:spacing w:line="360" w:lineRule="auto" w:after="120"/>
        <w:jc w:val="both"/>
      </w:pPr>
      <w:r>
        <w:rPr>
          <w:rFonts w:ascii="Times New Roman" w:hAnsi="Times New Roman"/>
          <w:b w:val="0"/>
          <w:i w:val="0"/>
          <w:sz w:val="22"/>
        </w:rPr>
        <w:t>Mapping. Each conformal prediction set is mapped to an explicit action: a singleton {no-seizure} to observation, a singleton {seizure} to continuous EEG plus targeted AED, and the doubleton (abstention) to a default policy. Because the doubleton policy is a design lever, three mappings were evaluated (doubleton → universal AED, → observation, → cEEG).</w:t>
      </w:r>
    </w:p>
    <w:p>
      <w:pPr>
        <w:spacing w:line="360" w:lineRule="auto" w:after="120"/>
        <w:jc w:val="both"/>
      </w:pPr>
      <w:r>
        <w:rPr>
          <w:rFonts w:ascii="Times New Roman" w:hAnsi="Times New Roman"/>
          <w:b w:val="0"/>
          <w:i w:val="0"/>
          <w:sz w:val="22"/>
        </w:rPr>
        <w:t>Deployable operating point. At the calibrated base-rate threshold (0.073) the deployable postoperative-B model has the following operating characteristics (bootstrap 95% CIs):</w:t>
      </w:r>
    </w:p>
    <w:p>
      <w:r>
        <w:rPr>
          <w:rFonts w:ascii="Times New Roman" w:hAnsi="Times New Roman"/>
          <w:b/>
          <w:sz w:val="22"/>
        </w:rPr>
        <w:t>Table S6a.  Deployable operating point (threshold 7.3%).</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Estimate</w:t>
            </w:r>
          </w:p>
        </w:tc>
        <w:tc>
          <w:tcPr>
            <w:tcW w:type="dxa" w:w="3120"/>
          </w:tcPr>
          <w:p>
            <w:r>
              <w:rPr>
                <w:rFonts w:ascii="Times New Roman" w:hAnsi="Times New Roman"/>
                <w:b/>
                <w:sz w:val="20"/>
              </w:rPr>
              <w:t>95% CI</w:t>
            </w:r>
          </w:p>
        </w:tc>
      </w:tr>
      <w:tr>
        <w:tc>
          <w:tcPr>
            <w:tcW w:type="dxa" w:w="3120"/>
          </w:tcPr>
          <w:p>
            <w:r>
              <w:rPr>
                <w:rFonts w:ascii="Times New Roman" w:hAnsi="Times New Roman"/>
                <w:sz w:val="20"/>
              </w:rPr>
              <w:t>Sensitivity</w:t>
            </w:r>
          </w:p>
        </w:tc>
        <w:tc>
          <w:tcPr>
            <w:tcW w:type="dxa" w:w="3120"/>
          </w:tcPr>
          <w:p>
            <w:r>
              <w:rPr>
                <w:rFonts w:ascii="Times New Roman" w:hAnsi="Times New Roman"/>
                <w:sz w:val="20"/>
              </w:rPr>
              <w:t>0.50</w:t>
            </w:r>
          </w:p>
        </w:tc>
        <w:tc>
          <w:tcPr>
            <w:tcW w:type="dxa" w:w="3120"/>
          </w:tcPr>
          <w:p>
            <w:r>
              <w:rPr>
                <w:rFonts w:ascii="Times New Roman" w:hAnsi="Times New Roman"/>
                <w:sz w:val="20"/>
              </w:rPr>
              <w:t>0.36–0.64</w:t>
            </w:r>
          </w:p>
        </w:tc>
      </w:tr>
      <w:tr>
        <w:tc>
          <w:tcPr>
            <w:tcW w:type="dxa" w:w="3120"/>
          </w:tcPr>
          <w:p>
            <w:r>
              <w:rPr>
                <w:rFonts w:ascii="Times New Roman" w:hAnsi="Times New Roman"/>
                <w:sz w:val="20"/>
              </w:rPr>
              <w:t>Specificity</w:t>
            </w:r>
          </w:p>
        </w:tc>
        <w:tc>
          <w:tcPr>
            <w:tcW w:type="dxa" w:w="3120"/>
          </w:tcPr>
          <w:p>
            <w:r>
              <w:rPr>
                <w:rFonts w:ascii="Times New Roman" w:hAnsi="Times New Roman"/>
                <w:sz w:val="20"/>
              </w:rPr>
              <w:t>0.70</w:t>
            </w:r>
          </w:p>
        </w:tc>
        <w:tc>
          <w:tcPr>
            <w:tcW w:type="dxa" w:w="3120"/>
          </w:tcPr>
          <w:p>
            <w:r>
              <w:rPr>
                <w:rFonts w:ascii="Times New Roman" w:hAnsi="Times New Roman"/>
                <w:sz w:val="20"/>
              </w:rPr>
              <w:t>0.66–0.74</w:t>
            </w:r>
          </w:p>
        </w:tc>
      </w:tr>
      <w:tr>
        <w:tc>
          <w:tcPr>
            <w:tcW w:type="dxa" w:w="3120"/>
          </w:tcPr>
          <w:p>
            <w:r>
              <w:rPr>
                <w:rFonts w:ascii="Times New Roman" w:hAnsi="Times New Roman"/>
                <w:sz w:val="20"/>
              </w:rPr>
              <w:t>PPV</w:t>
            </w:r>
          </w:p>
        </w:tc>
        <w:tc>
          <w:tcPr>
            <w:tcW w:type="dxa" w:w="3120"/>
          </w:tcPr>
          <w:p>
            <w:r>
              <w:rPr>
                <w:rFonts w:ascii="Times New Roman" w:hAnsi="Times New Roman"/>
                <w:sz w:val="20"/>
              </w:rPr>
              <w:t>0.12</w:t>
            </w:r>
          </w:p>
        </w:tc>
        <w:tc>
          <w:tcPr>
            <w:tcW w:type="dxa" w:w="3120"/>
          </w:tcPr>
          <w:p>
            <w:r>
              <w:rPr>
                <w:rFonts w:ascii="Times New Roman" w:hAnsi="Times New Roman"/>
                <w:sz w:val="20"/>
              </w:rPr>
              <w:t>0.07–0.16</w:t>
            </w:r>
          </w:p>
        </w:tc>
      </w:tr>
      <w:tr>
        <w:tc>
          <w:tcPr>
            <w:tcW w:type="dxa" w:w="3120"/>
          </w:tcPr>
          <w:p>
            <w:r>
              <w:rPr>
                <w:rFonts w:ascii="Times New Roman" w:hAnsi="Times New Roman"/>
                <w:sz w:val="20"/>
              </w:rPr>
              <w:t>NPV</w:t>
            </w:r>
          </w:p>
        </w:tc>
        <w:tc>
          <w:tcPr>
            <w:tcW w:type="dxa" w:w="3120"/>
          </w:tcPr>
          <w:p>
            <w:r>
              <w:rPr>
                <w:rFonts w:ascii="Times New Roman" w:hAnsi="Times New Roman"/>
                <w:sz w:val="20"/>
              </w:rPr>
              <w:t>0.95</w:t>
            </w:r>
          </w:p>
        </w:tc>
        <w:tc>
          <w:tcPr>
            <w:tcW w:type="dxa" w:w="3120"/>
          </w:tcPr>
          <w:p>
            <w:r>
              <w:rPr>
                <w:rFonts w:ascii="Times New Roman" w:hAnsi="Times New Roman"/>
                <w:sz w:val="20"/>
              </w:rPr>
              <w:t>0.93–0.97</w:t>
            </w:r>
          </w:p>
        </w:tc>
      </w:tr>
    </w:tbl>
    <w:p>
      <w:r>
        <w:rPr>
          <w:rFonts w:ascii="Times New Roman" w:hAnsi="Times New Roman"/>
          <w:b/>
          <w:sz w:val="22"/>
        </w:rPr>
        <w:t>Table S6b.  Optimal strategy at $100k/QALY under each doubleton mapping.</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policy</w:t>
            </w:r>
          </w:p>
        </w:tc>
        <w:tc>
          <w:tcPr>
            <w:tcW w:type="dxa" w:w="2340"/>
          </w:tcPr>
          <w:p>
            <w:r>
              <w:rPr>
                <w:rFonts w:ascii="Times New Roman" w:hAnsi="Times New Roman"/>
                <w:b/>
                <w:sz w:val="20"/>
              </w:rPr>
              <w:t>best_strategy</w:t>
            </w:r>
          </w:p>
        </w:tc>
        <w:tc>
          <w:tcPr>
            <w:tcW w:type="dxa" w:w="2340"/>
          </w:tcPr>
          <w:p>
            <w:r>
              <w:rPr>
                <w:rFonts w:ascii="Times New Roman" w:hAnsi="Times New Roman"/>
                <w:b/>
                <w:sz w:val="20"/>
              </w:rPr>
              <w:t>mapping_sens</w:t>
            </w:r>
          </w:p>
        </w:tc>
        <w:tc>
          <w:tcPr>
            <w:tcW w:type="dxa" w:w="2340"/>
          </w:tcPr>
          <w:p>
            <w:r>
              <w:rPr>
                <w:rFonts w:ascii="Times New Roman" w:hAnsi="Times New Roman"/>
                <w:b/>
                <w:sz w:val="20"/>
              </w:rPr>
              <w:t>mapping_spec</w:t>
            </w:r>
          </w:p>
        </w:tc>
      </w:tr>
      <w:tr>
        <w:tc>
          <w:tcPr>
            <w:tcW w:type="dxa" w:w="2340"/>
          </w:tcPr>
          <w:p>
            <w:r>
              <w:rPr>
                <w:rFonts w:ascii="Times New Roman" w:hAnsi="Times New Roman"/>
                <w:sz w:val="20"/>
              </w:rPr>
              <w:t>universal_aed_defer</w:t>
            </w:r>
          </w:p>
        </w:tc>
        <w:tc>
          <w:tcPr>
            <w:tcW w:type="dxa" w:w="2340"/>
          </w:tcPr>
          <w:p>
            <w:r>
              <w:rPr>
                <w:rFonts w:ascii="Times New Roman" w:hAnsi="Times New Roman"/>
                <w:sz w:val="20"/>
              </w:rPr>
              <w:t>mlg</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r>
        <w:tc>
          <w:tcPr>
            <w:tcW w:type="dxa" w:w="2340"/>
          </w:tcPr>
          <w:p>
            <w:r>
              <w:rPr>
                <w:rFonts w:ascii="Times New Roman" w:hAnsi="Times New Roman"/>
                <w:sz w:val="20"/>
              </w:rPr>
              <w:t>observation_defer</w:t>
            </w:r>
          </w:p>
        </w:tc>
        <w:tc>
          <w:tcPr>
            <w:tcW w:type="dxa" w:w="2340"/>
          </w:tcPr>
          <w:p>
            <w:r>
              <w:rPr>
                <w:rFonts w:ascii="Times New Roman" w:hAnsi="Times New Roman"/>
                <w:sz w:val="20"/>
              </w:rPr>
              <w:t>mlg</w:t>
            </w:r>
          </w:p>
        </w:tc>
        <w:tc>
          <w:tcPr>
            <w:tcW w:type="dxa" w:w="2340"/>
          </w:tcPr>
          <w:p>
            <w:r>
              <w:rPr>
                <w:rFonts w:ascii="Times New Roman" w:hAnsi="Times New Roman"/>
                <w:sz w:val="20"/>
              </w:rPr>
              <w:t>0.229</w:t>
            </w:r>
          </w:p>
        </w:tc>
        <w:tc>
          <w:tcPr>
            <w:tcW w:type="dxa" w:w="2340"/>
          </w:tcPr>
          <w:p>
            <w:r>
              <w:rPr>
                <w:rFonts w:ascii="Times New Roman" w:hAnsi="Times New Roman"/>
                <w:sz w:val="20"/>
              </w:rPr>
              <w:t>0.908</w:t>
            </w:r>
          </w:p>
        </w:tc>
      </w:tr>
      <w:tr>
        <w:tc>
          <w:tcPr>
            <w:tcW w:type="dxa" w:w="2340"/>
          </w:tcPr>
          <w:p>
            <w:r>
              <w:rPr>
                <w:rFonts w:ascii="Times New Roman" w:hAnsi="Times New Roman"/>
                <w:sz w:val="20"/>
              </w:rPr>
              <w:t>ceeg_defer</w:t>
            </w:r>
          </w:p>
        </w:tc>
        <w:tc>
          <w:tcPr>
            <w:tcW w:type="dxa" w:w="2340"/>
          </w:tcPr>
          <w:p>
            <w:r>
              <w:rPr>
                <w:rFonts w:ascii="Times New Roman" w:hAnsi="Times New Roman"/>
                <w:sz w:val="20"/>
              </w:rPr>
              <w:t>mlg</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bl>
    <w:p>
      <w:pPr>
        <w:spacing w:line="360" w:lineRule="auto" w:after="120"/>
        <w:jc w:val="both"/>
      </w:pPr>
      <w:r>
        <w:rPr>
          <w:rFonts w:ascii="Times New Roman" w:hAnsi="Times New Roman"/>
          <w:b w:val="0"/>
          <w:i w:val="0"/>
          <w:sz w:val="22"/>
        </w:rPr>
        <w:t>AED efficacy and harm threshold. The optimal active strategy depends on two uncertain cSDH-specific parameters. One-way analysis at $100k/QALY shows ML-guided allocation becomes the highest-net-benefit strategy once the AED relative-risk reduction is ≤0.30 or the AED disutility is ≥0.10; universal AED is preferred only under the optimistic imported assumptions of strong efficacy and negligible harm. Because no cSDH study demonstrates a significant protective effect, the cSDH-plausible range favours ML-guided allocation.</w:t>
      </w:r>
    </w:p>
    <w:p>
      <w:r>
        <w:rPr>
          <w:rFonts w:ascii="Times New Roman" w:hAnsi="Times New Roman"/>
          <w:b/>
          <w:sz w:val="22"/>
        </w:rPr>
        <w:t>Table S6c.  International cost perspectives (US, UK NICE, Eurozone).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perspective</w:t>
            </w:r>
          </w:p>
        </w:tc>
        <w:tc>
          <w:tcPr>
            <w:tcW w:type="dxa" w:w="1337"/>
          </w:tcPr>
          <w:p>
            <w:r>
              <w:rPr>
                <w:rFonts w:ascii="Times New Roman" w:hAnsi="Times New Roman"/>
                <w:b/>
                <w:sz w:val="20"/>
              </w:rPr>
              <w:t>currency</w:t>
            </w:r>
          </w:p>
        </w:tc>
        <w:tc>
          <w:tcPr>
            <w:tcW w:type="dxa" w:w="1337"/>
          </w:tcPr>
          <w:p>
            <w:r>
              <w:rPr>
                <w:rFonts w:ascii="Times New Roman" w:hAnsi="Times New Roman"/>
                <w:b/>
                <w:sz w:val="20"/>
              </w:rPr>
              <w:t>cost_scale</w:t>
            </w:r>
          </w:p>
        </w:tc>
        <w:tc>
          <w:tcPr>
            <w:tcW w:type="dxa" w:w="1337"/>
          </w:tcPr>
          <w:p>
            <w:r>
              <w:rPr>
                <w:rFonts w:ascii="Times New Roman" w:hAnsi="Times New Roman"/>
                <w:b/>
                <w:sz w:val="20"/>
              </w:rPr>
              <w:t>wtp_local</w:t>
            </w:r>
          </w:p>
        </w:tc>
        <w:tc>
          <w:tcPr>
            <w:tcW w:type="dxa" w:w="1337"/>
          </w:tcPr>
          <w:p>
            <w:r>
              <w:rPr>
                <w:rFonts w:ascii="Times New Roman" w:hAnsi="Times New Roman"/>
                <w:b/>
                <w:sz w:val="20"/>
              </w:rPr>
              <w:t>best_strategy</w:t>
            </w:r>
          </w:p>
        </w:tc>
        <w:tc>
          <w:tcPr>
            <w:tcW w:type="dxa" w:w="1337"/>
          </w:tcPr>
          <w:p>
            <w:r>
              <w:rPr>
                <w:rFonts w:ascii="Times New Roman" w:hAnsi="Times New Roman"/>
                <w:b/>
                <w:sz w:val="20"/>
              </w:rPr>
              <w:t>incr_NMB_ml_vs_aed</w:t>
            </w:r>
          </w:p>
        </w:tc>
        <w:tc>
          <w:tcPr>
            <w:tcW w:type="dxa" w:w="1337"/>
          </w:tcPr>
          <w:p>
            <w:r>
              <w:rPr>
                <w:rFonts w:ascii="Times New Roman" w:hAnsi="Times New Roman"/>
                <w:b/>
                <w:sz w:val="20"/>
              </w:rPr>
              <w:t>ml_preferred</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50000</w:t>
            </w:r>
          </w:p>
        </w:tc>
        <w:tc>
          <w:tcPr>
            <w:tcW w:type="dxa" w:w="1337"/>
          </w:tcPr>
          <w:p>
            <w:r>
              <w:rPr>
                <w:rFonts w:ascii="Times New Roman" w:hAnsi="Times New Roman"/>
                <w:sz w:val="20"/>
              </w:rPr>
              <w:t>ml-cEEG</w:t>
            </w:r>
          </w:p>
        </w:tc>
        <w:tc>
          <w:tcPr>
            <w:tcW w:type="dxa" w:w="1337"/>
          </w:tcPr>
          <w:p>
            <w:r>
              <w:rPr>
                <w:rFonts w:ascii="Times New Roman" w:hAnsi="Times New Roman"/>
                <w:sz w:val="20"/>
              </w:rPr>
              <w:t>1,511</w:t>
            </w:r>
          </w:p>
        </w:tc>
        <w:tc>
          <w:tcPr>
            <w:tcW w:type="dxa" w:w="1337"/>
          </w:tcPr>
          <w:p>
            <w:r>
              <w:rPr>
                <w:rFonts w:ascii="Times New Roman" w:hAnsi="Times New Roman"/>
                <w:sz w:val="20"/>
              </w:rPr>
              <w:t>True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100000</w:t>
            </w:r>
          </w:p>
        </w:tc>
        <w:tc>
          <w:tcPr>
            <w:tcW w:type="dxa" w:w="1337"/>
          </w:tcPr>
          <w:p>
            <w:r>
              <w:rPr>
                <w:rFonts w:ascii="Times New Roman" w:hAnsi="Times New Roman"/>
                <w:sz w:val="20"/>
              </w:rPr>
              <w:t>ml-cEEG</w:t>
            </w:r>
          </w:p>
        </w:tc>
        <w:tc>
          <w:tcPr>
            <w:tcW w:type="dxa" w:w="1337"/>
          </w:tcPr>
          <w:p>
            <w:r>
              <w:rPr>
                <w:rFonts w:ascii="Times New Roman" w:hAnsi="Times New Roman"/>
                <w:sz w:val="20"/>
              </w:rPr>
              <w:t>1,832</w:t>
            </w:r>
          </w:p>
        </w:tc>
        <w:tc>
          <w:tcPr>
            <w:tcW w:type="dxa" w:w="1337"/>
          </w:tcPr>
          <w:p>
            <w:r>
              <w:rPr>
                <w:rFonts w:ascii="Times New Roman" w:hAnsi="Times New Roman"/>
                <w:sz w:val="20"/>
              </w:rPr>
              <w:t>True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150000</w:t>
            </w:r>
          </w:p>
        </w:tc>
        <w:tc>
          <w:tcPr>
            <w:tcW w:type="dxa" w:w="1337"/>
          </w:tcPr>
          <w:p>
            <w:r>
              <w:rPr>
                <w:rFonts w:ascii="Times New Roman" w:hAnsi="Times New Roman"/>
                <w:sz w:val="20"/>
              </w:rPr>
              <w:t>ml-cEEG</w:t>
            </w:r>
          </w:p>
        </w:tc>
        <w:tc>
          <w:tcPr>
            <w:tcW w:type="dxa" w:w="1337"/>
          </w:tcPr>
          <w:p>
            <w:r>
              <w:rPr>
                <w:rFonts w:ascii="Times New Roman" w:hAnsi="Times New Roman"/>
                <w:sz w:val="20"/>
              </w:rPr>
              <w:t>2,152</w:t>
            </w:r>
          </w:p>
        </w:tc>
        <w:tc>
          <w:tcPr>
            <w:tcW w:type="dxa" w:w="1337"/>
          </w:tcPr>
          <w:p>
            <w:r>
              <w:rPr>
                <w:rFonts w:ascii="Times New Roman" w:hAnsi="Times New Roman"/>
                <w:sz w:val="20"/>
              </w:rPr>
              <w:t>True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20000</w:t>
            </w:r>
          </w:p>
        </w:tc>
        <w:tc>
          <w:tcPr>
            <w:tcW w:type="dxa" w:w="1337"/>
          </w:tcPr>
          <w:p>
            <w:r>
              <w:rPr>
                <w:rFonts w:ascii="Times New Roman" w:hAnsi="Times New Roman"/>
                <w:sz w:val="20"/>
              </w:rPr>
              <w:t>ml-cEEG</w:t>
            </w:r>
          </w:p>
        </w:tc>
        <w:tc>
          <w:tcPr>
            <w:tcW w:type="dxa" w:w="1337"/>
          </w:tcPr>
          <w:p>
            <w:r>
              <w:rPr>
                <w:rFonts w:ascii="Times New Roman" w:hAnsi="Times New Roman"/>
                <w:sz w:val="20"/>
              </w:rPr>
              <w:t>1,068</w:t>
            </w:r>
          </w:p>
        </w:tc>
        <w:tc>
          <w:tcPr>
            <w:tcW w:type="dxa" w:w="1337"/>
          </w:tcPr>
          <w:p>
            <w:r>
              <w:rPr>
                <w:rFonts w:ascii="Times New Roman" w:hAnsi="Times New Roman"/>
                <w:sz w:val="20"/>
              </w:rPr>
              <w:t>True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30000</w:t>
            </w:r>
          </w:p>
        </w:tc>
        <w:tc>
          <w:tcPr>
            <w:tcW w:type="dxa" w:w="1337"/>
          </w:tcPr>
          <w:p>
            <w:r>
              <w:rPr>
                <w:rFonts w:ascii="Times New Roman" w:hAnsi="Times New Roman"/>
                <w:sz w:val="20"/>
              </w:rPr>
              <w:t>ml-cEEG</w:t>
            </w:r>
          </w:p>
        </w:tc>
        <w:tc>
          <w:tcPr>
            <w:tcW w:type="dxa" w:w="1337"/>
          </w:tcPr>
          <w:p>
            <w:r>
              <w:rPr>
                <w:rFonts w:ascii="Times New Roman" w:hAnsi="Times New Roman"/>
                <w:sz w:val="20"/>
              </w:rPr>
              <w:t>1,132</w:t>
            </w:r>
          </w:p>
        </w:tc>
        <w:tc>
          <w:tcPr>
            <w:tcW w:type="dxa" w:w="1337"/>
          </w:tcPr>
          <w:p>
            <w:r>
              <w:rPr>
                <w:rFonts w:ascii="Times New Roman" w:hAnsi="Times New Roman"/>
                <w:sz w:val="20"/>
              </w:rPr>
              <w:t>True</w:t>
            </w:r>
          </w:p>
        </w:tc>
      </w:tr>
      <w:tr>
        <w:tc>
          <w:tcPr>
            <w:tcW w:type="dxa" w:w="1337"/>
          </w:tcPr>
          <w:p>
            <w:r>
              <w:rPr>
                <w:rFonts w:ascii="Times New Roman" w:hAnsi="Times New Roman"/>
                <w:sz w:val="20"/>
              </w:rPr>
              <w:t>Eurozone</w:t>
            </w:r>
          </w:p>
        </w:tc>
        <w:tc>
          <w:tcPr>
            <w:tcW w:type="dxa" w:w="1337"/>
          </w:tcPr>
          <w:p>
            <w:r>
              <w:rPr>
                <w:rFonts w:ascii="Times New Roman" w:hAnsi="Times New Roman"/>
                <w:sz w:val="20"/>
              </w:rPr>
              <w:t>EUR</w:t>
            </w:r>
          </w:p>
        </w:tc>
        <w:tc>
          <w:tcPr>
            <w:tcW w:type="dxa" w:w="1337"/>
          </w:tcPr>
          <w:p>
            <w:r>
              <w:rPr>
                <w:rFonts w:ascii="Times New Roman" w:hAnsi="Times New Roman"/>
                <w:sz w:val="20"/>
              </w:rPr>
              <w:t>0.900</w:t>
            </w:r>
          </w:p>
        </w:tc>
        <w:tc>
          <w:tcPr>
            <w:tcW w:type="dxa" w:w="1337"/>
          </w:tcPr>
          <w:p>
            <w:r>
              <w:rPr>
                <w:rFonts w:ascii="Times New Roman" w:hAnsi="Times New Roman"/>
                <w:sz w:val="20"/>
              </w:rPr>
              <w:t>40000</w:t>
            </w:r>
          </w:p>
        </w:tc>
        <w:tc>
          <w:tcPr>
            <w:tcW w:type="dxa" w:w="1337"/>
          </w:tcPr>
          <w:p>
            <w:r>
              <w:rPr>
                <w:rFonts w:ascii="Times New Roman" w:hAnsi="Times New Roman"/>
                <w:sz w:val="20"/>
              </w:rPr>
              <w:t>ml-cEEG</w:t>
            </w:r>
          </w:p>
        </w:tc>
        <w:tc>
          <w:tcPr>
            <w:tcW w:type="dxa" w:w="1337"/>
          </w:tcPr>
          <w:p>
            <w:r>
              <w:rPr>
                <w:rFonts w:ascii="Times New Roman" w:hAnsi="Times New Roman"/>
                <w:sz w:val="20"/>
              </w:rPr>
              <w:t>1,351</w:t>
            </w:r>
          </w:p>
        </w:tc>
        <w:tc>
          <w:tcPr>
            <w:tcW w:type="dxa" w:w="1337"/>
          </w:tcPr>
          <w:p>
            <w:r>
              <w:rPr>
                <w:rFonts w:ascii="Times New Roman" w:hAnsi="Times New Roman"/>
                <w:sz w:val="20"/>
              </w:rPr>
              <w:t>True</w:t>
            </w:r>
          </w:p>
        </w:tc>
      </w:tr>
    </w:tbl>
    <w:p>
      <w:pPr>
        <w:spacing w:line="360" w:lineRule="auto" w:after="120"/>
        <w:jc w:val="both"/>
      </w:pPr>
      <w:r>
        <w:rPr>
          <w:rFonts w:ascii="Times New Roman" w:hAnsi="Times New Roman"/>
          <w:b w:val="0"/>
          <w:i w:val="0"/>
          <w:sz w:val="22"/>
        </w:rPr>
        <w:t>Model-versus-random comparator. To isolate the value contributed by the model's discrimination from the value of merely treating fewer patients, ML-guided allocation was compared with random allocation at the same treated fraction (32.4%). The net-monetary-benefit difference (discrimination premium) is $996–$1,612 per patient across the AED-efficacy range, confirming that the model, not the treated fraction alone, drives the incremental value.</w:t>
      </w:r>
    </w:p>
    <w:p>
      <w:r>
        <w:rPr>
          <w:rFonts w:ascii="Times New Roman" w:hAnsi="Times New Roman"/>
          <w:b/>
          <w:sz w:val="22"/>
        </w:rPr>
        <w:t>Table S6d.  Model-vs-random comparator: discrimination premium at matched treated fraction.</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aed_rrr</w:t>
            </w:r>
          </w:p>
        </w:tc>
        <w:tc>
          <w:tcPr>
            <w:tcW w:type="dxa" w:w="1170"/>
          </w:tcPr>
          <w:p>
            <w:r>
              <w:rPr>
                <w:rFonts w:ascii="Times New Roman" w:hAnsi="Times New Roman"/>
                <w:b/>
                <w:sz w:val="20"/>
              </w:rPr>
              <w:t>treated_fraction</w:t>
            </w:r>
          </w:p>
        </w:tc>
        <w:tc>
          <w:tcPr>
            <w:tcW w:type="dxa" w:w="1170"/>
          </w:tcPr>
          <w:p>
            <w:r>
              <w:rPr>
                <w:rFonts w:ascii="Times New Roman" w:hAnsi="Times New Roman"/>
                <w:b/>
                <w:sz w:val="20"/>
              </w:rPr>
              <w:t>NMB_obs</w:t>
            </w:r>
          </w:p>
        </w:tc>
        <w:tc>
          <w:tcPr>
            <w:tcW w:type="dxa" w:w="1170"/>
          </w:tcPr>
          <w:p>
            <w:r>
              <w:rPr>
                <w:rFonts w:ascii="Times New Roman" w:hAnsi="Times New Roman"/>
                <w:b/>
                <w:sz w:val="20"/>
              </w:rPr>
              <w:t>NMB_universal_aed</w:t>
            </w:r>
          </w:p>
        </w:tc>
        <w:tc>
          <w:tcPr>
            <w:tcW w:type="dxa" w:w="1170"/>
          </w:tcPr>
          <w:p>
            <w:r>
              <w:rPr>
                <w:rFonts w:ascii="Times New Roman" w:hAnsi="Times New Roman"/>
                <w:b/>
                <w:sz w:val="20"/>
              </w:rPr>
              <w:t>NMB_ml_guided</w:t>
            </w:r>
          </w:p>
        </w:tc>
        <w:tc>
          <w:tcPr>
            <w:tcW w:type="dxa" w:w="1170"/>
          </w:tcPr>
          <w:p>
            <w:r>
              <w:rPr>
                <w:rFonts w:ascii="Times New Roman" w:hAnsi="Times New Roman"/>
                <w:b/>
                <w:sz w:val="20"/>
              </w:rPr>
              <w:t>NMB_random_matched</w:t>
            </w:r>
          </w:p>
        </w:tc>
        <w:tc>
          <w:tcPr>
            <w:tcW w:type="dxa" w:w="1170"/>
          </w:tcPr>
          <w:p>
            <w:r>
              <w:rPr>
                <w:rFonts w:ascii="Times New Roman" w:hAnsi="Times New Roman"/>
                <w:b/>
                <w:sz w:val="20"/>
              </w:rPr>
              <w:t>discrimination_premium</w:t>
            </w:r>
          </w:p>
        </w:tc>
        <w:tc>
          <w:tcPr>
            <w:tcW w:type="dxa" w:w="1170"/>
          </w:tcPr>
          <w:p>
            <w:r>
              <w:rPr>
                <w:rFonts w:ascii="Times New Roman" w:hAnsi="Times New Roman"/>
                <w:b/>
                <w:sz w:val="20"/>
              </w:rPr>
              <w:t>best_strategy</w:t>
            </w:r>
          </w:p>
        </w:tc>
      </w:tr>
      <w:tr>
        <w:tc>
          <w:tcPr>
            <w:tcW w:type="dxa" w:w="1170"/>
          </w:tcPr>
          <w:p>
            <w:r>
              <w:rPr>
                <w:rFonts w:ascii="Times New Roman" w:hAnsi="Times New Roman"/>
                <w:sz w:val="20"/>
              </w:rPr>
              <w:t>0.000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634624</w:t>
            </w:r>
          </w:p>
        </w:tc>
        <w:tc>
          <w:tcPr>
            <w:tcW w:type="dxa" w:w="1170"/>
          </w:tcPr>
          <w:p>
            <w:r>
              <w:rPr>
                <w:rFonts w:ascii="Times New Roman" w:hAnsi="Times New Roman"/>
                <w:sz w:val="20"/>
              </w:rPr>
              <w:t>637888</w:t>
            </w:r>
          </w:p>
        </w:tc>
        <w:tc>
          <w:tcPr>
            <w:tcW w:type="dxa" w:w="1170"/>
          </w:tcPr>
          <w:p>
            <w:r>
              <w:rPr>
                <w:rFonts w:ascii="Times New Roman" w:hAnsi="Times New Roman"/>
                <w:sz w:val="20"/>
              </w:rPr>
              <w:t>636892</w:t>
            </w:r>
          </w:p>
        </w:tc>
        <w:tc>
          <w:tcPr>
            <w:tcW w:type="dxa" w:w="1170"/>
          </w:tcPr>
          <w:p>
            <w:r>
              <w:rPr>
                <w:rFonts w:ascii="Times New Roman" w:hAnsi="Times New Roman"/>
                <w:sz w:val="20"/>
              </w:rPr>
              <w:t>996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0.150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636640</w:t>
            </w:r>
          </w:p>
        </w:tc>
        <w:tc>
          <w:tcPr>
            <w:tcW w:type="dxa" w:w="1170"/>
          </w:tcPr>
          <w:p>
            <w:r>
              <w:rPr>
                <w:rFonts w:ascii="Times New Roman" w:hAnsi="Times New Roman"/>
                <w:sz w:val="20"/>
              </w:rPr>
              <w:t>638471</w:t>
            </w:r>
          </w:p>
        </w:tc>
        <w:tc>
          <w:tcPr>
            <w:tcW w:type="dxa" w:w="1170"/>
          </w:tcPr>
          <w:p>
            <w:r>
              <w:rPr>
                <w:rFonts w:ascii="Times New Roman" w:hAnsi="Times New Roman"/>
                <w:sz w:val="20"/>
              </w:rPr>
              <w:t>637270</w:t>
            </w:r>
          </w:p>
        </w:tc>
        <w:tc>
          <w:tcPr>
            <w:tcW w:type="dxa" w:w="1170"/>
          </w:tcPr>
          <w:p>
            <w:r>
              <w:rPr>
                <w:rFonts w:ascii="Times New Roman" w:hAnsi="Times New Roman"/>
                <w:sz w:val="20"/>
              </w:rPr>
              <w:t>1201</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0.300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638655</w:t>
            </w:r>
          </w:p>
        </w:tc>
        <w:tc>
          <w:tcPr>
            <w:tcW w:type="dxa" w:w="1170"/>
          </w:tcPr>
          <w:p>
            <w:r>
              <w:rPr>
                <w:rFonts w:ascii="Times New Roman" w:hAnsi="Times New Roman"/>
                <w:sz w:val="20"/>
              </w:rPr>
              <w:t>639055</w:t>
            </w:r>
          </w:p>
        </w:tc>
        <w:tc>
          <w:tcPr>
            <w:tcW w:type="dxa" w:w="1170"/>
          </w:tcPr>
          <w:p>
            <w:r>
              <w:rPr>
                <w:rFonts w:ascii="Times New Roman" w:hAnsi="Times New Roman"/>
                <w:sz w:val="20"/>
              </w:rPr>
              <w:t>637648</w:t>
            </w:r>
          </w:p>
        </w:tc>
        <w:tc>
          <w:tcPr>
            <w:tcW w:type="dxa" w:w="1170"/>
          </w:tcPr>
          <w:p>
            <w:r>
              <w:rPr>
                <w:rFonts w:ascii="Times New Roman" w:hAnsi="Times New Roman"/>
                <w:sz w:val="20"/>
              </w:rPr>
              <w:t>1406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0.450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640671</w:t>
            </w:r>
          </w:p>
        </w:tc>
        <w:tc>
          <w:tcPr>
            <w:tcW w:type="dxa" w:w="1170"/>
          </w:tcPr>
          <w:p>
            <w:r>
              <w:rPr>
                <w:rFonts w:ascii="Times New Roman" w:hAnsi="Times New Roman"/>
                <w:sz w:val="20"/>
              </w:rPr>
              <w:t>639638</w:t>
            </w:r>
          </w:p>
        </w:tc>
        <w:tc>
          <w:tcPr>
            <w:tcW w:type="dxa" w:w="1170"/>
          </w:tcPr>
          <w:p>
            <w:r>
              <w:rPr>
                <w:rFonts w:ascii="Times New Roman" w:hAnsi="Times New Roman"/>
                <w:sz w:val="20"/>
              </w:rPr>
              <w:t>638026</w:t>
            </w:r>
          </w:p>
        </w:tc>
        <w:tc>
          <w:tcPr>
            <w:tcW w:type="dxa" w:w="1170"/>
          </w:tcPr>
          <w:p>
            <w:r>
              <w:rPr>
                <w:rFonts w:ascii="Times New Roman" w:hAnsi="Times New Roman"/>
                <w:sz w:val="20"/>
              </w:rPr>
              <w:t>1612</w:t>
            </w:r>
          </w:p>
        </w:tc>
        <w:tc>
          <w:tcPr>
            <w:tcW w:type="dxa" w:w="1170"/>
          </w:tcPr>
          <w:p>
            <w:r>
              <w:rPr>
                <w:rFonts w:ascii="Times New Roman" w:hAnsi="Times New Roman"/>
                <w:sz w:val="20"/>
              </w:rPr>
              <w:t>universal_aed</w:t>
            </w:r>
          </w:p>
        </w:tc>
      </w:tr>
    </w:tbl>
    <w:p>
      <w:r>
        <w:br w:type="page"/>
      </w:r>
    </w:p>
    <w:p>
      <w:pPr>
        <w:pStyle w:val="Heading1"/>
      </w:pPr>
      <w:r>
        <w:rPr>
          <w:rFonts w:ascii="Times New Roman" w:hAnsi="Times New Roman"/>
          <w:color w:val="141F3A"/>
        </w:rPr>
        <w:t>Appendix S7.  Leave-one-hospital-out heterogeneity</w:t>
      </w:r>
    </w:p>
    <w:p>
      <w:pPr>
        <w:spacing w:line="360" w:lineRule="auto" w:after="120"/>
        <w:jc w:val="both"/>
      </w:pPr>
      <w:r>
        <w:rPr>
          <w:rFonts w:ascii="Times New Roman" w:hAnsi="Times New Roman"/>
          <w:b w:val="0"/>
          <w:i w:val="0"/>
          <w:sz w:val="22"/>
        </w:rPr>
        <w:t>Random-effects pooling of per-hospital AUCs used Hanley–McNeil within-study variance and three τ² estimators (DerSimonian–Laird, Paule–Mandel, REML/iterated). Heterogeneity is scale-sensitive: on the variance-stabilising logit scale (the primary analysis) between-hospital heterogeneity is negligible (I² = 0% for the non-traumatic Set C; 2.8% for Set A), whereas a raw-AUC sensitivity analysis gives higher estimates (I² up to ~56%). The 95% prediction interval is the most honest summary of cross-site transportability.</w:t>
      </w:r>
    </w:p>
    <w:p>
      <w:r>
        <w:rPr>
          <w:rFonts w:ascii="Times New Roman" w:hAnsi="Times New Roman"/>
          <w:b/>
          <w:sz w:val="22"/>
        </w:rPr>
        <w:t>Table S7.  LOHO random-effects pooling under three τ² estimators and two scales, with prediction intervals.</w:t>
      </w:r>
    </w:p>
    <w:tbl>
      <w:tblPr>
        <w:tblStyle w:val="LightList-Accent1"/>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20"/>
              </w:rPr>
              <w:t>cohort</w:t>
            </w:r>
          </w:p>
        </w:tc>
        <w:tc>
          <w:tcPr>
            <w:tcW w:type="dxa" w:w="851"/>
          </w:tcPr>
          <w:p>
            <w:r>
              <w:rPr>
                <w:rFonts w:ascii="Times New Roman" w:hAnsi="Times New Roman"/>
                <w:b/>
                <w:sz w:val="20"/>
              </w:rPr>
              <w:t>set</w:t>
            </w:r>
          </w:p>
        </w:tc>
        <w:tc>
          <w:tcPr>
            <w:tcW w:type="dxa" w:w="851"/>
          </w:tcPr>
          <w:p>
            <w:r>
              <w:rPr>
                <w:rFonts w:ascii="Times New Roman" w:hAnsi="Times New Roman"/>
                <w:b/>
                <w:sz w:val="20"/>
              </w:rPr>
              <w:t>scale</w:t>
            </w:r>
          </w:p>
        </w:tc>
        <w:tc>
          <w:tcPr>
            <w:tcW w:type="dxa" w:w="851"/>
          </w:tcPr>
          <w:p>
            <w:r>
              <w:rPr>
                <w:rFonts w:ascii="Times New Roman" w:hAnsi="Times New Roman"/>
                <w:b/>
                <w:sz w:val="20"/>
              </w:rPr>
              <w:t>estimator</w:t>
            </w:r>
          </w:p>
        </w:tc>
        <w:tc>
          <w:tcPr>
            <w:tcW w:type="dxa" w:w="851"/>
          </w:tcPr>
          <w:p>
            <w:r>
              <w:rPr>
                <w:rFonts w:ascii="Times New Roman" w:hAnsi="Times New Roman"/>
                <w:b/>
                <w:sz w:val="20"/>
              </w:rPr>
              <w:t>pooled_auc</w:t>
            </w:r>
          </w:p>
        </w:tc>
        <w:tc>
          <w:tcPr>
            <w:tcW w:type="dxa" w:w="851"/>
          </w:tcPr>
          <w:p>
            <w:r>
              <w:rPr>
                <w:rFonts w:ascii="Times New Roman" w:hAnsi="Times New Roman"/>
                <w:b/>
                <w:sz w:val="20"/>
              </w:rPr>
              <w:t>ci_lo</w:t>
            </w:r>
          </w:p>
        </w:tc>
        <w:tc>
          <w:tcPr>
            <w:tcW w:type="dxa" w:w="851"/>
          </w:tcPr>
          <w:p>
            <w:r>
              <w:rPr>
                <w:rFonts w:ascii="Times New Roman" w:hAnsi="Times New Roman"/>
                <w:b/>
                <w:sz w:val="20"/>
              </w:rPr>
              <w:t>ci_hi</w:t>
            </w:r>
          </w:p>
        </w:tc>
        <w:tc>
          <w:tcPr>
            <w:tcW w:type="dxa" w:w="851"/>
          </w:tcPr>
          <w:p>
            <w:r>
              <w:rPr>
                <w:rFonts w:ascii="Times New Roman" w:hAnsi="Times New Roman"/>
                <w:b/>
                <w:sz w:val="20"/>
              </w:rPr>
              <w:t>tau2</w:t>
            </w:r>
          </w:p>
        </w:tc>
        <w:tc>
          <w:tcPr>
            <w:tcW w:type="dxa" w:w="851"/>
          </w:tcPr>
          <w:p>
            <w:r>
              <w:rPr>
                <w:rFonts w:ascii="Times New Roman" w:hAnsi="Times New Roman"/>
                <w:b/>
                <w:sz w:val="20"/>
              </w:rPr>
              <w:t>I2_pct</w:t>
            </w:r>
          </w:p>
        </w:tc>
        <w:tc>
          <w:tcPr>
            <w:tcW w:type="dxa" w:w="851"/>
          </w:tcPr>
          <w:p>
            <w:r>
              <w:rPr>
                <w:rFonts w:ascii="Times New Roman" w:hAnsi="Times New Roman"/>
                <w:b/>
                <w:sz w:val="20"/>
              </w:rPr>
              <w:t>pred_int_lo</w:t>
            </w:r>
          </w:p>
        </w:tc>
        <w:tc>
          <w:tcPr>
            <w:tcW w:type="dxa" w:w="851"/>
          </w:tcPr>
          <w:p>
            <w:r>
              <w:rPr>
                <w:rFonts w:ascii="Times New Roman" w:hAnsi="Times New Roman"/>
                <w:b/>
                <w:sz w:val="20"/>
              </w:rPr>
              <w:t>pred_int_hi</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0.006</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0.739</w:t>
            </w:r>
          </w:p>
        </w:tc>
        <w:tc>
          <w:tcPr>
            <w:tcW w:type="dxa" w:w="851"/>
          </w:tcPr>
          <w:p>
            <w:r>
              <w:rPr>
                <w:rFonts w:ascii="Times New Roman" w:hAnsi="Times New Roman"/>
                <w:sz w:val="20"/>
              </w:rPr>
              <w:t>0.695</w:t>
            </w:r>
          </w:p>
        </w:tc>
        <w:tc>
          <w:tcPr>
            <w:tcW w:type="dxa" w:w="851"/>
          </w:tcPr>
          <w:p>
            <w:r>
              <w:rPr>
                <w:rFonts w:ascii="Times New Roman" w:hAnsi="Times New Roman"/>
                <w:sz w:val="20"/>
              </w:rPr>
              <w:t>0.783</w:t>
            </w:r>
          </w:p>
        </w:tc>
        <w:tc>
          <w:tcPr>
            <w:tcW w:type="dxa" w:w="851"/>
          </w:tcPr>
          <w:p>
            <w:r>
              <w:rPr>
                <w:rFonts w:ascii="Times New Roman" w:hAnsi="Times New Roman"/>
                <w:sz w:val="20"/>
              </w:rPr>
              <w:t>0.010</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0.677</w:t>
            </w:r>
          </w:p>
        </w:tc>
        <w:tc>
          <w:tcPr>
            <w:tcW w:type="dxa" w:w="851"/>
          </w:tcPr>
          <w:p>
            <w:r>
              <w:rPr>
                <w:rFonts w:ascii="Times New Roman" w:hAnsi="Times New Roman"/>
                <w:sz w:val="20"/>
              </w:rPr>
              <w:t>0.647</w:t>
            </w:r>
          </w:p>
        </w:tc>
        <w:tc>
          <w:tcPr>
            <w:tcW w:type="dxa" w:w="851"/>
          </w:tcPr>
          <w:p>
            <w:r>
              <w:rPr>
                <w:rFonts w:ascii="Times New Roman" w:hAnsi="Times New Roman"/>
                <w:sz w:val="20"/>
              </w:rPr>
              <w:t>0.706</w:t>
            </w:r>
          </w:p>
        </w:tc>
        <w:tc>
          <w:tcPr>
            <w:tcW w:type="dxa" w:w="851"/>
          </w:tcPr>
          <w:p>
            <w:r>
              <w:rPr>
                <w:rFonts w:ascii="Times New Roman" w:hAnsi="Times New Roman"/>
                <w:sz w:val="20"/>
              </w:rPr>
              <w:t>-0.008</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0.592</w:t>
            </w:r>
          </w:p>
        </w:tc>
        <w:tc>
          <w:tcPr>
            <w:tcW w:type="dxa" w:w="851"/>
          </w:tcPr>
          <w:p>
            <w:r>
              <w:rPr>
                <w:rFonts w:ascii="Times New Roman" w:hAnsi="Times New Roman"/>
                <w:sz w:val="20"/>
              </w:rPr>
              <w:t>0.534</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0.576</w:t>
            </w:r>
          </w:p>
        </w:tc>
        <w:tc>
          <w:tcPr>
            <w:tcW w:type="dxa" w:w="851"/>
          </w:tcPr>
          <w:p>
            <w:r>
              <w:rPr>
                <w:rFonts w:ascii="Times New Roman" w:hAnsi="Times New Roman"/>
                <w:sz w:val="20"/>
              </w:rPr>
              <w:t>0.532</w:t>
            </w:r>
          </w:p>
        </w:tc>
        <w:tc>
          <w:tcPr>
            <w:tcW w:type="dxa" w:w="851"/>
          </w:tcPr>
          <w:p>
            <w:r>
              <w:rPr>
                <w:rFonts w:ascii="Times New Roman" w:hAnsi="Times New Roman"/>
                <w:sz w:val="20"/>
              </w:rPr>
              <w:t>0.619</w:t>
            </w:r>
          </w:p>
        </w:tc>
        <w:tc>
          <w:tcPr>
            <w:tcW w:type="dxa" w:w="851"/>
          </w:tcPr>
          <w:p>
            <w:r>
              <w:rPr>
                <w:rFonts w:ascii="Times New Roman" w:hAnsi="Times New Roman"/>
                <w:sz w:val="20"/>
              </w:rPr>
              <w:t>-0.063</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bl>
    <w:p>
      <w:pPr>
        <w:spacing w:line="360" w:lineRule="auto" w:after="120"/>
        <w:jc w:val="both"/>
      </w:pPr>
      <w:r>
        <w:rPr>
          <w:rFonts w:ascii="Times New Roman" w:hAnsi="Times New Roman"/>
          <w:b w:val="0"/>
          <w:i w:val="0"/>
          <w:sz w:val="22"/>
        </w:rPr>
        <w:t>Per-site descriptive statistics (n, events, AUC, Brier per hospital) are released as results/41_loho_per_site.csv.</w:t>
      </w:r>
    </w:p>
    <w:p>
      <w:r>
        <w:br w:type="page"/>
      </w:r>
    </w:p>
    <w:p>
      <w:pPr>
        <w:pStyle w:val="Heading1"/>
      </w:pPr>
      <w:r>
        <w:rPr>
          <w:rFonts w:ascii="Times New Roman" w:hAnsi="Times New Roman"/>
          <w:color w:val="141F3A"/>
        </w:rPr>
        <w:t>Appendix S8.  Cohort inclusion flow and candidate-model coefficients and calibration</w:t>
      </w:r>
    </w:p>
    <w:p>
      <w:pPr>
        <w:spacing w:line="360" w:lineRule="auto" w:after="120"/>
        <w:jc w:val="both"/>
      </w:pPr>
      <w:r>
        <w:rPr>
          <w:rFonts w:ascii="Times New Roman" w:hAnsi="Times New Roman"/>
          <w:b w:val="0"/>
          <w:i w:val="0"/>
          <w:sz w:val="22"/>
        </w:rPr>
        <w:t>Cohort inclusion (eICU). 5,376 ICU stays with any subdural-haematoma diagnosis (139 hospitals) → restrict to non-traumatic SDH and to hospitals contributing ≥10 such stays → 3,297 stays (42 hospitals; 300 seizures), the primary external-evaluation stratum. The broader 5,376/139 screen and three alternative definitions are reported as sensitivity analyses (Table S2).</w:t>
      </w:r>
    </w:p>
    <w:p>
      <w:pPr>
        <w:spacing w:line="360" w:lineRule="auto" w:after="120"/>
        <w:jc w:val="both"/>
      </w:pPr>
      <w:r>
        <w:rPr>
          <w:rFonts w:ascii="Times New Roman" w:hAnsi="Times New Roman"/>
          <w:b w:val="0"/>
          <w:i w:val="0"/>
          <w:sz w:val="22"/>
        </w:rPr>
        <w:t>Candidate-model coefficients. Firth penalized logistic regression on the postoperative-B set; coefficients are on the per-standard-deviation scale, with odds ratios per 1-SD increase:</w:t>
      </w:r>
    </w:p>
    <w:p>
      <w:r>
        <w:rPr>
          <w:rFonts w:ascii="Times New Roman" w:hAnsi="Times New Roman"/>
          <w:b/>
          <w:sz w:val="22"/>
        </w:rPr>
        <w:t>Table S8.  Firth coefficients for the candidate postoperative-B model (per-SD scale; OR per 1-SD increase).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feature</w:t>
            </w:r>
          </w:p>
        </w:tc>
        <w:tc>
          <w:tcPr>
            <w:tcW w:type="dxa" w:w="1337"/>
          </w:tcPr>
          <w:p>
            <w:r>
              <w:rPr>
                <w:rFonts w:ascii="Times New Roman" w:hAnsi="Times New Roman"/>
                <w:b/>
                <w:sz w:val="20"/>
              </w:rPr>
              <w:t>coef</w:t>
            </w:r>
          </w:p>
        </w:tc>
        <w:tc>
          <w:tcPr>
            <w:tcW w:type="dxa" w:w="1337"/>
          </w:tcPr>
          <w:p>
            <w:r>
              <w:rPr>
                <w:rFonts w:ascii="Times New Roman" w:hAnsi="Times New Roman"/>
                <w:b/>
                <w:sz w:val="20"/>
              </w:rPr>
              <w:t>se</w:t>
            </w:r>
          </w:p>
        </w:tc>
        <w:tc>
          <w:tcPr>
            <w:tcW w:type="dxa" w:w="1337"/>
          </w:tcPr>
          <w:p>
            <w:r>
              <w:rPr>
                <w:rFonts w:ascii="Times New Roman" w:hAnsi="Times New Roman"/>
                <w:b/>
                <w:sz w:val="20"/>
              </w:rPr>
              <w:t>ci_lo</w:t>
            </w:r>
          </w:p>
        </w:tc>
        <w:tc>
          <w:tcPr>
            <w:tcW w:type="dxa" w:w="1337"/>
          </w:tcPr>
          <w:p>
            <w:r>
              <w:rPr>
                <w:rFonts w:ascii="Times New Roman" w:hAnsi="Times New Roman"/>
                <w:b/>
                <w:sz w:val="20"/>
              </w:rPr>
              <w:t>ci_hi</w:t>
            </w:r>
          </w:p>
        </w:tc>
        <w:tc>
          <w:tcPr>
            <w:tcW w:type="dxa" w:w="1337"/>
          </w:tcPr>
          <w:p>
            <w:r>
              <w:rPr>
                <w:rFonts w:ascii="Times New Roman" w:hAnsi="Times New Roman"/>
                <w:b/>
                <w:sz w:val="20"/>
              </w:rPr>
              <w:t>p_value</w:t>
            </w:r>
          </w:p>
        </w:tc>
        <w:tc>
          <w:tcPr>
            <w:tcW w:type="dxa" w:w="1337"/>
          </w:tcPr>
          <w:p>
            <w:r>
              <w:rPr>
                <w:rFonts w:ascii="Times New Roman" w:hAnsi="Times New Roman"/>
                <w:b/>
                <w:sz w:val="20"/>
              </w:rPr>
              <w:t>OR_per_SD</w:t>
            </w:r>
          </w:p>
        </w:tc>
      </w:tr>
      <w:tr>
        <w:tc>
          <w:tcPr>
            <w:tcW w:type="dxa" w:w="1337"/>
          </w:tcPr>
          <w:p>
            <w:r>
              <w:rPr>
                <w:rFonts w:ascii="Times New Roman" w:hAnsi="Times New Roman"/>
                <w:sz w:val="20"/>
              </w:rPr>
              <w:t>sex</w:t>
            </w:r>
          </w:p>
        </w:tc>
        <w:tc>
          <w:tcPr>
            <w:tcW w:type="dxa" w:w="1337"/>
          </w:tcPr>
          <w:p>
            <w:r>
              <w:rPr>
                <w:rFonts w:ascii="Times New Roman" w:hAnsi="Times New Roman"/>
                <w:sz w:val="20"/>
              </w:rPr>
              <w:t>0.219</w:t>
            </w:r>
          </w:p>
        </w:tc>
        <w:tc>
          <w:tcPr>
            <w:tcW w:type="dxa" w:w="1337"/>
          </w:tcPr>
          <w:p>
            <w:r>
              <w:rPr>
                <w:rFonts w:ascii="Times New Roman" w:hAnsi="Times New Roman"/>
                <w:sz w:val="20"/>
              </w:rPr>
              <w:t>0.163</w:t>
            </w:r>
          </w:p>
        </w:tc>
        <w:tc>
          <w:tcPr>
            <w:tcW w:type="dxa" w:w="1337"/>
          </w:tcPr>
          <w:p>
            <w:r>
              <w:rPr>
                <w:rFonts w:ascii="Times New Roman" w:hAnsi="Times New Roman"/>
                <w:sz w:val="20"/>
              </w:rPr>
              <w:t>-0.100</w:t>
            </w:r>
          </w:p>
        </w:tc>
        <w:tc>
          <w:tcPr>
            <w:tcW w:type="dxa" w:w="1337"/>
          </w:tcPr>
          <w:p>
            <w:r>
              <w:rPr>
                <w:rFonts w:ascii="Times New Roman" w:hAnsi="Times New Roman"/>
                <w:sz w:val="20"/>
              </w:rPr>
              <w:t>0.538</w:t>
            </w:r>
          </w:p>
        </w:tc>
        <w:tc>
          <w:tcPr>
            <w:tcW w:type="dxa" w:w="1337"/>
          </w:tcPr>
          <w:p>
            <w:r>
              <w:rPr>
                <w:rFonts w:ascii="Times New Roman" w:hAnsi="Times New Roman"/>
                <w:sz w:val="20"/>
              </w:rPr>
              <w:t>0.178</w:t>
            </w:r>
          </w:p>
        </w:tc>
        <w:tc>
          <w:tcPr>
            <w:tcW w:type="dxa" w:w="1337"/>
          </w:tcPr>
          <w:p>
            <w:r>
              <w:rPr>
                <w:rFonts w:ascii="Times New Roman" w:hAnsi="Times New Roman"/>
                <w:sz w:val="20"/>
              </w:rPr>
              <w:t>1.245</w:t>
            </w:r>
          </w:p>
        </w:tc>
      </w:tr>
      <w:tr>
        <w:tc>
          <w:tcPr>
            <w:tcW w:type="dxa" w:w="1337"/>
          </w:tcPr>
          <w:p>
            <w:r>
              <w:rPr>
                <w:rFonts w:ascii="Times New Roman" w:hAnsi="Times New Roman"/>
                <w:sz w:val="20"/>
              </w:rPr>
              <w:t>age</w:t>
            </w:r>
          </w:p>
        </w:tc>
        <w:tc>
          <w:tcPr>
            <w:tcW w:type="dxa" w:w="1337"/>
          </w:tcPr>
          <w:p>
            <w:r>
              <w:rPr>
                <w:rFonts w:ascii="Times New Roman" w:hAnsi="Times New Roman"/>
                <w:sz w:val="20"/>
              </w:rPr>
              <w:t>-0.022</w:t>
            </w:r>
          </w:p>
        </w:tc>
        <w:tc>
          <w:tcPr>
            <w:tcW w:type="dxa" w:w="1337"/>
          </w:tcPr>
          <w:p>
            <w:r>
              <w:rPr>
                <w:rFonts w:ascii="Times New Roman" w:hAnsi="Times New Roman"/>
                <w:sz w:val="20"/>
              </w:rPr>
              <w:t>0.153</w:t>
            </w:r>
          </w:p>
        </w:tc>
        <w:tc>
          <w:tcPr>
            <w:tcW w:type="dxa" w:w="1337"/>
          </w:tcPr>
          <w:p>
            <w:r>
              <w:rPr>
                <w:rFonts w:ascii="Times New Roman" w:hAnsi="Times New Roman"/>
                <w:sz w:val="20"/>
              </w:rPr>
              <w:t>-0.321</w:t>
            </w:r>
          </w:p>
        </w:tc>
        <w:tc>
          <w:tcPr>
            <w:tcW w:type="dxa" w:w="1337"/>
          </w:tcPr>
          <w:p>
            <w:r>
              <w:rPr>
                <w:rFonts w:ascii="Times New Roman" w:hAnsi="Times New Roman"/>
                <w:sz w:val="20"/>
              </w:rPr>
              <w:t>0.278</w:t>
            </w:r>
          </w:p>
        </w:tc>
        <w:tc>
          <w:tcPr>
            <w:tcW w:type="dxa" w:w="1337"/>
          </w:tcPr>
          <w:p>
            <w:r>
              <w:rPr>
                <w:rFonts w:ascii="Times New Roman" w:hAnsi="Times New Roman"/>
                <w:sz w:val="20"/>
              </w:rPr>
              <w:t>0.888</w:t>
            </w:r>
          </w:p>
        </w:tc>
        <w:tc>
          <w:tcPr>
            <w:tcW w:type="dxa" w:w="1337"/>
          </w:tcPr>
          <w:p>
            <w:r>
              <w:rPr>
                <w:rFonts w:ascii="Times New Roman" w:hAnsi="Times New Roman"/>
                <w:sz w:val="20"/>
              </w:rPr>
              <w:t>0.979</w:t>
            </w:r>
          </w:p>
        </w:tc>
      </w:tr>
      <w:tr>
        <w:tc>
          <w:tcPr>
            <w:tcW w:type="dxa" w:w="1337"/>
          </w:tcPr>
          <w:p>
            <w:r>
              <w:rPr>
                <w:rFonts w:ascii="Times New Roman" w:hAnsi="Times New Roman"/>
                <w:sz w:val="20"/>
              </w:rPr>
              <w:t>blood_type</w:t>
            </w:r>
          </w:p>
        </w:tc>
        <w:tc>
          <w:tcPr>
            <w:tcW w:type="dxa" w:w="1337"/>
          </w:tcPr>
          <w:p>
            <w:r>
              <w:rPr>
                <w:rFonts w:ascii="Times New Roman" w:hAnsi="Times New Roman"/>
                <w:sz w:val="20"/>
              </w:rPr>
              <w:t>0.037</w:t>
            </w:r>
          </w:p>
        </w:tc>
        <w:tc>
          <w:tcPr>
            <w:tcW w:type="dxa" w:w="1337"/>
          </w:tcPr>
          <w:p>
            <w:r>
              <w:rPr>
                <w:rFonts w:ascii="Times New Roman" w:hAnsi="Times New Roman"/>
                <w:sz w:val="20"/>
              </w:rPr>
              <w:t>0.155</w:t>
            </w:r>
          </w:p>
        </w:tc>
        <w:tc>
          <w:tcPr>
            <w:tcW w:type="dxa" w:w="1337"/>
          </w:tcPr>
          <w:p>
            <w:r>
              <w:rPr>
                <w:rFonts w:ascii="Times New Roman" w:hAnsi="Times New Roman"/>
                <w:sz w:val="20"/>
              </w:rPr>
              <w:t>-0.267</w:t>
            </w:r>
          </w:p>
        </w:tc>
        <w:tc>
          <w:tcPr>
            <w:tcW w:type="dxa" w:w="1337"/>
          </w:tcPr>
          <w:p>
            <w:r>
              <w:rPr>
                <w:rFonts w:ascii="Times New Roman" w:hAnsi="Times New Roman"/>
                <w:sz w:val="20"/>
              </w:rPr>
              <w:t>0.342</w:t>
            </w:r>
          </w:p>
        </w:tc>
        <w:tc>
          <w:tcPr>
            <w:tcW w:type="dxa" w:w="1337"/>
          </w:tcPr>
          <w:p>
            <w:r>
              <w:rPr>
                <w:rFonts w:ascii="Times New Roman" w:hAnsi="Times New Roman"/>
                <w:sz w:val="20"/>
              </w:rPr>
              <w:t>0.810</w:t>
            </w:r>
          </w:p>
        </w:tc>
        <w:tc>
          <w:tcPr>
            <w:tcW w:type="dxa" w:w="1337"/>
          </w:tcPr>
          <w:p>
            <w:r>
              <w:rPr>
                <w:rFonts w:ascii="Times New Roman" w:hAnsi="Times New Roman"/>
                <w:sz w:val="20"/>
              </w:rPr>
              <w:t>1.038</w:t>
            </w:r>
          </w:p>
        </w:tc>
      </w:tr>
      <w:tr>
        <w:tc>
          <w:tcPr>
            <w:tcW w:type="dxa" w:w="1337"/>
          </w:tcPr>
          <w:p>
            <w:r>
              <w:rPr>
                <w:rFonts w:ascii="Times New Roman" w:hAnsi="Times New Roman"/>
                <w:sz w:val="20"/>
              </w:rPr>
              <w:t>sdh_type</w:t>
            </w:r>
          </w:p>
        </w:tc>
        <w:tc>
          <w:tcPr>
            <w:tcW w:type="dxa" w:w="1337"/>
          </w:tcPr>
          <w:p>
            <w:r>
              <w:rPr>
                <w:rFonts w:ascii="Times New Roman" w:hAnsi="Times New Roman"/>
                <w:sz w:val="20"/>
              </w:rPr>
              <w:t>-0.073</w:t>
            </w:r>
          </w:p>
        </w:tc>
        <w:tc>
          <w:tcPr>
            <w:tcW w:type="dxa" w:w="1337"/>
          </w:tcPr>
          <w:p>
            <w:r>
              <w:rPr>
                <w:rFonts w:ascii="Times New Roman" w:hAnsi="Times New Roman"/>
                <w:sz w:val="20"/>
              </w:rPr>
              <w:t>0.186</w:t>
            </w:r>
          </w:p>
        </w:tc>
        <w:tc>
          <w:tcPr>
            <w:tcW w:type="dxa" w:w="1337"/>
          </w:tcPr>
          <w:p>
            <w:r>
              <w:rPr>
                <w:rFonts w:ascii="Times New Roman" w:hAnsi="Times New Roman"/>
                <w:sz w:val="20"/>
              </w:rPr>
              <w:t>-0.438</w:t>
            </w:r>
          </w:p>
        </w:tc>
        <w:tc>
          <w:tcPr>
            <w:tcW w:type="dxa" w:w="1337"/>
          </w:tcPr>
          <w:p>
            <w:r>
              <w:rPr>
                <w:rFonts w:ascii="Times New Roman" w:hAnsi="Times New Roman"/>
                <w:sz w:val="20"/>
              </w:rPr>
              <w:t>0.292</w:t>
            </w:r>
          </w:p>
        </w:tc>
        <w:tc>
          <w:tcPr>
            <w:tcW w:type="dxa" w:w="1337"/>
          </w:tcPr>
          <w:p>
            <w:r>
              <w:rPr>
                <w:rFonts w:ascii="Times New Roman" w:hAnsi="Times New Roman"/>
                <w:sz w:val="20"/>
              </w:rPr>
              <w:t>0.695</w:t>
            </w:r>
          </w:p>
        </w:tc>
        <w:tc>
          <w:tcPr>
            <w:tcW w:type="dxa" w:w="1337"/>
          </w:tcPr>
          <w:p>
            <w:r>
              <w:rPr>
                <w:rFonts w:ascii="Times New Roman" w:hAnsi="Times New Roman"/>
                <w:sz w:val="20"/>
              </w:rPr>
              <w:t>0.930</w:t>
            </w:r>
          </w:p>
        </w:tc>
      </w:tr>
      <w:tr>
        <w:tc>
          <w:tcPr>
            <w:tcW w:type="dxa" w:w="1337"/>
          </w:tcPr>
          <w:p>
            <w:r>
              <w:rPr>
                <w:rFonts w:ascii="Times New Roman" w:hAnsi="Times New Roman"/>
                <w:sz w:val="20"/>
              </w:rPr>
              <w:t>sdh_thickness</w:t>
            </w:r>
          </w:p>
        </w:tc>
        <w:tc>
          <w:tcPr>
            <w:tcW w:type="dxa" w:w="1337"/>
          </w:tcPr>
          <w:p>
            <w:r>
              <w:rPr>
                <w:rFonts w:ascii="Times New Roman" w:hAnsi="Times New Roman"/>
                <w:sz w:val="20"/>
              </w:rPr>
              <w:t>0.004</w:t>
            </w:r>
          </w:p>
        </w:tc>
        <w:tc>
          <w:tcPr>
            <w:tcW w:type="dxa" w:w="1337"/>
          </w:tcPr>
          <w:p>
            <w:r>
              <w:rPr>
                <w:rFonts w:ascii="Times New Roman" w:hAnsi="Times New Roman"/>
                <w:sz w:val="20"/>
              </w:rPr>
              <w:t>0.170</w:t>
            </w:r>
          </w:p>
        </w:tc>
        <w:tc>
          <w:tcPr>
            <w:tcW w:type="dxa" w:w="1337"/>
          </w:tcPr>
          <w:p>
            <w:r>
              <w:rPr>
                <w:rFonts w:ascii="Times New Roman" w:hAnsi="Times New Roman"/>
                <w:sz w:val="20"/>
              </w:rPr>
              <w:t>-0.330</w:t>
            </w:r>
          </w:p>
        </w:tc>
        <w:tc>
          <w:tcPr>
            <w:tcW w:type="dxa" w:w="1337"/>
          </w:tcPr>
          <w:p>
            <w:r>
              <w:rPr>
                <w:rFonts w:ascii="Times New Roman" w:hAnsi="Times New Roman"/>
                <w:sz w:val="20"/>
              </w:rPr>
              <w:t>0.337</w:t>
            </w:r>
          </w:p>
        </w:tc>
        <w:tc>
          <w:tcPr>
            <w:tcW w:type="dxa" w:w="1337"/>
          </w:tcPr>
          <w:p>
            <w:r>
              <w:rPr>
                <w:rFonts w:ascii="Times New Roman" w:hAnsi="Times New Roman"/>
                <w:sz w:val="20"/>
              </w:rPr>
              <w:t>0.984</w:t>
            </w:r>
          </w:p>
        </w:tc>
        <w:tc>
          <w:tcPr>
            <w:tcW w:type="dxa" w:w="1337"/>
          </w:tcPr>
          <w:p>
            <w:r>
              <w:rPr>
                <w:rFonts w:ascii="Times New Roman" w:hAnsi="Times New Roman"/>
                <w:sz w:val="20"/>
              </w:rPr>
              <w:t>1.003</w:t>
            </w:r>
          </w:p>
        </w:tc>
      </w:tr>
      <w:tr>
        <w:tc>
          <w:tcPr>
            <w:tcW w:type="dxa" w:w="1337"/>
          </w:tcPr>
          <w:p>
            <w:r>
              <w:rPr>
                <w:rFonts w:ascii="Times New Roman" w:hAnsi="Times New Roman"/>
                <w:sz w:val="20"/>
              </w:rPr>
              <w:t>csdh_size_change</w:t>
            </w:r>
          </w:p>
        </w:tc>
        <w:tc>
          <w:tcPr>
            <w:tcW w:type="dxa" w:w="1337"/>
          </w:tcPr>
          <w:p>
            <w:r>
              <w:rPr>
                <w:rFonts w:ascii="Times New Roman" w:hAnsi="Times New Roman"/>
                <w:sz w:val="20"/>
              </w:rPr>
              <w:t>-0.080</w:t>
            </w:r>
          </w:p>
        </w:tc>
        <w:tc>
          <w:tcPr>
            <w:tcW w:type="dxa" w:w="1337"/>
          </w:tcPr>
          <w:p>
            <w:r>
              <w:rPr>
                <w:rFonts w:ascii="Times New Roman" w:hAnsi="Times New Roman"/>
                <w:sz w:val="20"/>
              </w:rPr>
              <w:t>0.186</w:t>
            </w:r>
          </w:p>
        </w:tc>
        <w:tc>
          <w:tcPr>
            <w:tcW w:type="dxa" w:w="1337"/>
          </w:tcPr>
          <w:p>
            <w:r>
              <w:rPr>
                <w:rFonts w:ascii="Times New Roman" w:hAnsi="Times New Roman"/>
                <w:sz w:val="20"/>
              </w:rPr>
              <w:t>-0.445</w:t>
            </w:r>
          </w:p>
        </w:tc>
        <w:tc>
          <w:tcPr>
            <w:tcW w:type="dxa" w:w="1337"/>
          </w:tcPr>
          <w:p>
            <w:r>
              <w:rPr>
                <w:rFonts w:ascii="Times New Roman" w:hAnsi="Times New Roman"/>
                <w:sz w:val="20"/>
              </w:rPr>
              <w:t>0.286</w:t>
            </w:r>
          </w:p>
        </w:tc>
        <w:tc>
          <w:tcPr>
            <w:tcW w:type="dxa" w:w="1337"/>
          </w:tcPr>
          <w:p>
            <w:r>
              <w:rPr>
                <w:rFonts w:ascii="Times New Roman" w:hAnsi="Times New Roman"/>
                <w:sz w:val="20"/>
              </w:rPr>
              <w:t>0.669</w:t>
            </w:r>
          </w:p>
        </w:tc>
        <w:tc>
          <w:tcPr>
            <w:tcW w:type="dxa" w:w="1337"/>
          </w:tcPr>
          <w:p>
            <w:r>
              <w:rPr>
                <w:rFonts w:ascii="Times New Roman" w:hAnsi="Times New Roman"/>
                <w:sz w:val="20"/>
              </w:rPr>
              <w:t>0.923</w:t>
            </w:r>
          </w:p>
        </w:tc>
      </w:tr>
      <w:tr>
        <w:tc>
          <w:tcPr>
            <w:tcW w:type="dxa" w:w="1337"/>
          </w:tcPr>
          <w:p>
            <w:r>
              <w:rPr>
                <w:rFonts w:ascii="Times New Roman" w:hAnsi="Times New Roman"/>
                <w:sz w:val="20"/>
              </w:rPr>
              <w:t>mid_shift</w:t>
            </w:r>
          </w:p>
        </w:tc>
        <w:tc>
          <w:tcPr>
            <w:tcW w:type="dxa" w:w="1337"/>
          </w:tcPr>
          <w:p>
            <w:r>
              <w:rPr>
                <w:rFonts w:ascii="Times New Roman" w:hAnsi="Times New Roman"/>
                <w:sz w:val="20"/>
              </w:rPr>
              <w:t>0.240</w:t>
            </w:r>
          </w:p>
        </w:tc>
        <w:tc>
          <w:tcPr>
            <w:tcW w:type="dxa" w:w="1337"/>
          </w:tcPr>
          <w:p>
            <w:r>
              <w:rPr>
                <w:rFonts w:ascii="Times New Roman" w:hAnsi="Times New Roman"/>
                <w:sz w:val="20"/>
              </w:rPr>
              <w:t>0.164</w:t>
            </w:r>
          </w:p>
        </w:tc>
        <w:tc>
          <w:tcPr>
            <w:tcW w:type="dxa" w:w="1337"/>
          </w:tcPr>
          <w:p>
            <w:r>
              <w:rPr>
                <w:rFonts w:ascii="Times New Roman" w:hAnsi="Times New Roman"/>
                <w:sz w:val="20"/>
              </w:rPr>
              <w:t>-0.082</w:t>
            </w:r>
          </w:p>
        </w:tc>
        <w:tc>
          <w:tcPr>
            <w:tcW w:type="dxa" w:w="1337"/>
          </w:tcPr>
          <w:p>
            <w:r>
              <w:rPr>
                <w:rFonts w:ascii="Times New Roman" w:hAnsi="Times New Roman"/>
                <w:sz w:val="20"/>
              </w:rPr>
              <w:t>0.563</w:t>
            </w:r>
          </w:p>
        </w:tc>
        <w:tc>
          <w:tcPr>
            <w:tcW w:type="dxa" w:w="1337"/>
          </w:tcPr>
          <w:p>
            <w:r>
              <w:rPr>
                <w:rFonts w:ascii="Times New Roman" w:hAnsi="Times New Roman"/>
                <w:sz w:val="20"/>
              </w:rPr>
              <w:t>0.143</w:t>
            </w:r>
          </w:p>
        </w:tc>
        <w:tc>
          <w:tcPr>
            <w:tcW w:type="dxa" w:w="1337"/>
          </w:tcPr>
          <w:p>
            <w:r>
              <w:rPr>
                <w:rFonts w:ascii="Times New Roman" w:hAnsi="Times New Roman"/>
                <w:sz w:val="20"/>
              </w:rPr>
              <w:t>1.272</w:t>
            </w:r>
          </w:p>
        </w:tc>
      </w:tr>
      <w:tr>
        <w:tc>
          <w:tcPr>
            <w:tcW w:type="dxa" w:w="1337"/>
          </w:tcPr>
          <w:p>
            <w:r>
              <w:rPr>
                <w:rFonts w:ascii="Times New Roman" w:hAnsi="Times New Roman"/>
                <w:sz w:val="20"/>
              </w:rPr>
              <w:t>hematoma_lat</w:t>
            </w:r>
          </w:p>
        </w:tc>
        <w:tc>
          <w:tcPr>
            <w:tcW w:type="dxa" w:w="1337"/>
          </w:tcPr>
          <w:p>
            <w:r>
              <w:rPr>
                <w:rFonts w:ascii="Times New Roman" w:hAnsi="Times New Roman"/>
                <w:sz w:val="20"/>
              </w:rPr>
              <w:t>-0.135</w:t>
            </w:r>
          </w:p>
        </w:tc>
        <w:tc>
          <w:tcPr>
            <w:tcW w:type="dxa" w:w="1337"/>
          </w:tcPr>
          <w:p>
            <w:r>
              <w:rPr>
                <w:rFonts w:ascii="Times New Roman" w:hAnsi="Times New Roman"/>
                <w:sz w:val="20"/>
              </w:rPr>
              <w:t>0.150</w:t>
            </w:r>
          </w:p>
        </w:tc>
        <w:tc>
          <w:tcPr>
            <w:tcW w:type="dxa" w:w="1337"/>
          </w:tcPr>
          <w:p>
            <w:r>
              <w:rPr>
                <w:rFonts w:ascii="Times New Roman" w:hAnsi="Times New Roman"/>
                <w:sz w:val="20"/>
              </w:rPr>
              <w:t>-0.429</w:t>
            </w:r>
          </w:p>
        </w:tc>
        <w:tc>
          <w:tcPr>
            <w:tcW w:type="dxa" w:w="1337"/>
          </w:tcPr>
          <w:p>
            <w:r>
              <w:rPr>
                <w:rFonts w:ascii="Times New Roman" w:hAnsi="Times New Roman"/>
                <w:sz w:val="20"/>
              </w:rPr>
              <w:t>0.160</w:t>
            </w:r>
          </w:p>
        </w:tc>
        <w:tc>
          <w:tcPr>
            <w:tcW w:type="dxa" w:w="1337"/>
          </w:tcPr>
          <w:p>
            <w:r>
              <w:rPr>
                <w:rFonts w:ascii="Times New Roman" w:hAnsi="Times New Roman"/>
                <w:sz w:val="20"/>
              </w:rPr>
              <w:t>0.370</w:t>
            </w:r>
          </w:p>
        </w:tc>
        <w:tc>
          <w:tcPr>
            <w:tcW w:type="dxa" w:w="1337"/>
          </w:tcPr>
          <w:p>
            <w:r>
              <w:rPr>
                <w:rFonts w:ascii="Times New Roman" w:hAnsi="Times New Roman"/>
                <w:sz w:val="20"/>
              </w:rPr>
              <w:t>0.874</w:t>
            </w:r>
          </w:p>
        </w:tc>
      </w:tr>
      <w:tr>
        <w:tc>
          <w:tcPr>
            <w:tcW w:type="dxa" w:w="1337"/>
          </w:tcPr>
          <w:p>
            <w:r>
              <w:rPr>
                <w:rFonts w:ascii="Times New Roman" w:hAnsi="Times New Roman"/>
                <w:sz w:val="20"/>
              </w:rPr>
              <w:t>collection_density</w:t>
            </w:r>
          </w:p>
        </w:tc>
        <w:tc>
          <w:tcPr>
            <w:tcW w:type="dxa" w:w="1337"/>
          </w:tcPr>
          <w:p>
            <w:r>
              <w:rPr>
                <w:rFonts w:ascii="Times New Roman" w:hAnsi="Times New Roman"/>
                <w:sz w:val="20"/>
              </w:rPr>
              <w:t>0.234</w:t>
            </w:r>
          </w:p>
        </w:tc>
        <w:tc>
          <w:tcPr>
            <w:tcW w:type="dxa" w:w="1337"/>
          </w:tcPr>
          <w:p>
            <w:r>
              <w:rPr>
                <w:rFonts w:ascii="Times New Roman" w:hAnsi="Times New Roman"/>
                <w:sz w:val="20"/>
              </w:rPr>
              <w:t>0.183</w:t>
            </w:r>
          </w:p>
        </w:tc>
        <w:tc>
          <w:tcPr>
            <w:tcW w:type="dxa" w:w="1337"/>
          </w:tcPr>
          <w:p>
            <w:r>
              <w:rPr>
                <w:rFonts w:ascii="Times New Roman" w:hAnsi="Times New Roman"/>
                <w:sz w:val="20"/>
              </w:rPr>
              <w:t>-0.124</w:t>
            </w:r>
          </w:p>
        </w:tc>
        <w:tc>
          <w:tcPr>
            <w:tcW w:type="dxa" w:w="1337"/>
          </w:tcPr>
          <w:p>
            <w:r>
              <w:rPr>
                <w:rFonts w:ascii="Times New Roman" w:hAnsi="Times New Roman"/>
                <w:sz w:val="20"/>
              </w:rPr>
              <w:t>0.593</w:t>
            </w:r>
          </w:p>
        </w:tc>
        <w:tc>
          <w:tcPr>
            <w:tcW w:type="dxa" w:w="1337"/>
          </w:tcPr>
          <w:p>
            <w:r>
              <w:rPr>
                <w:rFonts w:ascii="Times New Roman" w:hAnsi="Times New Roman"/>
                <w:sz w:val="20"/>
              </w:rPr>
              <w:t>0.200</w:t>
            </w:r>
          </w:p>
        </w:tc>
        <w:tc>
          <w:tcPr>
            <w:tcW w:type="dxa" w:w="1337"/>
          </w:tcPr>
          <w:p>
            <w:r>
              <w:rPr>
                <w:rFonts w:ascii="Times New Roman" w:hAnsi="Times New Roman"/>
                <w:sz w:val="20"/>
              </w:rPr>
              <w:t>1.264</w:t>
            </w:r>
          </w:p>
        </w:tc>
      </w:tr>
      <w:tr>
        <w:tc>
          <w:tcPr>
            <w:tcW w:type="dxa" w:w="1337"/>
          </w:tcPr>
          <w:p>
            <w:r>
              <w:rPr>
                <w:rFonts w:ascii="Times New Roman" w:hAnsi="Times New Roman"/>
                <w:sz w:val="20"/>
              </w:rPr>
              <w:t>preop_gcs</w:t>
            </w:r>
          </w:p>
        </w:tc>
        <w:tc>
          <w:tcPr>
            <w:tcW w:type="dxa" w:w="1337"/>
          </w:tcPr>
          <w:p>
            <w:r>
              <w:rPr>
                <w:rFonts w:ascii="Times New Roman" w:hAnsi="Times New Roman"/>
                <w:sz w:val="20"/>
              </w:rPr>
              <w:t>-0.027</w:t>
            </w:r>
          </w:p>
        </w:tc>
        <w:tc>
          <w:tcPr>
            <w:tcW w:type="dxa" w:w="1337"/>
          </w:tcPr>
          <w:p>
            <w:r>
              <w:rPr>
                <w:rFonts w:ascii="Times New Roman" w:hAnsi="Times New Roman"/>
                <w:sz w:val="20"/>
              </w:rPr>
              <w:t>0.140</w:t>
            </w:r>
          </w:p>
        </w:tc>
        <w:tc>
          <w:tcPr>
            <w:tcW w:type="dxa" w:w="1337"/>
          </w:tcPr>
          <w:p>
            <w:r>
              <w:rPr>
                <w:rFonts w:ascii="Times New Roman" w:hAnsi="Times New Roman"/>
                <w:sz w:val="20"/>
              </w:rPr>
              <w:t>-0.302</w:t>
            </w:r>
          </w:p>
        </w:tc>
        <w:tc>
          <w:tcPr>
            <w:tcW w:type="dxa" w:w="1337"/>
          </w:tcPr>
          <w:p>
            <w:r>
              <w:rPr>
                <w:rFonts w:ascii="Times New Roman" w:hAnsi="Times New Roman"/>
                <w:sz w:val="20"/>
              </w:rPr>
              <w:t>0.248</w:t>
            </w:r>
          </w:p>
        </w:tc>
        <w:tc>
          <w:tcPr>
            <w:tcW w:type="dxa" w:w="1337"/>
          </w:tcPr>
          <w:p>
            <w:r>
              <w:rPr>
                <w:rFonts w:ascii="Times New Roman" w:hAnsi="Times New Roman"/>
                <w:sz w:val="20"/>
              </w:rPr>
              <w:t>0.846</w:t>
            </w:r>
          </w:p>
        </w:tc>
        <w:tc>
          <w:tcPr>
            <w:tcW w:type="dxa" w:w="1337"/>
          </w:tcPr>
          <w:p>
            <w:r>
              <w:rPr>
                <w:rFonts w:ascii="Times New Roman" w:hAnsi="Times New Roman"/>
                <w:sz w:val="20"/>
              </w:rPr>
              <w:t>0.973</w:t>
            </w:r>
          </w:p>
        </w:tc>
      </w:tr>
      <w:tr>
        <w:tc>
          <w:tcPr>
            <w:tcW w:type="dxa" w:w="1337"/>
          </w:tcPr>
          <w:p>
            <w:r>
              <w:rPr>
                <w:rFonts w:ascii="Times New Roman" w:hAnsi="Times New Roman"/>
                <w:sz w:val="20"/>
              </w:rPr>
              <w:t>epilepsy_hx</w:t>
            </w:r>
          </w:p>
        </w:tc>
        <w:tc>
          <w:tcPr>
            <w:tcW w:type="dxa" w:w="1337"/>
          </w:tcPr>
          <w:p>
            <w:r>
              <w:rPr>
                <w:rFonts w:ascii="Times New Roman" w:hAnsi="Times New Roman"/>
                <w:sz w:val="20"/>
              </w:rPr>
              <w:t>0.064</w:t>
            </w:r>
          </w:p>
        </w:tc>
        <w:tc>
          <w:tcPr>
            <w:tcW w:type="dxa" w:w="1337"/>
          </w:tcPr>
          <w:p>
            <w:r>
              <w:rPr>
                <w:rFonts w:ascii="Times New Roman" w:hAnsi="Times New Roman"/>
                <w:sz w:val="20"/>
              </w:rPr>
              <w:t>0.128</w:t>
            </w:r>
          </w:p>
        </w:tc>
        <w:tc>
          <w:tcPr>
            <w:tcW w:type="dxa" w:w="1337"/>
          </w:tcPr>
          <w:p>
            <w:r>
              <w:rPr>
                <w:rFonts w:ascii="Times New Roman" w:hAnsi="Times New Roman"/>
                <w:sz w:val="20"/>
              </w:rPr>
              <w:t>-0.187</w:t>
            </w:r>
          </w:p>
        </w:tc>
        <w:tc>
          <w:tcPr>
            <w:tcW w:type="dxa" w:w="1337"/>
          </w:tcPr>
          <w:p>
            <w:r>
              <w:rPr>
                <w:rFonts w:ascii="Times New Roman" w:hAnsi="Times New Roman"/>
                <w:sz w:val="20"/>
              </w:rPr>
              <w:t>0.314</w:t>
            </w:r>
          </w:p>
        </w:tc>
        <w:tc>
          <w:tcPr>
            <w:tcW w:type="dxa" w:w="1337"/>
          </w:tcPr>
          <w:p>
            <w:r>
              <w:rPr>
                <w:rFonts w:ascii="Times New Roman" w:hAnsi="Times New Roman"/>
                <w:sz w:val="20"/>
              </w:rPr>
              <w:t>0.618</w:t>
            </w:r>
          </w:p>
        </w:tc>
        <w:tc>
          <w:tcPr>
            <w:tcW w:type="dxa" w:w="1337"/>
          </w:tcPr>
          <w:p>
            <w:r>
              <w:rPr>
                <w:rFonts w:ascii="Times New Roman" w:hAnsi="Times New Roman"/>
                <w:sz w:val="20"/>
              </w:rPr>
              <w:t>1.066</w:t>
            </w:r>
          </w:p>
        </w:tc>
      </w:tr>
      <w:tr>
        <w:tc>
          <w:tcPr>
            <w:tcW w:type="dxa" w:w="1337"/>
          </w:tcPr>
          <w:p>
            <w:r>
              <w:rPr>
                <w:rFonts w:ascii="Times New Roman" w:hAnsi="Times New Roman"/>
                <w:sz w:val="20"/>
              </w:rPr>
              <w:t>num_prev_sdh</w:t>
            </w:r>
          </w:p>
        </w:tc>
        <w:tc>
          <w:tcPr>
            <w:tcW w:type="dxa" w:w="1337"/>
          </w:tcPr>
          <w:p>
            <w:r>
              <w:rPr>
                <w:rFonts w:ascii="Times New Roman" w:hAnsi="Times New Roman"/>
                <w:sz w:val="20"/>
              </w:rPr>
              <w:t>0.121</w:t>
            </w:r>
          </w:p>
        </w:tc>
        <w:tc>
          <w:tcPr>
            <w:tcW w:type="dxa" w:w="1337"/>
          </w:tcPr>
          <w:p>
            <w:r>
              <w:rPr>
                <w:rFonts w:ascii="Times New Roman" w:hAnsi="Times New Roman"/>
                <w:sz w:val="20"/>
              </w:rPr>
              <w:t>0.158</w:t>
            </w:r>
          </w:p>
        </w:tc>
        <w:tc>
          <w:tcPr>
            <w:tcW w:type="dxa" w:w="1337"/>
          </w:tcPr>
          <w:p>
            <w:r>
              <w:rPr>
                <w:rFonts w:ascii="Times New Roman" w:hAnsi="Times New Roman"/>
                <w:sz w:val="20"/>
              </w:rPr>
              <w:t>-0.188</w:t>
            </w:r>
          </w:p>
        </w:tc>
        <w:tc>
          <w:tcPr>
            <w:tcW w:type="dxa" w:w="1337"/>
          </w:tcPr>
          <w:p>
            <w:r>
              <w:rPr>
                <w:rFonts w:ascii="Times New Roman" w:hAnsi="Times New Roman"/>
                <w:sz w:val="20"/>
              </w:rPr>
              <w:t>0.431</w:t>
            </w:r>
          </w:p>
        </w:tc>
        <w:tc>
          <w:tcPr>
            <w:tcW w:type="dxa" w:w="1337"/>
          </w:tcPr>
          <w:p>
            <w:r>
              <w:rPr>
                <w:rFonts w:ascii="Times New Roman" w:hAnsi="Times New Roman"/>
                <w:sz w:val="20"/>
              </w:rPr>
              <w:t>0.443</w:t>
            </w:r>
          </w:p>
        </w:tc>
        <w:tc>
          <w:tcPr>
            <w:tcW w:type="dxa" w:w="1337"/>
          </w:tcPr>
          <w:p>
            <w:r>
              <w:rPr>
                <w:rFonts w:ascii="Times New Roman" w:hAnsi="Times New Roman"/>
                <w:sz w:val="20"/>
              </w:rPr>
              <w:t>1.129</w:t>
            </w:r>
          </w:p>
        </w:tc>
      </w:tr>
      <w:tr>
        <w:tc>
          <w:tcPr>
            <w:tcW w:type="dxa" w:w="1337"/>
          </w:tcPr>
          <w:p>
            <w:r>
              <w:rPr>
                <w:rFonts w:ascii="Times New Roman" w:hAnsi="Times New Roman"/>
                <w:sz w:val="20"/>
              </w:rPr>
              <w:t>demographic</w:t>
            </w:r>
          </w:p>
        </w:tc>
        <w:tc>
          <w:tcPr>
            <w:tcW w:type="dxa" w:w="1337"/>
          </w:tcPr>
          <w:p>
            <w:r>
              <w:rPr>
                <w:rFonts w:ascii="Times New Roman" w:hAnsi="Times New Roman"/>
                <w:sz w:val="20"/>
              </w:rPr>
              <w:t>0.000</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1.000</w:t>
            </w:r>
          </w:p>
        </w:tc>
      </w:tr>
      <w:tr>
        <w:tc>
          <w:tcPr>
            <w:tcW w:type="dxa" w:w="1337"/>
          </w:tcPr>
          <w:p>
            <w:r>
              <w:rPr>
                <w:rFonts w:ascii="Times New Roman" w:hAnsi="Times New Roman"/>
                <w:sz w:val="20"/>
              </w:rPr>
              <w:t>procedures</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0.002</w:t>
            </w:r>
          </w:p>
        </w:tc>
        <w:tc>
          <w:tcPr>
            <w:tcW w:type="dxa" w:w="1337"/>
          </w:tcPr>
          <w:p>
            <w:r>
              <w:rPr>
                <w:rFonts w:ascii="Times New Roman" w:hAnsi="Times New Roman"/>
                <w:sz w:val="20"/>
              </w:rPr>
              <w:t>1.000</w:t>
            </w:r>
          </w:p>
        </w:tc>
      </w:tr>
      <w:tr>
        <w:tc>
          <w:tcPr>
            <w:tcW w:type="dxa" w:w="1337"/>
          </w:tcPr>
          <w:p>
            <w:r>
              <w:rPr>
                <w:rFonts w:ascii="Times New Roman" w:hAnsi="Times New Roman"/>
                <w:sz w:val="20"/>
              </w:rPr>
              <w:t>surg_decompression</w:t>
            </w:r>
          </w:p>
        </w:tc>
        <w:tc>
          <w:tcPr>
            <w:tcW w:type="dxa" w:w="1337"/>
          </w:tcPr>
          <w:p>
            <w:r>
              <w:rPr>
                <w:rFonts w:ascii="Times New Roman" w:hAnsi="Times New Roman"/>
                <w:sz w:val="20"/>
              </w:rPr>
              <w:t>-0.683</w:t>
            </w:r>
          </w:p>
        </w:tc>
        <w:tc>
          <w:tcPr>
            <w:tcW w:type="dxa" w:w="1337"/>
          </w:tcPr>
          <w:p>
            <w:r>
              <w:rPr>
                <w:rFonts w:ascii="Times New Roman" w:hAnsi="Times New Roman"/>
                <w:sz w:val="20"/>
              </w:rPr>
              <w:t>0.213</w:t>
            </w:r>
          </w:p>
        </w:tc>
        <w:tc>
          <w:tcPr>
            <w:tcW w:type="dxa" w:w="1337"/>
          </w:tcPr>
          <w:p>
            <w:r>
              <w:rPr>
                <w:rFonts w:ascii="Times New Roman" w:hAnsi="Times New Roman"/>
                <w:sz w:val="20"/>
              </w:rPr>
              <w:t>-1.101</w:t>
            </w:r>
          </w:p>
        </w:tc>
        <w:tc>
          <w:tcPr>
            <w:tcW w:type="dxa" w:w="1337"/>
          </w:tcPr>
          <w:p>
            <w:r>
              <w:rPr>
                <w:rFonts w:ascii="Times New Roman" w:hAnsi="Times New Roman"/>
                <w:sz w:val="20"/>
              </w:rPr>
              <w:t>-0.266</w:t>
            </w:r>
          </w:p>
        </w:tc>
        <w:tc>
          <w:tcPr>
            <w:tcW w:type="dxa" w:w="1337"/>
          </w:tcPr>
          <w:p>
            <w:r>
              <w:rPr>
                <w:rFonts w:ascii="Times New Roman" w:hAnsi="Times New Roman"/>
                <w:sz w:val="20"/>
              </w:rPr>
              <w:t>0.001</w:t>
            </w:r>
          </w:p>
        </w:tc>
        <w:tc>
          <w:tcPr>
            <w:tcW w:type="dxa" w:w="1337"/>
          </w:tcPr>
          <w:p>
            <w:r>
              <w:rPr>
                <w:rFonts w:ascii="Times New Roman" w:hAnsi="Times New Roman"/>
                <w:sz w:val="20"/>
              </w:rPr>
              <w:t>0.505</w:t>
            </w:r>
          </w:p>
        </w:tc>
      </w:tr>
      <w:tr>
        <w:tc>
          <w:tcPr>
            <w:tcW w:type="dxa" w:w="1337"/>
          </w:tcPr>
          <w:p>
            <w:r>
              <w:rPr>
                <w:rFonts w:ascii="Times New Roman" w:hAnsi="Times New Roman"/>
                <w:sz w:val="20"/>
              </w:rPr>
              <w:t>mma_embo</w:t>
            </w:r>
          </w:p>
        </w:tc>
        <w:tc>
          <w:tcPr>
            <w:tcW w:type="dxa" w:w="1337"/>
          </w:tcPr>
          <w:p>
            <w:r>
              <w:rPr>
                <w:rFonts w:ascii="Times New Roman" w:hAnsi="Times New Roman"/>
                <w:sz w:val="20"/>
              </w:rPr>
              <w:t>-0.414</w:t>
            </w:r>
          </w:p>
        </w:tc>
        <w:tc>
          <w:tcPr>
            <w:tcW w:type="dxa" w:w="1337"/>
          </w:tcPr>
          <w:p>
            <w:r>
              <w:rPr>
                <w:rFonts w:ascii="Times New Roman" w:hAnsi="Times New Roman"/>
                <w:sz w:val="20"/>
              </w:rPr>
              <w:t>0.182</w:t>
            </w:r>
          </w:p>
        </w:tc>
        <w:tc>
          <w:tcPr>
            <w:tcW w:type="dxa" w:w="1337"/>
          </w:tcPr>
          <w:p>
            <w:r>
              <w:rPr>
                <w:rFonts w:ascii="Times New Roman" w:hAnsi="Times New Roman"/>
                <w:sz w:val="20"/>
              </w:rPr>
              <w:t>-0.771</w:t>
            </w:r>
          </w:p>
        </w:tc>
        <w:tc>
          <w:tcPr>
            <w:tcW w:type="dxa" w:w="1337"/>
          </w:tcPr>
          <w:p>
            <w:r>
              <w:rPr>
                <w:rFonts w:ascii="Times New Roman" w:hAnsi="Times New Roman"/>
                <w:sz w:val="20"/>
              </w:rPr>
              <w:t>-0.058</w:t>
            </w:r>
          </w:p>
        </w:tc>
        <w:tc>
          <w:tcPr>
            <w:tcW w:type="dxa" w:w="1337"/>
          </w:tcPr>
          <w:p>
            <w:r>
              <w:rPr>
                <w:rFonts w:ascii="Times New Roman" w:hAnsi="Times New Roman"/>
                <w:sz w:val="20"/>
              </w:rPr>
              <w:t>0.023</w:t>
            </w:r>
          </w:p>
        </w:tc>
        <w:tc>
          <w:tcPr>
            <w:tcW w:type="dxa" w:w="1337"/>
          </w:tcPr>
          <w:p>
            <w:r>
              <w:rPr>
                <w:rFonts w:ascii="Times New Roman" w:hAnsi="Times New Roman"/>
                <w:sz w:val="20"/>
              </w:rPr>
              <w:t>0.661</w:t>
            </w:r>
          </w:p>
        </w:tc>
      </w:tr>
      <w:tr>
        <w:tc>
          <w:tcPr>
            <w:tcW w:type="dxa" w:w="1337"/>
          </w:tcPr>
          <w:p>
            <w:r>
              <w:rPr>
                <w:rFonts w:ascii="Times New Roman" w:hAnsi="Times New Roman"/>
                <w:sz w:val="20"/>
              </w:rPr>
              <w:t>drainage</w:t>
            </w:r>
          </w:p>
        </w:tc>
        <w:tc>
          <w:tcPr>
            <w:tcW w:type="dxa" w:w="1337"/>
          </w:tcPr>
          <w:p>
            <w:r>
              <w:rPr>
                <w:rFonts w:ascii="Times New Roman" w:hAnsi="Times New Roman"/>
                <w:sz w:val="20"/>
              </w:rPr>
              <w:t>0.367</w:t>
            </w:r>
          </w:p>
        </w:tc>
        <w:tc>
          <w:tcPr>
            <w:tcW w:type="dxa" w:w="1337"/>
          </w:tcPr>
          <w:p>
            <w:r>
              <w:rPr>
                <w:rFonts w:ascii="Times New Roman" w:hAnsi="Times New Roman"/>
                <w:sz w:val="20"/>
              </w:rPr>
              <w:t>0.103</w:t>
            </w:r>
          </w:p>
        </w:tc>
        <w:tc>
          <w:tcPr>
            <w:tcW w:type="dxa" w:w="1337"/>
          </w:tcPr>
          <w:p>
            <w:r>
              <w:rPr>
                <w:rFonts w:ascii="Times New Roman" w:hAnsi="Times New Roman"/>
                <w:sz w:val="20"/>
              </w:rPr>
              <w:t>0.166</w:t>
            </w:r>
          </w:p>
        </w:tc>
        <w:tc>
          <w:tcPr>
            <w:tcW w:type="dxa" w:w="1337"/>
          </w:tcPr>
          <w:p>
            <w:r>
              <w:rPr>
                <w:rFonts w:ascii="Times New Roman" w:hAnsi="Times New Roman"/>
                <w:sz w:val="20"/>
              </w:rPr>
              <w:t>0.568</w:t>
            </w:r>
          </w:p>
        </w:tc>
        <w:tc>
          <w:tcPr>
            <w:tcW w:type="dxa" w:w="1337"/>
          </w:tcPr>
          <w:p>
            <w:r>
              <w:rPr>
                <w:rFonts w:ascii="Times New Roman" w:hAnsi="Times New Roman"/>
                <w:sz w:val="20"/>
              </w:rPr>
              <w:t>0.000</w:t>
            </w:r>
          </w:p>
        </w:tc>
        <w:tc>
          <w:tcPr>
            <w:tcW w:type="dxa" w:w="1337"/>
          </w:tcPr>
          <w:p>
            <w:r>
              <w:rPr>
                <w:rFonts w:ascii="Times New Roman" w:hAnsi="Times New Roman"/>
                <w:sz w:val="20"/>
              </w:rPr>
              <w:t>1.443</w:t>
            </w:r>
          </w:p>
        </w:tc>
      </w:tr>
      <w:tr>
        <w:tc>
          <w:tcPr>
            <w:tcW w:type="dxa" w:w="1337"/>
          </w:tcPr>
          <w:p>
            <w:r>
              <w:rPr>
                <w:rFonts w:ascii="Times New Roman" w:hAnsi="Times New Roman"/>
                <w:sz w:val="20"/>
              </w:rPr>
              <w:t>postop_gcs</w:t>
            </w:r>
          </w:p>
        </w:tc>
        <w:tc>
          <w:tcPr>
            <w:tcW w:type="dxa" w:w="1337"/>
          </w:tcPr>
          <w:p>
            <w:r>
              <w:rPr>
                <w:rFonts w:ascii="Times New Roman" w:hAnsi="Times New Roman"/>
                <w:sz w:val="20"/>
              </w:rPr>
              <w:t>-0.108</w:t>
            </w:r>
          </w:p>
        </w:tc>
        <w:tc>
          <w:tcPr>
            <w:tcW w:type="dxa" w:w="1337"/>
          </w:tcPr>
          <w:p>
            <w:r>
              <w:rPr>
                <w:rFonts w:ascii="Times New Roman" w:hAnsi="Times New Roman"/>
                <w:sz w:val="20"/>
              </w:rPr>
              <w:t>0.137</w:t>
            </w:r>
          </w:p>
        </w:tc>
        <w:tc>
          <w:tcPr>
            <w:tcW w:type="dxa" w:w="1337"/>
          </w:tcPr>
          <w:p>
            <w:r>
              <w:rPr>
                <w:rFonts w:ascii="Times New Roman" w:hAnsi="Times New Roman"/>
                <w:sz w:val="20"/>
              </w:rPr>
              <w:t>-0.376</w:t>
            </w:r>
          </w:p>
        </w:tc>
        <w:tc>
          <w:tcPr>
            <w:tcW w:type="dxa" w:w="1337"/>
          </w:tcPr>
          <w:p>
            <w:r>
              <w:rPr>
                <w:rFonts w:ascii="Times New Roman" w:hAnsi="Times New Roman"/>
                <w:sz w:val="20"/>
              </w:rPr>
              <w:t>0.160</w:t>
            </w:r>
          </w:p>
        </w:tc>
        <w:tc>
          <w:tcPr>
            <w:tcW w:type="dxa" w:w="1337"/>
          </w:tcPr>
          <w:p>
            <w:r>
              <w:rPr>
                <w:rFonts w:ascii="Times New Roman" w:hAnsi="Times New Roman"/>
                <w:sz w:val="20"/>
              </w:rPr>
              <w:t>0.430</w:t>
            </w:r>
          </w:p>
        </w:tc>
        <w:tc>
          <w:tcPr>
            <w:tcW w:type="dxa" w:w="1337"/>
          </w:tcPr>
          <w:p>
            <w:r>
              <w:rPr>
                <w:rFonts w:ascii="Times New Roman" w:hAnsi="Times New Roman"/>
                <w:sz w:val="20"/>
              </w:rPr>
              <w:t>0.898</w:t>
            </w:r>
          </w:p>
        </w:tc>
      </w:tr>
    </w:tbl>
    <w:p>
      <w:pPr>
        <w:spacing w:line="360" w:lineRule="auto" w:after="120"/>
        <w:jc w:val="both"/>
      </w:pPr>
      <w:r>
        <w:rPr>
          <w:rFonts w:ascii="Times New Roman" w:hAnsi="Times New Roman"/>
          <w:b w:val="0"/>
          <w:i w:val="0"/>
          <w:sz w:val="22"/>
        </w:rPr>
        <w:t>The only coefficients reaching statistical significance are procedure variables (surgical decompression, middle-meningeal-artery embolization, and drainage); these reflect confounding by indication rather than causal seizure biology, for example, drainage carries an odds ratio of 1.44, a direction inconsistent with a plausible causal protective effect, which is a limitation of the candidate model.</w:t>
      </w:r>
    </w:p>
    <w:p>
      <w:pPr>
        <w:spacing w:line="360" w:lineRule="auto" w:after="120"/>
        <w:jc w:val="both"/>
      </w:pPr>
      <w:r>
        <w:rPr>
          <w:rFonts w:ascii="Times New Roman" w:hAnsi="Times New Roman"/>
          <w:b w:val="0"/>
          <w:i w:val="0"/>
          <w:sz w:val="22"/>
        </w:rPr>
        <w:t>Candidate-model calibration. Out-of-fold, the candidate model achieves calibration-in-the-large near zero and low expected calibration error; the recalibration slope exceeds one (under-dispersion), reflecting weak discrimination over a narrow probability range rather than mean miscalibration. Calibration metrics are released as results/40_postopB_calibration_post_platt.csv.</w:t>
      </w:r>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40_postopB_calibration.png"/>
                    <pic:cNvPicPr/>
                  </pic:nvPicPr>
                  <pic:blipFill>
                    <a:blip r:embed="rId9"/>
                    <a:stretch>
                      <a:fillRect/>
                    </a:stretch>
                  </pic:blipFill>
                  <pic:spPr>
                    <a:xfrm>
                      <a:off x="0" y="0"/>
                      <a:ext cx="5943600" cy="5943600"/>
                    </a:xfrm>
                    <a:prstGeom prst="rect"/>
                  </pic:spPr>
                </pic:pic>
              </a:graphicData>
            </a:graphic>
          </wp:inline>
        </w:drawing>
      </w:r>
    </w:p>
    <w:p>
      <w:pPr>
        <w:jc w:val="left"/>
      </w:pPr>
      <w:r>
        <w:rPr>
          <w:rFonts w:ascii="Times New Roman" w:hAnsi="Times New Roman"/>
          <w:i/>
          <w:sz w:val="20"/>
        </w:rPr>
        <w:t>Figure S8.  Reliability curve of the candidate postoperative-B model after Platt scaling.</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Value-of-information under the deployable postoperative-B candidate model and cSDH-grounded AED priors: expected value of perfect information (EVPI) and per-parameter expected value of partial perfect information (EVPPI) at WTP $100,000/QALY (per-patient and 10-year population, $M).</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metric</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EVPPI_population_M</w:t>
            </w:r>
          </w:p>
        </w:tc>
        <w:tc>
          <w:tcPr>
            <w:tcW w:type="dxa" w:w="2340"/>
          </w:tcPr>
          <w:p>
            <w:r>
              <w:rPr>
                <w:rFonts w:ascii="Times New Roman" w:hAnsi="Times New Roman"/>
                <w:b/>
                <w:sz w:val="20"/>
              </w:rPr>
              <w:t>parameter</w:t>
            </w:r>
          </w:p>
        </w:tc>
      </w:tr>
      <w:tr>
        <w:tc>
          <w:tcPr>
            <w:tcW w:type="dxa" w:w="2340"/>
          </w:tcPr>
          <w:p>
            <w:r>
              <w:rPr>
                <w:rFonts w:ascii="Times New Roman" w:hAnsi="Times New Roman"/>
                <w:sz w:val="20"/>
              </w:rPr>
              <w:t>EVPI</w:t>
            </w:r>
          </w:p>
        </w:tc>
        <w:tc>
          <w:tcPr>
            <w:tcW w:type="dxa" w:w="2340"/>
          </w:tcPr>
          <w:p>
            <w:r>
              <w:rPr>
                <w:rFonts w:ascii="Times New Roman" w:hAnsi="Times New Roman"/>
                <w:sz w:val="20"/>
              </w:rPr>
              <w:t>64.800</w:t>
            </w:r>
          </w:p>
        </w:tc>
        <w:tc>
          <w:tcPr>
            <w:tcW w:type="dxa" w:w="2340"/>
          </w:tcPr>
          <w:p>
            <w:r>
              <w:rPr>
                <w:rFonts w:ascii="Times New Roman" w:hAnsi="Times New Roman"/>
                <w:sz w:val="20"/>
              </w:rPr>
              <w:t>22.800</w:t>
            </w:r>
          </w:p>
        </w:tc>
        <w:tc>
          <w:tcPr>
            <w:tcW w:type="dxa" w:w="2340"/>
          </w:tcPr>
          <w:p>
            <w:r>
              <w:rPr>
                <w:rFonts w:ascii="Times New Roman" w:hAnsi="Times New Roman"/>
                <w:sz w:val="20"/>
              </w:rPr>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prev</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rrr</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sens</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spec</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p_se</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ceeg_cost</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aed_dis</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2" name="Picture 2"/>
            <wp:cNvGraphicFramePr>
              <a:graphicFrameLocks noChangeAspect="1"/>
            </wp:cNvGraphicFramePr>
            <a:graphic>
              <a:graphicData uri="http://schemas.openxmlformats.org/drawingml/2006/picture">
                <pic:pic>
                  <pic:nvPicPr>
                    <pic:cNvPr id="0" name="04_loho_forest_full_Set_C.png"/>
                    <pic:cNvPicPr/>
                  </pic:nvPicPr>
                  <pic:blipFill>
                    <a:blip r:embed="rId10"/>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3" name="Picture 3"/>
            <wp:cNvGraphicFramePr>
              <a:graphicFrameLocks noChangeAspect="1"/>
            </wp:cNvGraphicFramePr>
            <a:graphic>
              <a:graphicData uri="http://schemas.openxmlformats.org/drawingml/2006/picture">
                <pic:pic>
                  <pic:nvPicPr>
                    <pic:cNvPr id="0" name="04_loho_forest_full_Set_A.png"/>
                    <pic:cNvPicPr/>
                  </pic:nvPicPr>
                  <pic:blipFill>
                    <a:blip r:embed="rId11"/>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05899"/>
            <wp:docPr id="4" name="Picture 4"/>
            <wp:cNvGraphicFramePr>
              <a:graphicFrameLocks noChangeAspect="1"/>
            </wp:cNvGraphicFramePr>
            <a:graphic>
              <a:graphicData uri="http://schemas.openxmlformats.org/drawingml/2006/picture">
                <pic:pic>
                  <pic:nvPicPr>
                    <pic:cNvPr id="0" name="05_auc_comparison.png"/>
                    <pic:cNvPicPr/>
                  </pic:nvPicPr>
                  <pic:blipFill>
                    <a:blip r:embed="rId12"/>
                    <a:stretch>
                      <a:fillRect/>
                    </a:stretch>
                  </pic:blipFill>
                  <pic:spPr>
                    <a:xfrm>
                      <a:off x="0" y="0"/>
                      <a:ext cx="5943600" cy="3105899"/>
                    </a:xfrm>
                    <a:prstGeom prst="rect"/>
                  </pic:spPr>
                </pic:pic>
              </a:graphicData>
            </a:graphic>
          </wp:inline>
        </w:drawing>
      </w:r>
    </w:p>
    <w:p>
      <w:pPr>
        <w:jc w:val="left"/>
      </w:pPr>
      <w:r>
        <w:rPr>
          <w:rFonts w:ascii="Times New Roman" w:hAnsi="Times New Roman"/>
          <w:i/>
          <w:sz w:val="20"/>
        </w:rPr>
        <w:t>Figure S3.  Temporal-leakage audit,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5" name="Picture 5"/>
            <wp:cNvGraphicFramePr>
              <a:graphicFrameLocks noChangeAspect="1"/>
            </wp:cNvGraphicFramePr>
            <a:graphic>
              <a:graphicData uri="http://schemas.openxmlformats.org/drawingml/2006/picture">
                <pic:pic>
                  <pic:nvPicPr>
                    <pic:cNvPr id="0" name="07_missingness.png"/>
                    <pic:cNvPicPr/>
                  </pic:nvPicPr>
                  <pic:blipFill>
                    <a:blip r:embed="rId13"/>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6" name="Picture 6"/>
            <wp:cNvGraphicFramePr>
              <a:graphicFrameLocks noChangeAspect="1"/>
            </wp:cNvGraphicFramePr>
            <a:graphic>
              <a:graphicData uri="http://schemas.openxmlformats.org/drawingml/2006/picture">
                <pic:pic>
                  <pic:nvPicPr>
                    <pic:cNvPr id="0" name="12_nis_outcome_auc.png"/>
                    <pic:cNvPicPr/>
                  </pic:nvPicPr>
                  <pic:blipFill>
                    <a:blip r:embed="rId14"/>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7" name="Picture 7"/>
            <wp:cNvGraphicFramePr>
              <a:graphicFrameLocks noChangeAspect="1"/>
            </wp:cNvGraphicFramePr>
            <a:graphic>
              <a:graphicData uri="http://schemas.openxmlformats.org/drawingml/2006/picture">
                <pic:pic>
                  <pic:nvPicPr>
                    <pic:cNvPr id="0" name="09_cumulative_incidence.png"/>
                    <pic:cNvPicPr/>
                  </pic:nvPicPr>
                  <pic:blipFill>
                    <a:blip r:embed="rId15"/>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8" name="Picture 8"/>
            <wp:cNvGraphicFramePr>
              <a:graphicFrameLocks noChangeAspect="1"/>
            </wp:cNvGraphicFramePr>
            <a:graphic>
              <a:graphicData uri="http://schemas.openxmlformats.org/drawingml/2006/picture">
                <pic:pic>
                  <pic:nvPicPr>
                    <pic:cNvPr id="0" name="13_nis_grouped_lasso.png"/>
                    <pic:cNvPicPr/>
                  </pic:nvPicPr>
                  <pic:blipFill>
                    <a:blip r:embed="rId16"/>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