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MD¹  ·  [Co-author 2]²  ·  [Co-author 3]³  ·  [Senior author]¹</w:t>
      </w:r>
    </w:p>
    <w:p>
      <w:pPr>
        <w:spacing w:line="360" w:lineRule="auto" w:after="120"/>
        <w:jc w:val="center"/>
      </w:pPr>
      <w:r>
        <w:rPr>
          <w:rFonts w:ascii="Times New Roman" w:hAnsi="Times New Roman"/>
          <w:b w:val="0"/>
          <w:i/>
          <w:sz w:val="20"/>
        </w:rPr>
        <w:t>¹ Department of Neurosurgery, Beth Israel Deaconess Medical Center, Harvard Medical School, Boston, MA, USA</w:t>
        <w:br/>
        <w:t>² [Affiliation 2]   ·   ³ [Affiliation 3]</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TRIPOD-AI reporting checklist and reproducibility appendix are released at github.com/nielspac177/csdh-postop-seizure-risk (tagged release v1.0-JNNP-submission, DOI to be assigned by Zenodo on acceptance). An interactive companion site at nielspac177.github.io/csdh-jnnp provides a calibrated risk calculator, a population cost-savings tool, and an interactive code callgraph. Raw patient-level data are restricted by the BIDMC IRB, the eICU Collaborative Research Database data-use agreement and the HCUP Nationwide Inpatient Sample data-use agreement; filtered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published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published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published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published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5040130"/>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5040130"/>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