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Supplementary Material</w:t>
      </w:r>
    </w:p>
    <w:p>
      <w:pPr>
        <w:spacing w:line="360" w:lineRule="auto" w:after="120"/>
        <w:jc w:val="center"/>
      </w:pPr>
      <w:r>
        <w:rPr>
          <w:rFonts w:ascii="Times New Roman" w:hAnsi="Times New Roman"/>
          <w:b w:val="0"/>
          <w:i/>
          <w:sz w:val="22"/>
        </w:rPr>
        <w:t>JNNP submission · supplementary appendix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41F3A"/>
        </w:rPr>
        <w:t>Appendix S1.  TRIPOD-AI reporting checklist</w:t>
      </w:r>
    </w:p>
    <w:p>
      <w:r>
        <w:rPr>
          <w:rFonts w:ascii="Times New Roman" w:hAnsi="Times New Roman"/>
          <w:b/>
          <w:sz w:val="22"/>
        </w:rPr>
        <w:t>TRIPOD-AI checklist (Collins et al. BMJ 2024).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Topic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Reported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Title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Identifies study as developing or evaluating an ML prediction model.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Abstract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Structured summary with sample size, outcome, performance metric.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3a–b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Background and objectives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Rationale, intended use, target population.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Introduction §1.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4–6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Source of data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Multi-database; BIDMC/eICU/NIS; eligibility criteria.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Methods §2.2.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Outcome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Defined a priori; ICD-10 codes; NIS reclassification documented.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Methods §2.3.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Predictors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21 features (postop_A); 18 (postop_B); standardisation.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Methods §2.3.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Sample size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655 (BIDMC), 3,297 (eICU primary), 2,518 (NIS chronic+surgical).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Methods §2.2.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Missing data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Median imputation + missing indicator (sensitivity)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Supplement S4.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Statistical methods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11-method battery; repeated stratified CV; bootstrap.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Methods §2.5.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Risk groups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Class-conditional conformal sets (rule-out, rule-in).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Results §3.4.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Development vs validation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BIDMC development; eICU external; LOHO meta-analytic pooling.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Results §3.1.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Model performance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AUC, Brier, calibration slope/intercept, net benefit.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Results §3.1–3.3.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Model presentation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Firth coefficient table released on GitHub.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see code repo.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Limitations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Single-institution dev; admin outcomes; ceiling at 48 events.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Discussion §4.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Interpretation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Proof-of-concept; calibration &amp; conformal deployment; CEA + VOI.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Discussion §4.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18–22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Reproducibility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Code, seed, package versions on GitHub.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Yes — Appendix S2.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41F3A"/>
        </w:rPr>
        <w:t>Appendix S2.  Reproducibility statement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  <w:t>All scripts are released at github.com/nielspac177/csdh-postop-seizure-risk under a permissive license. Computational environment: Python 3.9.6, scikit-learn 1.5.2, pandas 2.3.3, lifelines 0.30.0, XGBoost 2.1.4, LightGBM 4.6.0, firthlogist 0.5.0, mapie 1.4.0, imbalanced-learn 0.12.4, python-docx 1.2.0. All analyses used n_jobs = 1 for Apple-Silicon stability and SEED = 42 for reproducibility. The commit hash of the analyses corresponding to this manuscript is tagged v1.0-submission.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  <w:t>Raw patient data are restricted by IRB / data-use agreements. The following derived assets are released: (a) the 21-variable BIDMC feature schema with categorical encoders; (b) the corrected NIS ICD-10 outcome codeset; (c) the CEA decision-tree Python implementation and parameter file; and (d) Firth coefficient estimates with confidence intervals.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41F3A"/>
        </w:rPr>
        <w:t>Supplementary Tables</w:t>
      </w:r>
    </w:p>
    <w:p>
      <w:r>
        <w:rPr>
          <w:rFonts w:ascii="Times New Roman" w:hAnsi="Times New Roman"/>
          <w:b/>
          <w:sz w:val="22"/>
        </w:rPr>
        <w:t>Table S1.  Eleven-method modelling battery — full numeric results.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feature_set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method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auc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ci_lo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ci_hi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prauc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brier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nb_5pct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nb_10pct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BalancedRF (baseline)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0.676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0.595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0.760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0.137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0.228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-0.030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RF + class_weight='balanced'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0.690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0.607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0.774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0.159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0.003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SMOTE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0.684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0.609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0.760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0.134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0.030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0.005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Borderline-SMOTE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0.682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0.597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0.761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0.148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0.030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0.008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SVM-SMOTE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0.678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0.593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0.758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0.150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0.007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ADASYN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0.686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0.610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0.762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0.134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0.030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0.006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SMOTEENN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0.687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0.613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0.761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0.134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0.106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-0.003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SMOTETomek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0.684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0.609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0.760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0.134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0.030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0.005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XGBoost scale_pos_weight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0.630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0.542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0.725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0.131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0.084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0.013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XGBoost focal loss (γ=2)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0.533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0.428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0.641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0.113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postop_B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BalancedRF (baseline)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0.658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0.568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0.751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0.142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0.228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-0.030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postop_B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RF + class_weight='balanced'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0.677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0.592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0.764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0.154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0.004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postop_B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SMOTE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0.675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0.594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0.755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0.135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0.008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postop_B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Borderline-SMOTE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0.670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0.592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0.749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0.143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0.004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postop_B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SVM-SMOTE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0.675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0.597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0.753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0.151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0.031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0.004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postop_B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ADASYN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0.674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0.596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0.753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0.132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0.003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postop_B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SMOTEENN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0.675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0.596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0.755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0.135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0.107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0.002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postop_B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SMOTETomek + RF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0.675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0.594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0.755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0.135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0.008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postop_B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XGBoost scale_pos_weight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0.624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0.536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0.721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0.126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0.084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0.012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postop_B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XGBoost focal loss (γ=2)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0.534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0.431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0.640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0.112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</w:tr>
    </w:tbl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/>
          <w:sz w:val="22"/>
        </w:rPr>
        <w:t>Table S2.  eICU cohort definition sensitivity with bootstrap 95% CIs.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rFonts w:ascii="Times New Roman" w:hAnsi="Times New Roman"/>
                <w:b/>
                <w:sz w:val="20"/>
              </w:rPr>
              <w:t>cohort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b/>
                <w:sz w:val="20"/>
              </w:rPr>
              <w:t>set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b/>
                <w:sz w:val="20"/>
              </w:rPr>
              <w:t>events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b/>
                <w:sz w:val="20"/>
              </w:rPr>
              <w:t>auc_mean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b/>
                <w:sz w:val="20"/>
              </w:rPr>
              <w:t>auc_sd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b/>
                <w:sz w:val="20"/>
              </w:rPr>
              <w:t>ci_lo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b/>
                <w:sz w:val="20"/>
              </w:rPr>
              <w:t>ci_hi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1: paper (non_traumatic)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Set_A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3297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300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0.708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0.036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0.690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0.754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1: paper (non_traumatic)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Set_C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3297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300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0.750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0.036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0.711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0.774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2: non_traumatic + op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Set_A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317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0.670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0.100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0.571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0.785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2: non_traumatic + op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Set_C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317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0.575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0.101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0.409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0.656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3: apache dx surgery/burr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Set_A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527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41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0.609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0.131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0.516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0.710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3: apache dx surgery/burr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Set_C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527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41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0.613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0.092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0.510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0.711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4: traumatic SDH (control)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Set_A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1853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149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0.671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0.044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0.640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0.728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4: traumatic SDH (control)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Set_C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1853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149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0.725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0.036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0.681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20"/>
              </w:rPr>
              <w:t>0.765</w:t>
            </w:r>
          </w:p>
        </w:tc>
      </w:tr>
    </w:tbl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/>
          <w:sz w:val="22"/>
        </w:rPr>
        <w:t>Table S3.  Calibration metrics with bootstrap 95% CIs across all six cohort-model combinations.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model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events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brier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brier_lo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brier_hi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citl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citl_lo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citl_hi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bidmc_postopA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655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0.228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0.219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0.237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0.394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-0.415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-0.374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bidmc_postopB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655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0.199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0.182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0.217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0.298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-0.322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-0.273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bidmc_preop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655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0.065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0.095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-0.092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-0.051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eicu_setA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5369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461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0.103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0.098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0.108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0.104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-0.112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-0.096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eicu_setC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5369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461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0.066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0.076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-0.029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-0.014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eicu_pure_setC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3255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145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0.042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0.037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0.049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-0.022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-0.008</w:t>
            </w:r>
          </w:p>
        </w:tc>
      </w:tr>
    </w:tbl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/>
          <w:sz w:val="22"/>
        </w:rPr>
        <w:t>Table S4.  Cost-effectiveness analysis — PSA summary at WTP $50k, $100k, $150k.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scenario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comparison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wtp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dc_mean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dc_lo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dc_hi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dq_mean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dq_lo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dq_hi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mla_obs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-1,892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-4,740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146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0.043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mla_obs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100000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-1,892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-4,740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146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0.043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mla_obs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-1,892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-4,740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146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0.043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mla_aed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-370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-1,425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977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-0.002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-0.012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0.002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mla_aed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100000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-370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-1,425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977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-0.002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-0.012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0.002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mla_aed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-370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-1,425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977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-0.002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-0.012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0.002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mlg_obs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-1,378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-5,352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2,155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0.058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mlg_obs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100000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-1,378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-5,352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2,155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0.058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mlg_obs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-1,378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-5,352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2,155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0.058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mlg_aed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143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-2,805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3,391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-0.004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0.018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mlg_aed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100000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143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-2,805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3,391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-0.004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0.018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mlg_aed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143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-2,805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3,391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-0.004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0.018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mlg_mla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514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-1,880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3,227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0.019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mlg_mla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100000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514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-1,880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3,227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0.019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mlg_mla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514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-1,880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3,227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0.019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aed_obs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-1,522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-4,712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1,004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0.048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aed_obs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100000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-1,522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-4,712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1,004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0.048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baseline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aed_obs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150000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-1,522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-4,712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1,004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0.021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0.005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0.048</w:t>
            </w:r>
          </w:p>
        </w:tc>
      </w:tr>
    </w:tbl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/>
          <w:sz w:val="22"/>
        </w:rPr>
        <w:t>Table S5.  Per-parameter EVPPI ranking at WTP $100,000/QALY.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column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evppi_per_patient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/>
                <w:sz w:val="20"/>
              </w:rPr>
              <w:t>evppi_population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Cost: cEEG monitoring/day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c_ceeg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195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68,687,999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Seizure prevalence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p_sz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127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44,804,411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AED relative risk reduction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rrr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95.550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33,580,438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ML model sensitivity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sens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30.536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10,731,775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Cost: AED adverse events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c_aed_a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16.591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5,830,973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ML model specificity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spec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1.437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505,151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P(clinical detection)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pd_clin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1.038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364,964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Cost: late status epilepticus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c_se_l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0.661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232,364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QALY decrement per seizure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u_dec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0.006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P(cEEG detection)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pd_ceeg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Cost: early status epilepticus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c_se_e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P(status epilepticus | seizure)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p_se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Cost: annual epilepsy care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c_epi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sz w:val="20"/>
              </w:rPr>
              <w:t>0.000</w:t>
            </w:r>
          </w:p>
        </w:tc>
      </w:tr>
    </w:tbl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41F3A"/>
        </w:rPr>
        <w:t>Supplementary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7385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ho_forest_full_Set_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8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i/>
          <w:sz w:val="20"/>
        </w:rPr>
        <w:t>Figure S1.  Per-hospital leave-one-hospital-out forest plot (eICU Set C, full cohort, 42 hospitals).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7441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ho_forest_full_Set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44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i/>
          <w:sz w:val="20"/>
        </w:rPr>
        <w:t>Figure S2.  Per-hospital leave-one-hospital-out forest plot (eICU Set A, full cohort).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038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uc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i/>
          <w:sz w:val="20"/>
        </w:rPr>
        <w:t>Figure S3.  Temporal-leakage audit — AUC across feature specifications and time-window cuts.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475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issingn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i/>
          <w:sz w:val="20"/>
        </w:rPr>
        <w:t>Figure S4.  Missingness pattern and Rubin's-rules multiple-imputation pooling.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659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nis_outcome_au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i/>
          <w:sz w:val="20"/>
        </w:rPr>
        <w:t>Figure S5.  Nationwide Inpatient Sample outcome reclassification — AUC under original combined outcome (0.617) vs corrected acute symptomatic outcome (0.498).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516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umulative_incid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i/>
          <w:sz w:val="20"/>
        </w:rPr>
        <w:t>Figure S6.  Competing-risks cumulative-incidence functions and cause-specific Cox / IPCW Fine–Gray comparison.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530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nis_grouped_lass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i/>
          <w:sz w:val="20"/>
        </w:rPr>
        <w:t>Figure S7.  λ-path-tuned group-LASSO and sparse-group-LASSO on the NIS chronic+surgical cohort with the corrected outcome.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