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calibrated, conformal-prediction proof-of-concept with multi-database validation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validation;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deployment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0.069 vs 0.228) and calibration-in-the-large near zero. Eleven model classes converged on an AUC ceiling near 0.68 consistent with 2022–2025 meta-evidence. eICU external AUC was 0.750 (0.711–0.774); random-effects pooled AUC across 42 hospitals was 0.684 (0.651–0.714). Class-conditional conformal prediction at α=0.10 gave confident singleton predictions in 37% of patients (rule-out 27%; rule-in 11%). All active prophylaxis strategies dominated observation; the choice between universal AED and ML-guided allocation depended on AED efficacy and harm — both uncertain in cSDH — with ML-guided allocation cost-effective under cSDH-plausible values. Value-of-information identified AED efficacy and AED harm as the dominant research priorities.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validation, the eICU Collaborative Research Database was screened in stages: 5,376 ICU stays with any subdural haematoma diagnosis across 139 hospitals were identified, from which the pre-specified primary stratum — non-traumatic SDH stays at hospitals contributing ≥10 such stays —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 the end of haematoma evacuation, before the antiepileptic-drug/EEG decision. The deployable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deployable postoperative-B set was the pre-specified deployment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 no randomised trial exists and pooled observational estimates show no significant seizure reduction — the AED relative-risk reduction was modelled with a base case of no effect and an optimistic bound of 0.30, and the AED disutility across a 0.02–0.15 range; one-way and two-way sensitivity analyses on these two parameters are reported, together with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deployable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validation in the eICU non-traumatic cohort gave AUC 0.750 (0.711–0.774);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 compressed toward the base rate —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0.3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deployable operating point — the calibrated base-rate threshold of 7.3% — the postoperative-B model had sensitivity 0.50 (95% CI 0.36–0.64), specificity 0.70 (0.66–0.74), positive predictive value 0.12 (0.07–0.16) and negative predictive value 0.95 (0.93–0.97). In the probabilistic cost-effectiveness analysis all three active strategies — universal AED, ML-guided AED and ML-guided cEEG — dominated watchful observation on expected net monetary benefit. The choice among the active strategies, however, was not resolved by the model alone: it turned on AED efficacy and AED harm in cSDH, both of which the evidence leaves uncertain. Under the optimistic, externally-imported base case (AED relative-risk reduction 0.45, negligible disutility) universal AED had the highest expected net benefit by a small margin (≈$1k on a ≈$641k base; ML-guided cEEG retained ~20% probability of being optimal). One-way sensitivity analysis showed AED efficacy (net-benefit swing ≈$4,300) and AED disutility (≈$2,100) dominated the decision: ML-guided allocation became the highest-net-benefit strategy once AED relative-risk reduction fell to ≤0.30 or AED disutility reached ≥0.10 — i.e. across the entire cSDH-plausible range, given that no cSDH study demonstrates a significant protective AED effect (Figure 5; Supplementary Appendix S6). The result was stable across the three conformal-to-action mappings and across US, UK (NICE) and Eurozone cost perspectives. This is, to our knowledge, the first value-of-information analysis applied to postoperative-seizure prophylaxis after cSDH; consistent with the sensitivity analysis, it ranked AED efficacy and AED harm as the parameters with the greatest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All active prophylaxis strategies (universal AED, ML-guided AED, ML-guided cEEG) dominated watchful observation. The choice among the active strategies, however, is not settled by the model alone: it depends on two cSDH-specific parameters that the evidence leaves genuinely uncertain — the efficacy of AED prophylaxis (no randomised trial exists, and pooled observational estimates show no significant seizure reduction) and its disutility in elderly patients (falls, sedation, cognition). One-way sensitivity analysis at $100k/QALY shows AED efficacy and AED harm dominate the decision: under cSDH-plausible values (AED relative-risk reduction at or below 0.30, or a non-trivial AED disutility) ML-guided allocation has the highest expected net benefit, whereas universal AED is preferable only under the optimistic, externally-imported assumptions of strong efficacy and negligible harm. The accompanying value-of-information analysis — to our knowledge the first applied to this question — accordingly ranks AED efficacy and AED harm as the priority targets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 radiomic seizure models with reported discrimination (e.g. AUC 0.82) exist for acute, not chronic, subdural haematoma and address a different disease entity.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with formal coverage guarantees. Active prophylaxis dominates watchful observation; whether to allocate it selectively with the model rather than treat all patients depends on AED efficacy and harm in cSDH, which current evidence leaves uncertain, and which value-of-information identifies as the priority targets for future research.</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external-validation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 Brier score across the same models. The Firth penalized logistic regression deployment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