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Postoperative seizure after chronic subdural haematoma evacuation: a calibrated, conformal-prediction proof-of-concept with multi-database validation and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~4,050 · Figures: 6 · Tables: 1 · Supplementary: yes · References: 42</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seven supplementary figures, the TRIPOD-AI reporting checklist (Supplementary Appendix S1), the reproducibility appendix (Supplementary Appendix S2) and the BIDMC feature dictionary (Supplementary Appendix S3) are openly available at github.com/nielspac177/csdh-postop-seizure-risk and permanently archived on Zenodo (DOI: [pending —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and the eICU Collaborative Research Database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Conflicts: None.</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and its efficacy after cSDH is unproven. Calibrated risk stratification that can support individual treatment decisions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and 5,376 SDH ICU stays across 139 hospitals in the eICU Collaborative Research Database (external validation).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was the deployment model, fit on a leakage-safe postoperative-B feature set (18 variables available at the end of evacuation, before the AED/EEG decision); it discriminated at AUC 0.645. A postoperative-A set that additionally included three peri-decision variables reached AUC 0.681 (95% CI 0.609–0.753) but is not deployable, the difference lying within the Bernoulli noise floor at 48 events. Firth matched BalancedRandomForest discrimination (DeLong p = 0.81) with markedly better calibration (Brier 0.069 vs 0.228) and calibration-in-the-large near zero. Eleven model classes converged on an AUC ceiling near 0.68 consistent with 2022–2025 meta-evidence. eICU external AUC was 0.750 (0.711–0.774); random-effects pooled AUC across 42 hospitals was 0.684 (0.651–0.714). Class-conditional conformal prediction at α=0.10 gave confident singleton predictions in 37% of patients (rule-out 27%; rule-in 11%). All active prophylaxis strategies dominated observation; the choice between universal AED and ML-guided allocation depended on AED efficacy and harm — both uncertain in cSDH — with ML-guided allocation cost-effective under cSDH-plausible values. Value-of-information identified AED efficacy and AED harm as the dominant research priorities.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For postoperative seizure after cSDH evacuation, optimising small-cohort clinical machine learning for calibration and individual-patient decision support — rather than discrimination — yields a candidate model that meets methodological preconditions for prospective clinical evaluation. Whether selective ML-guided prophylaxis is preferable to treating all or none hinges on AED efficacy and harm in cSDH, which current evidence leaves uncertain; value-of-information prioritises resolving these.</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 the most commonly used agent —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deployable risk score for postoperative seizure after cSDH evacuation. The work integrates (i) an eleven-method modelling battery to characterise the discrimination ceiling, (ii) Firth penalized logistic regression as the deployment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a documented transfer-learning failure between mixed-acuity intensive-care and pure operative cSDH cohorts.</w:t>
      </w:r>
    </w:p>
    <w:p>
      <w:pPr>
        <w:spacing w:line="360" w:lineRule="auto" w:after="120"/>
        <w:ind w:firstLine="432"/>
        <w:jc w:val="both"/>
      </w:pPr>
      <w:r>
        <w:rPr>
          <w:rFonts w:ascii="Times New Roman" w:hAnsi="Times New Roman"/>
          <w:b w:val="0"/>
          <w:i w:val="0"/>
          <w:sz w:val="22"/>
        </w:rPr>
        <w:t>Conformal prediction adds distribution-free, finite-sample coverage guarantees that probability calibration alone does not provide and that Bayesian credible intervals require correct priors and Markov-chain Monte Carlo to deliver</w:t>
      </w:r>
      <w:r>
        <w:rPr>
          <w:rFonts w:ascii="Times New Roman" w:hAnsi="Times New Roman"/>
          <w:b w:val="0"/>
          <w:i w:val="0"/>
          <w:sz w:val="22"/>
          <w:vertAlign w:val="superscript"/>
        </w:rPr>
        <w:t>²³,²⁴</w:t>
      </w:r>
      <w:r>
        <w:rPr>
          <w:rFonts w:ascii="Times New Roman" w:hAnsi="Times New Roman"/>
          <w:b w:val="0"/>
          <w:i w:val="0"/>
          <w:sz w:val="22"/>
        </w:rPr>
        <w:t xml:space="preserve"> — supplying a principled "I do not know" signal at the bedside, applied as a post-hoc wrapper that leaves the underlying Firth model untouched. This combination of calibration, conformal decision support and value-of-information has not, to our knowledge, been applied to postoperative seizure prediction.</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2024P000XXX); the eICU Collaborative Research Database v2.0 was accessed under its data-use agreement.</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The eICU non-traumatic SDH stratum served as the primary external-validation cohort (n = 3,297; 300 seizures), with sensitivity to four cohort definitions reported in the Supplement.</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ascertained from chart documentation at BIDMC and from the structured seizure flag in eICU. The BIDMC postoperative-A feature set comprised 21 demographic, operative and imaging-derived variables; postoperative-B excluded three variables potentially recorded after seizure onset. The full feature dictionary is in Supplementary Appendix S3.</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BRF used the DeLong test.</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The procedure rests on an exchangeability assumption and guarantees marginal coverage at the user-chosen level on a finite sample, without asymptotic, distributional or model-correctness assumptions.</w:t>
      </w:r>
      <w:r>
        <w:rPr>
          <w:rFonts w:ascii="Times New Roman" w:hAnsi="Times New Roman"/>
          <w:b w:val="0"/>
          <w:i w:val="0"/>
          <w:sz w:val="22"/>
          <w:vertAlign w:val="superscript"/>
        </w:rPr>
        <w:t>²³</w:t>
      </w:r>
      <w:r>
        <w:rPr>
          <w:rFonts w:ascii="Times New Roman" w:hAnsi="Times New Roman"/>
          <w:b w:val="0"/>
          <w:i w:val="0"/>
          <w:sz w:val="22"/>
        </w:rPr>
        <w:t xml:space="preserve"> The Mondrian variant calibrates the nonconformity quantile separately for each true class, so that coverage on the rare positive class is guaranteed and cannot be satisfied by always covering the majority class — a property neither probability calibration nor naive bootstrap CIs offer on imbalanced data.</w:t>
      </w:r>
      <w:r>
        <w:rPr>
          <w:rFonts w:ascii="Times New Roman" w:hAnsi="Times New Roman"/>
          <w:b w:val="0"/>
          <w:i w:val="0"/>
          <w:sz w:val="22"/>
          <w:vertAlign w:val="superscript"/>
        </w:rPr>
        <w:t>³⁹,⁴⁰</w:t>
      </w:r>
      <w:r>
        <w:rPr>
          <w:rFonts w:ascii="Times New Roman" w:hAnsi="Times New Roman"/>
          <w:b w:val="0"/>
          <w:i w:val="0"/>
          <w:sz w:val="22"/>
        </w:rPr>
        <w:t xml:space="preserve"> The resulting prediction set is adaptive: it shrinks to a singleton {'no seizure'} or {'seizure'} for patients the model can confidently classify (rule-out or rule-in) and expands to a doubleton {seizure, no seizure} for ambiguous patients — supplying the deployment with a principled abstention signal.</w:t>
      </w:r>
      <w:r>
        <w:rPr>
          <w:rFonts w:ascii="Times New Roman" w:hAnsi="Times New Roman"/>
          <w:b w:val="0"/>
          <w:i w:val="0"/>
          <w:sz w:val="22"/>
          <w:vertAlign w:val="superscript"/>
        </w:rPr>
        <w:t>⁴¹,⁴²</w:t>
      </w:r>
      <w:r>
        <w:rPr>
          <w:rFonts w:ascii="Times New Roman" w:hAnsi="Times New Roman"/>
          <w:b w:val="0"/>
          <w:i w:val="0"/>
          <w:sz w:val="22"/>
        </w:rPr>
        <w:t xml:space="preserve"> We report empirical coverage, average prediction-set size, and the fractions of patients receiving confident singleton predictions.</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Firth penalized logistic regression produced a 5 × 5 repeated cross-validated AUC of 0.681 (95% CI 0.609–0.753), within noise of the BalancedRandomForest reference (0.676; 0.595–0.760; DeLong p = 0.81). Removing three variables that could in principle be charted after seizure onset (postoperative-B) yielded AUC 0.645; the primary signal does not require post-event information. External validation in the eICU non-traumatic cohort gave AUC 0.750 (0.711–0.774); leave-one-hospital-out random-effects pooling across 42 hospitals yielded AUC 0.684 (0.651–0.714), with τ² ≈ 0 and I² = 0%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Pre-recalibration, class-rebalanced classifiers assigned probabilities that were too extreme (eICU Set C: Brier 0.071, calibration slope 1.51). Cross-validated Platt scaling brought slope to within 0.99–1.04 in every model and calibration-in-the-large to |CITL| ≤ 0.03 (Figure 2A). On decision-curve analysis (Figure 2B) the eICU Set C model showed positive net benefit across the 5–15% probability-threshold band — the range that brackets clinically reasonable thresholds for AED prophylaxis or selective monitoring. The BIDMC postoperative-A model achieved positive net benefit only at the lowest thresholds (below approximately 5%) and crossed below zero through the clinical threshold band, consistent with its more modest discrimination ceiling at n=48 events; the manuscript's clinical-deployment case for BIDMC therefore rests on the calibrated conformal layer (§3.4) rather than on raw decision-curve performance.</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BRF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0.067 (Firth and stacking) to 0.228 (BalancedRandomForest) — a more-than-threefold difference (Figure 3). Bayesian regression with eICU-informed priors significantly degraded discrimination (AUC 0.515, DeLong p = 0.001) because the eICU age coefficient is negative in mixed-acuity ICU SDH while pure post-craniotomy cSDH shows a positive age effect —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Class-conditional (Mondrian) conformal prediction sets tracked the target coverage within 0.3 percentage points across α ∈ {0.05, 0.10, 0.20} (empirical coverage 94.9%, 90.2% and 80.3% respectively). At α = 0.10 — corresponding to a 90% individual-patient coverage guarantee — the procedure produced a confident singleton prediction in 37% of patients: rule-out of seizure in 27% (AED-avoidance candidates) and rule-in in 11% (intensive-monitoring candidates). The remaining 63% of patients were explicitly deferred to clinical judgment with a two-class prediction set (Figure 4).</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Under base-case parameters refreshed from the 2021–2025 literature, ML-guided AED prophylaxis was the dominant strategy: lower expected cost ($4,365 vs $5,844 for observation, $5,362 for universal AED) and higher expected health (7.43 QALYs vs 7.36 and 7.42; Figure 5). ML-guided cEEG had higher expected cost ($7,685) and lower QALYs than ML-AED but remained cost-effective relative to observation in 62% of probabilistic samples at $100,000/QALY. This is, to our knowledge, the first value-of-information analysis applied to postoperative-seizure prophylaxis after cSDH evacuation. The per-patient expected value of perfect information at $100k/QALY was $541; the population-discounted value over 10 years and 40,000 operations per year was approximately $190 million. Strong–Oakley non-parametric regression identified per-day cEEG cost ($195 per patient EVPPI), baseline seizure prevalence ($127), AED relative-risk reduction ($96) and model sensitivity ($31) as the parameters with the largest decision-relevant information value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shows that, for postoperative seizure after cSDH evacuation, optimising small-cohort clinical machine learning for calibration and individual-patient decision support — rather than discrimination — yields a candidate model that meets methodological preconditions for prospective clinical evaluation. Firth penalized logistic regression matches BalancedRandomForest on AUC, delivers three-fold better calibration, and supports class-conditional conformal prediction sets that confidently rule out seizure in approximately one quarter of patients at a 90% coverage guarantee. External evaluation across BIDMC and the eICU Collaborative Research Database showed low between-hospital heterogeneity on the variance-stabilising logit scale (I² = 0%); a raw-AUC sensitivity analysis gave higher estimates (I² up to ~56%), so we report the random-effects prediction interval (Appendix S7) as the more honest summary of cross-site transportability.</w:t>
      </w:r>
    </w:p>
    <w:p>
      <w:pPr>
        <w:spacing w:line="360" w:lineRule="auto" w:after="120"/>
        <w:ind w:firstLine="432"/>
        <w:jc w:val="both"/>
      </w:pPr>
      <w:r>
        <w:rPr>
          <w:rFonts w:ascii="Times New Roman" w:hAnsi="Times New Roman"/>
          <w:b w:val="0"/>
          <w:i w:val="0"/>
          <w:sz w:val="22"/>
        </w:rPr>
        <w:t>The eleven-method modelling battery — spanning six SMOTE-family oversamplers, Optuna-tuned gradient boosting, diverse-base stacking, and Bayesian regression with multiple prior specifications — produced no statistically significant discrimination improvement over BalancedRandomForest.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biological, not algorithmic.</w:t>
      </w:r>
    </w:p>
    <w:p>
      <w:pPr>
        <w:spacing w:line="360" w:lineRule="auto" w:after="120"/>
        <w:ind w:firstLine="432"/>
        <w:jc w:val="both"/>
      </w:pPr>
      <w:r>
        <w:rPr>
          <w:rFonts w:ascii="Times New Roman" w:hAnsi="Times New Roman"/>
          <w:b w:val="0"/>
          <w:i w:val="0"/>
          <w:sz w:val="22"/>
        </w:rPr>
        <w:t>The decision-analytic integration clarifies where the calibrated model could change practice. All active prophylaxis strategies (universal AED, ML-guided AED, ML-guided cEEG) dominated watchful observation. The choice among the active strategies, however, is not settled by the model alone: it depends on two cSDH-specific parameters that the evidence leaves genuinely uncertain — the efficacy of AED prophylaxis (no randomised trial exists, and pooled observational estimates show no significant seizure reduction) and its disutility in elderly patients (falls, sedation, cognition). One-way sensitivity analysis at $100k/QALY shows AED efficacy and AED harm dominate the decision: under cSDH-plausible values (AED relative-risk reduction at or below 0.30, or a non-trivial AED disutility) ML-guided allocation has the highest expected net benefit, whereas universal AED is preferable only under the optimistic, externally-imported assumptions of strong efficacy and negligible harm. The accompanying value-of-information analysis — to our knowledge the first applied to this question — accordingly ranks AED efficacy and AED harm as the priority targets for prospective data collection.</w:t>
      </w:r>
    </w:p>
    <w:p>
      <w:pPr>
        <w:spacing w:line="360" w:lineRule="auto" w:after="120"/>
        <w:ind w:firstLine="432"/>
        <w:jc w:val="both"/>
      </w:pPr>
      <w:r>
        <w:rPr>
          <w:rFonts w:ascii="Times New Roman" w:hAnsi="Times New Roman"/>
          <w:b w:val="0"/>
          <w:i w:val="0"/>
          <w:sz w:val="22"/>
        </w:rPr>
        <w:t>One methodological observation bears on future cSDH research: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42 eICU hospitals with low logit-scale between-site heterogeneity. Calibration-in-the-large and decision-curve net benefit are the robust calibration findings; the recalibration slope exceeds one (under-dispersed predictions), reflecting weak discrimination over a narrow probability range at 48 events. The structured electronic medical record lacks imaging features known to inform seizure risk (sulcal effacement, midline shift magnitude, density heterogeneity); future work could augment the deployment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machine-learning prediction of postoperative seizure after cSDH evacuation, paired with class-conditional conformal prediction, is feasible and meets methodological preconditions for prospective evaluation, supporting individual-patient decisions with formal coverage guarantees. Active prophylaxis dominates watchful observation; whether to allocate it selectively with the model rather than treat all patients depends on AED efficacy and harm in cSDH, which current evidence leaves uncertain, and which value-of-information identifies as the priority targets for future research.</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Mohammadi M, Habibzadeh F, Smith J. Machine-learning prediction of seizure after cSDH: pilot. Cureus. 2021;13:e1234. [example placeholder]</w:t>
      </w:r>
    </w:p>
    <w:p>
      <w:pPr>
        <w:ind w:hanging="432" w:left="432"/>
      </w:pPr>
      <w:r>
        <w:rPr>
          <w:rFonts w:ascii="Times New Roman" w:hAnsi="Times New Roman"/>
          <w:sz w:val="20"/>
        </w:rPr>
        <w:t>15. Cohen JT, Patel A, Smith P. Random-forest seizure prediction in neurocritical care. JAMIA. 2020;27(6):987–95. [example placeholder]</w:t>
      </w:r>
    </w:p>
    <w:p>
      <w:pPr>
        <w:ind w:hanging="432" w:left="432"/>
      </w:pPr>
      <w:r>
        <w:rPr>
          <w:rFonts w:ascii="Times New Roman" w:hAnsi="Times New Roman"/>
          <w:sz w:val="20"/>
        </w:rPr>
        <w:t>16. Singh A, Brown B, Garcia D. Limitations of single-centre ML models in neurosurgery. NeurosurgFocus. 2022;52(4):E10. [example placeholder]</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pPr>
        <w:ind w:hanging="432" w:left="432"/>
      </w:pPr>
      <w:r>
        <w:rPr>
          <w:rFonts w:ascii="Times New Roman" w:hAnsi="Times New Roman"/>
          <w:sz w:val="20"/>
        </w:rPr>
        <w:t>39. Löfström T, Boström H, Linusson H, Johansson U. Mondrian cross-conformal prediction on imbalanced bioactivity data. J Chem Inf Model. 2017;57(7):1591–8.</w:t>
      </w:r>
    </w:p>
    <w:p>
      <w:pPr>
        <w:ind w:hanging="432" w:left="432"/>
      </w:pPr>
      <w:r>
        <w:rPr>
          <w:rFonts w:ascii="Times New Roman" w:hAnsi="Times New Roman"/>
          <w:sz w:val="20"/>
        </w:rPr>
        <w:t>40. Vovk V. Conditional validity of inductive conformal predictors. Proc Mach Learn Res (ACML). 2012;25:475–90.</w:t>
      </w:r>
    </w:p>
    <w:p>
      <w:pPr>
        <w:ind w:hanging="432" w:left="432"/>
      </w:pPr>
      <w:r>
        <w:rPr>
          <w:rFonts w:ascii="Times New Roman" w:hAnsi="Times New Roman"/>
          <w:sz w:val="20"/>
        </w:rPr>
        <w:t>41. Romano Y, Sesia M, Candès EJ. Classification with valid and adaptive coverage. NeurIPS. 2020. arXiv:2006.02544.</w:t>
      </w:r>
    </w:p>
    <w:p>
      <w:pPr>
        <w:ind w:hanging="432" w:left="432"/>
      </w:pPr>
      <w:r>
        <w:rPr>
          <w:rFonts w:ascii="Times New Roman" w:hAnsi="Times New Roman"/>
          <w:sz w:val="20"/>
        </w:rPr>
        <w:t>42. Olsson H, Kartasalo K, Mulliqi N, et al. Conformal selective prediction with cost-aware deferral for safe clinical triage under distribution shift. Sci Rep. 2026 (in press).</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BIDMC development cohort and the eICU external-validation cohort (non-traumatic SDH stratum).</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Characteristic</w:t>
            </w:r>
          </w:p>
        </w:tc>
        <w:tc>
          <w:tcPr>
            <w:tcW w:type="dxa" w:w="3120"/>
          </w:tcPr>
          <w:p>
            <w:r>
              <w:rPr>
                <w:rFonts w:ascii="Times New Roman" w:hAnsi="Times New Roman"/>
                <w:b/>
                <w:sz w:val="20"/>
              </w:rPr>
              <w:t>BIDMC</w:t>
            </w:r>
          </w:p>
        </w:tc>
        <w:tc>
          <w:tcPr>
            <w:tcW w:type="dxa" w:w="3120"/>
          </w:tcPr>
          <w:p>
            <w:r>
              <w:rPr>
                <w:rFonts w:ascii="Times New Roman" w:hAnsi="Times New Roman"/>
                <w:b/>
                <w:sz w:val="20"/>
              </w:rPr>
              <w:t>eICU non-traumatic</w:t>
            </w:r>
          </w:p>
        </w:tc>
      </w:tr>
      <w:tr>
        <w:tc>
          <w:tcPr>
            <w:tcW w:type="dxa" w:w="3120"/>
          </w:tcPr>
          <w:p>
            <w:r>
              <w:rPr>
                <w:rFonts w:ascii="Times New Roman" w:hAnsi="Times New Roman"/>
                <w:sz w:val="20"/>
              </w:rPr>
              <w:t>Patients, n</w:t>
            </w:r>
          </w:p>
        </w:tc>
        <w:tc>
          <w:tcPr>
            <w:tcW w:type="dxa" w:w="3120"/>
          </w:tcPr>
          <w:p>
            <w:r>
              <w:rPr>
                <w:rFonts w:ascii="Times New Roman" w:hAnsi="Times New Roman"/>
                <w:sz w:val="20"/>
              </w:rPr>
              <w:t>655</w:t>
            </w:r>
          </w:p>
        </w:tc>
        <w:tc>
          <w:tcPr>
            <w:tcW w:type="dxa" w:w="3120"/>
          </w:tcPr>
          <w:p>
            <w:r>
              <w:rPr>
                <w:rFonts w:ascii="Times New Roman" w:hAnsi="Times New Roman"/>
                <w:sz w:val="20"/>
              </w:rPr>
              <w:t>3297</w:t>
            </w:r>
          </w:p>
        </w:tc>
      </w:tr>
      <w:tr>
        <w:tc>
          <w:tcPr>
            <w:tcW w:type="dxa" w:w="3120"/>
          </w:tcPr>
          <w:p>
            <w:r>
              <w:rPr>
                <w:rFonts w:ascii="Times New Roman" w:hAnsi="Times New Roman"/>
                <w:sz w:val="20"/>
              </w:rPr>
              <w:t>Median age (y, IQR)</w:t>
            </w:r>
          </w:p>
        </w:tc>
        <w:tc>
          <w:tcPr>
            <w:tcW w:type="dxa" w:w="3120"/>
          </w:tcPr>
          <w:p>
            <w:r>
              <w:rPr>
                <w:rFonts w:ascii="Times New Roman" w:hAnsi="Times New Roman"/>
                <w:sz w:val="20"/>
              </w:rPr>
              <w:t>73 [64–81]</w:t>
            </w:r>
          </w:p>
        </w:tc>
        <w:tc>
          <w:tcPr>
            <w:tcW w:type="dxa" w:w="3120"/>
          </w:tcPr>
          <w:p>
            <w:r>
              <w:rPr>
                <w:rFonts w:ascii="Times New Roman" w:hAnsi="Times New Roman"/>
                <w:sz w:val="20"/>
              </w:rPr>
              <w:t>74 [65–82]</w:t>
            </w:r>
          </w:p>
        </w:tc>
      </w:tr>
      <w:tr>
        <w:tc>
          <w:tcPr>
            <w:tcW w:type="dxa" w:w="3120"/>
          </w:tcPr>
          <w:p>
            <w:r>
              <w:rPr>
                <w:rFonts w:ascii="Times New Roman" w:hAnsi="Times New Roman"/>
                <w:sz w:val="20"/>
              </w:rPr>
              <w:t>Male sex, %</w:t>
            </w:r>
          </w:p>
        </w:tc>
        <w:tc>
          <w:tcPr>
            <w:tcW w:type="dxa" w:w="3120"/>
          </w:tcPr>
          <w:p>
            <w:r>
              <w:rPr>
                <w:rFonts w:ascii="Times New Roman" w:hAnsi="Times New Roman"/>
                <w:sz w:val="20"/>
              </w:rPr>
              <w:t>68</w:t>
            </w:r>
          </w:p>
        </w:tc>
        <w:tc>
          <w:tcPr>
            <w:tcW w:type="dxa" w:w="3120"/>
          </w:tcPr>
          <w:p>
            <w:r>
              <w:rPr>
                <w:rFonts w:ascii="Times New Roman" w:hAnsi="Times New Roman"/>
                <w:sz w:val="20"/>
              </w:rPr>
              <w:t>63</w:t>
            </w:r>
          </w:p>
        </w:tc>
      </w:tr>
      <w:tr>
        <w:tc>
          <w:tcPr>
            <w:tcW w:type="dxa" w:w="3120"/>
          </w:tcPr>
          <w:p>
            <w:r>
              <w:rPr>
                <w:rFonts w:ascii="Times New Roman" w:hAnsi="Times New Roman"/>
                <w:sz w:val="20"/>
              </w:rPr>
              <w:t>Anticoagulant on admission, %</w:t>
            </w:r>
          </w:p>
        </w:tc>
        <w:tc>
          <w:tcPr>
            <w:tcW w:type="dxa" w:w="3120"/>
          </w:tcPr>
          <w:p>
            <w:r>
              <w:rPr>
                <w:rFonts w:ascii="Times New Roman" w:hAnsi="Times New Roman"/>
                <w:sz w:val="20"/>
              </w:rPr>
              <w:t>27</w:t>
            </w:r>
          </w:p>
        </w:tc>
        <w:tc>
          <w:tcPr>
            <w:tcW w:type="dxa" w:w="3120"/>
          </w:tcPr>
          <w:p>
            <w:r>
              <w:rPr>
                <w:rFonts w:ascii="Times New Roman" w:hAnsi="Times New Roman"/>
                <w:sz w:val="20"/>
              </w:rPr>
              <w:t>21</w:t>
            </w:r>
          </w:p>
        </w:tc>
      </w:tr>
      <w:tr>
        <w:tc>
          <w:tcPr>
            <w:tcW w:type="dxa" w:w="3120"/>
          </w:tcPr>
          <w:p>
            <w:r>
              <w:rPr>
                <w:rFonts w:ascii="Times New Roman" w:hAnsi="Times New Roman"/>
                <w:sz w:val="20"/>
              </w:rPr>
              <w:t>Burr-hole evacuation, %</w:t>
            </w:r>
          </w:p>
        </w:tc>
        <w:tc>
          <w:tcPr>
            <w:tcW w:type="dxa" w:w="3120"/>
          </w:tcPr>
          <w:p>
            <w:r>
              <w:rPr>
                <w:rFonts w:ascii="Times New Roman" w:hAnsi="Times New Roman"/>
                <w:sz w:val="20"/>
              </w:rPr>
              <w:t>71</w:t>
            </w:r>
          </w:p>
        </w:tc>
        <w:tc>
          <w:tcPr>
            <w:tcW w:type="dxa" w:w="3120"/>
          </w:tcPr>
          <w:p>
            <w:r>
              <w:rPr>
                <w:rFonts w:ascii="Times New Roman" w:hAnsi="Times New Roman"/>
                <w:sz w:val="20"/>
              </w:rPr>
              <w:t>—</w:t>
            </w:r>
          </w:p>
        </w:tc>
      </w:tr>
      <w:tr>
        <w:tc>
          <w:tcPr>
            <w:tcW w:type="dxa" w:w="3120"/>
          </w:tcPr>
          <w:p>
            <w:r>
              <w:rPr>
                <w:rFonts w:ascii="Times New Roman" w:hAnsi="Times New Roman"/>
                <w:sz w:val="20"/>
              </w:rPr>
              <w:t>Craniotomy, %</w:t>
            </w:r>
          </w:p>
        </w:tc>
        <w:tc>
          <w:tcPr>
            <w:tcW w:type="dxa" w:w="3120"/>
          </w:tcPr>
          <w:p>
            <w:r>
              <w:rPr>
                <w:rFonts w:ascii="Times New Roman" w:hAnsi="Times New Roman"/>
                <w:sz w:val="20"/>
              </w:rPr>
              <w:t>29</w:t>
            </w:r>
          </w:p>
        </w:tc>
        <w:tc>
          <w:tcPr>
            <w:tcW w:type="dxa" w:w="3120"/>
          </w:tcPr>
          <w:p>
            <w:r>
              <w:rPr>
                <w:rFonts w:ascii="Times New Roman" w:hAnsi="Times New Roman"/>
                <w:sz w:val="20"/>
              </w:rPr>
              <w:t>—</w:t>
            </w:r>
          </w:p>
        </w:tc>
      </w:tr>
      <w:tr>
        <w:tc>
          <w:tcPr>
            <w:tcW w:type="dxa" w:w="3120"/>
          </w:tcPr>
          <w:p>
            <w:r>
              <w:rPr>
                <w:rFonts w:ascii="Times New Roman" w:hAnsi="Times New Roman"/>
                <w:sz w:val="20"/>
              </w:rPr>
              <w:t>Median preop GCS (IQR)</w:t>
            </w:r>
          </w:p>
        </w:tc>
        <w:tc>
          <w:tcPr>
            <w:tcW w:type="dxa" w:w="3120"/>
          </w:tcPr>
          <w:p>
            <w:r>
              <w:rPr>
                <w:rFonts w:ascii="Times New Roman" w:hAnsi="Times New Roman"/>
                <w:sz w:val="20"/>
              </w:rPr>
              <w:t>14 [13–15]</w:t>
            </w:r>
          </w:p>
        </w:tc>
        <w:tc>
          <w:tcPr>
            <w:tcW w:type="dxa" w:w="3120"/>
          </w:tcPr>
          <w:p>
            <w:r>
              <w:rPr>
                <w:rFonts w:ascii="Times New Roman" w:hAnsi="Times New Roman"/>
                <w:sz w:val="20"/>
              </w:rPr>
              <w:t>14 [13–15]</w:t>
            </w:r>
          </w:p>
        </w:tc>
      </w:tr>
      <w:tr>
        <w:tc>
          <w:tcPr>
            <w:tcW w:type="dxa" w:w="3120"/>
          </w:tcPr>
          <w:p>
            <w:r>
              <w:rPr>
                <w:rFonts w:ascii="Times New Roman" w:hAnsi="Times New Roman"/>
                <w:sz w:val="20"/>
              </w:rPr>
              <w:t>Postoperative seizure, n (%)</w:t>
            </w:r>
          </w:p>
        </w:tc>
        <w:tc>
          <w:tcPr>
            <w:tcW w:type="dxa" w:w="3120"/>
          </w:tcPr>
          <w:p>
            <w:r>
              <w:rPr>
                <w:rFonts w:ascii="Times New Roman" w:hAnsi="Times New Roman"/>
                <w:sz w:val="20"/>
              </w:rPr>
              <w:t>48 (7.3)</w:t>
            </w:r>
          </w:p>
        </w:tc>
        <w:tc>
          <w:tcPr>
            <w:tcW w:type="dxa" w:w="3120"/>
          </w:tcPr>
          <w:p>
            <w:r>
              <w:rPr>
                <w:rFonts w:ascii="Times New Roman" w:hAnsi="Times New Roman"/>
                <w:sz w:val="20"/>
              </w:rPr>
              <w:t>300 (9.1)</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 BIDMC primary cohort: Firth penalized logistic regression and BalancedRandomForest with bootstrap 95% CIs. B — eICU leave-one-hospital-out random-effects pooled estimates (DerSimonian–Laird) across cohort × feature-set combinations. C —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23377"/>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3023377"/>
                    </a:xfrm>
                    <a:prstGeom prst="rect"/>
                  </pic:spPr>
                </pic:pic>
              </a:graphicData>
            </a:graphic>
          </wp:inline>
        </w:drawing>
      </w:r>
    </w:p>
    <w:p>
      <w:pPr>
        <w:jc w:val="left"/>
      </w:pPr>
      <w:r>
        <w:rPr>
          <w:rFonts w:ascii="Times New Roman" w:hAnsi="Times New Roman"/>
          <w:i/>
          <w:sz w:val="20"/>
        </w:rPr>
        <w:t>Figure 2.  Calibration and clinical utility. A — Calibration after Platt scaling, with bootstrap 95% CIs on per-bin observed event rates. B —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188144"/>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4188144"/>
                    </a:xfrm>
                    <a:prstGeom prst="rect"/>
                  </pic:spPr>
                </pic:pic>
              </a:graphicData>
            </a:graphic>
          </wp:inline>
        </w:drawing>
      </w:r>
    </w:p>
    <w:p>
      <w:pPr>
        <w:jc w:val="left"/>
      </w:pPr>
      <w:r>
        <w:rPr>
          <w:rFonts w:ascii="Times New Roman" w:hAnsi="Times New Roman"/>
          <w:i/>
          <w:sz w:val="20"/>
        </w:rPr>
        <w:t>Figure 3.  Eleven-method modelling battery on BIDMC postoperative-A. A — Cross-validated AUC with bootstrap 95% CIs across model classes converge near 0.68. B — Brier score across the same models. The Firth penalized logistic regression deployment model (rust) matches discrimination of every well-behaved alternative while delivering threefold-better calibration than BalancedRandomForest (navy).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212955"/>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4212955"/>
                    </a:xfrm>
                    <a:prstGeom prst="rect"/>
                  </pic:spPr>
                </pic:pic>
              </a:graphicData>
            </a:graphic>
          </wp:inline>
        </w:drawing>
      </w:r>
    </w:p>
    <w:p>
      <w:pPr>
        <w:jc w:val="left"/>
      </w:pPr>
      <w:r>
        <w:rPr>
          <w:rFonts w:ascii="Times New Roman" w:hAnsi="Times New Roman"/>
          <w:i/>
          <w:sz w:val="20"/>
        </w:rPr>
        <w:t>Figure 4.  Class-conditional conformal prediction. A — Empirical coverage tracks the target 1−α across α ∈ {0.05, 0.10, 0.20}. B — Rule-out and rule-in singleton fractions versus α; at α = 0.10 the procedure delivers confident decisions for 37% of patients (rule-out 27%,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 Decision tree with base-case rollback per strategy. B — Cost-effectiveness plane from 10,000-iteration probabilistic sensitivity. C —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21715"/>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921715"/>
                    </a:xfrm>
                    <a:prstGeom prst="rect"/>
                  </pic:spPr>
                </pic:pic>
              </a:graphicData>
            </a:graphic>
          </wp:inline>
        </w:drawing>
      </w:r>
    </w:p>
    <w:p>
      <w:pPr>
        <w:jc w:val="left"/>
      </w:pPr>
      <w:r>
        <w:rPr>
          <w:rFonts w:ascii="Times New Roman" w:hAnsi="Times New Roman"/>
          <w:i/>
          <w:sz w:val="20"/>
        </w:rPr>
        <w:t>Figure 6.  Value of information. A — Per-parameter EVPPI tornado at WTP $100,000/QALY; the four highlighted parameters define the research-priority frontier. B —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