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 see Appendix S4.</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 excluded from the primary analysis</w:t>
      </w:r>
    </w:p>
    <w:p>
      <w:pPr>
        <w:spacing w:line="360" w:lineRule="auto" w:after="120"/>
        <w:jc w:val="both"/>
      </w:pPr>
      <w:r>
        <w:rPr>
          <w:rFonts w:ascii="Times New Roman" w:hAnsi="Times New Roman"/>
          <w:b w:val="0"/>
          <w:i w:val="0"/>
          <w:sz w:val="22"/>
        </w:rPr>
        <w:t>A preliminary analysis attempted to extend external validation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deployment pipeline depends on the missing-data assumption. The deployment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external-validation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Per-parameter EVPPI ranking at WTP $100,000/QALY.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w:t>
            </w:r>
          </w:p>
        </w:tc>
        <w:tc>
          <w:tcPr>
            <w:tcW w:type="dxa" w:w="2340"/>
          </w:tcPr>
          <w:p>
            <w:r>
              <w:rPr>
                <w:rFonts w:ascii="Times New Roman" w:hAnsi="Times New Roman"/>
                <w:b/>
                <w:sz w:val="20"/>
              </w:rPr>
              <w:t>column</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w:t>
            </w:r>
          </w:p>
        </w:tc>
      </w:tr>
      <w:tr>
        <w:tc>
          <w:tcPr>
            <w:tcW w:type="dxa" w:w="2340"/>
          </w:tcPr>
          <w:p>
            <w:r>
              <w:rPr>
                <w:rFonts w:ascii="Times New Roman" w:hAnsi="Times New Roman"/>
                <w:sz w:val="20"/>
              </w:rPr>
              <w:t>Cost: cEEG monitoring/day</w:t>
            </w:r>
          </w:p>
        </w:tc>
        <w:tc>
          <w:tcPr>
            <w:tcW w:type="dxa" w:w="2340"/>
          </w:tcPr>
          <w:p>
            <w:r>
              <w:rPr>
                <w:rFonts w:ascii="Times New Roman" w:hAnsi="Times New Roman"/>
                <w:sz w:val="20"/>
              </w:rPr>
              <w:t>c_ceeg</w:t>
            </w:r>
          </w:p>
        </w:tc>
        <w:tc>
          <w:tcPr>
            <w:tcW w:type="dxa" w:w="2340"/>
          </w:tcPr>
          <w:p>
            <w:r>
              <w:rPr>
                <w:rFonts w:ascii="Times New Roman" w:hAnsi="Times New Roman"/>
                <w:sz w:val="20"/>
              </w:rPr>
              <w:t>195</w:t>
            </w:r>
          </w:p>
        </w:tc>
        <w:tc>
          <w:tcPr>
            <w:tcW w:type="dxa" w:w="2340"/>
          </w:tcPr>
          <w:p>
            <w:r>
              <w:rPr>
                <w:rFonts w:ascii="Times New Roman" w:hAnsi="Times New Roman"/>
                <w:sz w:val="20"/>
              </w:rPr>
              <w:t>68,687,999</w:t>
            </w:r>
          </w:p>
        </w:tc>
      </w:tr>
      <w:tr>
        <w:tc>
          <w:tcPr>
            <w:tcW w:type="dxa" w:w="2340"/>
          </w:tcPr>
          <w:p>
            <w:r>
              <w:rPr>
                <w:rFonts w:ascii="Times New Roman" w:hAnsi="Times New Roman"/>
                <w:sz w:val="20"/>
              </w:rPr>
              <w:t>Seizure prevalence</w:t>
            </w:r>
          </w:p>
        </w:tc>
        <w:tc>
          <w:tcPr>
            <w:tcW w:type="dxa" w:w="2340"/>
          </w:tcPr>
          <w:p>
            <w:r>
              <w:rPr>
                <w:rFonts w:ascii="Times New Roman" w:hAnsi="Times New Roman"/>
                <w:sz w:val="20"/>
              </w:rPr>
              <w:t>p_sz</w:t>
            </w:r>
          </w:p>
        </w:tc>
        <w:tc>
          <w:tcPr>
            <w:tcW w:type="dxa" w:w="2340"/>
          </w:tcPr>
          <w:p>
            <w:r>
              <w:rPr>
                <w:rFonts w:ascii="Times New Roman" w:hAnsi="Times New Roman"/>
                <w:sz w:val="20"/>
              </w:rPr>
              <w:t>127</w:t>
            </w:r>
          </w:p>
        </w:tc>
        <w:tc>
          <w:tcPr>
            <w:tcW w:type="dxa" w:w="2340"/>
          </w:tcPr>
          <w:p>
            <w:r>
              <w:rPr>
                <w:rFonts w:ascii="Times New Roman" w:hAnsi="Times New Roman"/>
                <w:sz w:val="20"/>
              </w:rPr>
              <w:t>44,804,411</w:t>
            </w:r>
          </w:p>
        </w:tc>
      </w:tr>
      <w:tr>
        <w:tc>
          <w:tcPr>
            <w:tcW w:type="dxa" w:w="2340"/>
          </w:tcPr>
          <w:p>
            <w:r>
              <w:rPr>
                <w:rFonts w:ascii="Times New Roman" w:hAnsi="Times New Roman"/>
                <w:sz w:val="20"/>
              </w:rPr>
              <w:t>AED relative risk reduction</w:t>
            </w:r>
          </w:p>
        </w:tc>
        <w:tc>
          <w:tcPr>
            <w:tcW w:type="dxa" w:w="2340"/>
          </w:tcPr>
          <w:p>
            <w:r>
              <w:rPr>
                <w:rFonts w:ascii="Times New Roman" w:hAnsi="Times New Roman"/>
                <w:sz w:val="20"/>
              </w:rPr>
              <w:t>rrr</w:t>
            </w:r>
          </w:p>
        </w:tc>
        <w:tc>
          <w:tcPr>
            <w:tcW w:type="dxa" w:w="2340"/>
          </w:tcPr>
          <w:p>
            <w:r>
              <w:rPr>
                <w:rFonts w:ascii="Times New Roman" w:hAnsi="Times New Roman"/>
                <w:sz w:val="20"/>
              </w:rPr>
              <w:t>95.550</w:t>
            </w:r>
          </w:p>
        </w:tc>
        <w:tc>
          <w:tcPr>
            <w:tcW w:type="dxa" w:w="2340"/>
          </w:tcPr>
          <w:p>
            <w:r>
              <w:rPr>
                <w:rFonts w:ascii="Times New Roman" w:hAnsi="Times New Roman"/>
                <w:sz w:val="20"/>
              </w:rPr>
              <w:t>33,580,438</w:t>
            </w:r>
          </w:p>
        </w:tc>
      </w:tr>
      <w:tr>
        <w:tc>
          <w:tcPr>
            <w:tcW w:type="dxa" w:w="2340"/>
          </w:tcPr>
          <w:p>
            <w:r>
              <w:rPr>
                <w:rFonts w:ascii="Times New Roman" w:hAnsi="Times New Roman"/>
                <w:sz w:val="20"/>
              </w:rPr>
              <w:t>ML model sensitivity</w:t>
            </w:r>
          </w:p>
        </w:tc>
        <w:tc>
          <w:tcPr>
            <w:tcW w:type="dxa" w:w="2340"/>
          </w:tcPr>
          <w:p>
            <w:r>
              <w:rPr>
                <w:rFonts w:ascii="Times New Roman" w:hAnsi="Times New Roman"/>
                <w:sz w:val="20"/>
              </w:rPr>
              <w:t>sens</w:t>
            </w:r>
          </w:p>
        </w:tc>
        <w:tc>
          <w:tcPr>
            <w:tcW w:type="dxa" w:w="2340"/>
          </w:tcPr>
          <w:p>
            <w:r>
              <w:rPr>
                <w:rFonts w:ascii="Times New Roman" w:hAnsi="Times New Roman"/>
                <w:sz w:val="20"/>
              </w:rPr>
              <w:t>30.536</w:t>
            </w:r>
          </w:p>
        </w:tc>
        <w:tc>
          <w:tcPr>
            <w:tcW w:type="dxa" w:w="2340"/>
          </w:tcPr>
          <w:p>
            <w:r>
              <w:rPr>
                <w:rFonts w:ascii="Times New Roman" w:hAnsi="Times New Roman"/>
                <w:sz w:val="20"/>
              </w:rPr>
              <w:t>10,731,775</w:t>
            </w:r>
          </w:p>
        </w:tc>
      </w:tr>
      <w:tr>
        <w:tc>
          <w:tcPr>
            <w:tcW w:type="dxa" w:w="2340"/>
          </w:tcPr>
          <w:p>
            <w:r>
              <w:rPr>
                <w:rFonts w:ascii="Times New Roman" w:hAnsi="Times New Roman"/>
                <w:sz w:val="20"/>
              </w:rPr>
              <w:t>Cost: AED adverse events</w:t>
            </w:r>
          </w:p>
        </w:tc>
        <w:tc>
          <w:tcPr>
            <w:tcW w:type="dxa" w:w="2340"/>
          </w:tcPr>
          <w:p>
            <w:r>
              <w:rPr>
                <w:rFonts w:ascii="Times New Roman" w:hAnsi="Times New Roman"/>
                <w:sz w:val="20"/>
              </w:rPr>
              <w:t>c_aed_a</w:t>
            </w:r>
          </w:p>
        </w:tc>
        <w:tc>
          <w:tcPr>
            <w:tcW w:type="dxa" w:w="2340"/>
          </w:tcPr>
          <w:p>
            <w:r>
              <w:rPr>
                <w:rFonts w:ascii="Times New Roman" w:hAnsi="Times New Roman"/>
                <w:sz w:val="20"/>
              </w:rPr>
              <w:t>16.591</w:t>
            </w:r>
          </w:p>
        </w:tc>
        <w:tc>
          <w:tcPr>
            <w:tcW w:type="dxa" w:w="2340"/>
          </w:tcPr>
          <w:p>
            <w:r>
              <w:rPr>
                <w:rFonts w:ascii="Times New Roman" w:hAnsi="Times New Roman"/>
                <w:sz w:val="20"/>
              </w:rPr>
              <w:t>5,830,973</w:t>
            </w:r>
          </w:p>
        </w:tc>
      </w:tr>
      <w:tr>
        <w:tc>
          <w:tcPr>
            <w:tcW w:type="dxa" w:w="2340"/>
          </w:tcPr>
          <w:p>
            <w:r>
              <w:rPr>
                <w:rFonts w:ascii="Times New Roman" w:hAnsi="Times New Roman"/>
                <w:sz w:val="20"/>
              </w:rPr>
              <w:t>ML model specificity</w:t>
            </w:r>
          </w:p>
        </w:tc>
        <w:tc>
          <w:tcPr>
            <w:tcW w:type="dxa" w:w="2340"/>
          </w:tcPr>
          <w:p>
            <w:r>
              <w:rPr>
                <w:rFonts w:ascii="Times New Roman" w:hAnsi="Times New Roman"/>
                <w:sz w:val="20"/>
              </w:rPr>
              <w:t>spec</w:t>
            </w:r>
          </w:p>
        </w:tc>
        <w:tc>
          <w:tcPr>
            <w:tcW w:type="dxa" w:w="2340"/>
          </w:tcPr>
          <w:p>
            <w:r>
              <w:rPr>
                <w:rFonts w:ascii="Times New Roman" w:hAnsi="Times New Roman"/>
                <w:sz w:val="20"/>
              </w:rPr>
              <w:t>1.437</w:t>
            </w:r>
          </w:p>
        </w:tc>
        <w:tc>
          <w:tcPr>
            <w:tcW w:type="dxa" w:w="2340"/>
          </w:tcPr>
          <w:p>
            <w:r>
              <w:rPr>
                <w:rFonts w:ascii="Times New Roman" w:hAnsi="Times New Roman"/>
                <w:sz w:val="20"/>
              </w:rPr>
              <w:t>505,151</w:t>
            </w:r>
          </w:p>
        </w:tc>
      </w:tr>
      <w:tr>
        <w:tc>
          <w:tcPr>
            <w:tcW w:type="dxa" w:w="2340"/>
          </w:tcPr>
          <w:p>
            <w:r>
              <w:rPr>
                <w:rFonts w:ascii="Times New Roman" w:hAnsi="Times New Roman"/>
                <w:sz w:val="20"/>
              </w:rPr>
              <w:t>P(clinical detection)</w:t>
            </w:r>
          </w:p>
        </w:tc>
        <w:tc>
          <w:tcPr>
            <w:tcW w:type="dxa" w:w="2340"/>
          </w:tcPr>
          <w:p>
            <w:r>
              <w:rPr>
                <w:rFonts w:ascii="Times New Roman" w:hAnsi="Times New Roman"/>
                <w:sz w:val="20"/>
              </w:rPr>
              <w:t>pd_clin</w:t>
            </w:r>
          </w:p>
        </w:tc>
        <w:tc>
          <w:tcPr>
            <w:tcW w:type="dxa" w:w="2340"/>
          </w:tcPr>
          <w:p>
            <w:r>
              <w:rPr>
                <w:rFonts w:ascii="Times New Roman" w:hAnsi="Times New Roman"/>
                <w:sz w:val="20"/>
              </w:rPr>
              <w:t>1.038</w:t>
            </w:r>
          </w:p>
        </w:tc>
        <w:tc>
          <w:tcPr>
            <w:tcW w:type="dxa" w:w="2340"/>
          </w:tcPr>
          <w:p>
            <w:r>
              <w:rPr>
                <w:rFonts w:ascii="Times New Roman" w:hAnsi="Times New Roman"/>
                <w:sz w:val="20"/>
              </w:rPr>
              <w:t>364,964</w:t>
            </w:r>
          </w:p>
        </w:tc>
      </w:tr>
      <w:tr>
        <w:tc>
          <w:tcPr>
            <w:tcW w:type="dxa" w:w="2340"/>
          </w:tcPr>
          <w:p>
            <w:r>
              <w:rPr>
                <w:rFonts w:ascii="Times New Roman" w:hAnsi="Times New Roman"/>
                <w:sz w:val="20"/>
              </w:rPr>
              <w:t>Cost: late status epilepticus</w:t>
            </w:r>
          </w:p>
        </w:tc>
        <w:tc>
          <w:tcPr>
            <w:tcW w:type="dxa" w:w="2340"/>
          </w:tcPr>
          <w:p>
            <w:r>
              <w:rPr>
                <w:rFonts w:ascii="Times New Roman" w:hAnsi="Times New Roman"/>
                <w:sz w:val="20"/>
              </w:rPr>
              <w:t>c_se_l</w:t>
            </w:r>
          </w:p>
        </w:tc>
        <w:tc>
          <w:tcPr>
            <w:tcW w:type="dxa" w:w="2340"/>
          </w:tcPr>
          <w:p>
            <w:r>
              <w:rPr>
                <w:rFonts w:ascii="Times New Roman" w:hAnsi="Times New Roman"/>
                <w:sz w:val="20"/>
              </w:rPr>
              <w:t>0.661</w:t>
            </w:r>
          </w:p>
        </w:tc>
        <w:tc>
          <w:tcPr>
            <w:tcW w:type="dxa" w:w="2340"/>
          </w:tcPr>
          <w:p>
            <w:r>
              <w:rPr>
                <w:rFonts w:ascii="Times New Roman" w:hAnsi="Times New Roman"/>
                <w:sz w:val="20"/>
              </w:rPr>
              <w:t>232,364</w:t>
            </w:r>
          </w:p>
        </w:tc>
      </w:tr>
      <w:tr>
        <w:tc>
          <w:tcPr>
            <w:tcW w:type="dxa" w:w="2340"/>
          </w:tcPr>
          <w:p>
            <w:r>
              <w:rPr>
                <w:rFonts w:ascii="Times New Roman" w:hAnsi="Times New Roman"/>
                <w:sz w:val="20"/>
              </w:rPr>
              <w:t>QALY decrement per seizure</w:t>
            </w:r>
          </w:p>
        </w:tc>
        <w:tc>
          <w:tcPr>
            <w:tcW w:type="dxa" w:w="2340"/>
          </w:tcPr>
          <w:p>
            <w:r>
              <w:rPr>
                <w:rFonts w:ascii="Times New Roman" w:hAnsi="Times New Roman"/>
                <w:sz w:val="20"/>
              </w:rPr>
              <w:t>u_dec</w:t>
            </w:r>
          </w:p>
        </w:tc>
        <w:tc>
          <w:tcPr>
            <w:tcW w:type="dxa" w:w="2340"/>
          </w:tcPr>
          <w:p>
            <w:r>
              <w:rPr>
                <w:rFonts w:ascii="Times New Roman" w:hAnsi="Times New Roman"/>
                <w:sz w:val="20"/>
              </w:rPr>
              <w:t>0.000</w:t>
            </w:r>
          </w:p>
        </w:tc>
        <w:tc>
          <w:tcPr>
            <w:tcW w:type="dxa" w:w="2340"/>
          </w:tcPr>
          <w:p>
            <w:r>
              <w:rPr>
                <w:rFonts w:ascii="Times New Roman" w:hAnsi="Times New Roman"/>
                <w:sz w:val="20"/>
              </w:rPr>
              <w:t>0.006</w:t>
            </w:r>
          </w:p>
        </w:tc>
      </w:tr>
      <w:tr>
        <w:tc>
          <w:tcPr>
            <w:tcW w:type="dxa" w:w="2340"/>
          </w:tcPr>
          <w:p>
            <w:r>
              <w:rPr>
                <w:rFonts w:ascii="Times New Roman" w:hAnsi="Times New Roman"/>
                <w:sz w:val="20"/>
              </w:rPr>
              <w:t>P(cEEG detection)</w:t>
            </w:r>
          </w:p>
        </w:tc>
        <w:tc>
          <w:tcPr>
            <w:tcW w:type="dxa" w:w="2340"/>
          </w:tcPr>
          <w:p>
            <w:r>
              <w:rPr>
                <w:rFonts w:ascii="Times New Roman" w:hAnsi="Times New Roman"/>
                <w:sz w:val="20"/>
              </w:rPr>
              <w:t>pd_ceeg</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early status epilepticus</w:t>
            </w:r>
          </w:p>
        </w:tc>
        <w:tc>
          <w:tcPr>
            <w:tcW w:type="dxa" w:w="2340"/>
          </w:tcPr>
          <w:p>
            <w:r>
              <w:rPr>
                <w:rFonts w:ascii="Times New Roman" w:hAnsi="Times New Roman"/>
                <w:sz w:val="20"/>
              </w:rPr>
              <w:t>c_se_e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P(status epilepticus | seizure)</w:t>
            </w:r>
          </w:p>
        </w:tc>
        <w:tc>
          <w:tcPr>
            <w:tcW w:type="dxa" w:w="2340"/>
          </w:tcPr>
          <w:p>
            <w:r>
              <w:rPr>
                <w:rFonts w:ascii="Times New Roman" w:hAnsi="Times New Roman"/>
                <w:sz w:val="20"/>
              </w:rPr>
              <w:t>p_se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annual epilepsy care</w:t>
            </w:r>
          </w:p>
        </w:tc>
        <w:tc>
          <w:tcPr>
            <w:tcW w:type="dxa" w:w="2340"/>
          </w:tcPr>
          <w:p>
            <w:r>
              <w:rPr>
                <w:rFonts w:ascii="Times New Roman" w:hAnsi="Times New Roman"/>
                <w:sz w:val="20"/>
              </w:rPr>
              <w:t>c_epi</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1" name="Picture 1"/>
            <wp:cNvGraphicFramePr>
              <a:graphicFrameLocks noChangeAspect="1"/>
            </wp:cNvGraphicFramePr>
            <a:graphic>
              <a:graphicData uri="http://schemas.openxmlformats.org/drawingml/2006/picture">
                <pic:pic>
                  <pic:nvPicPr>
                    <pic:cNvPr id="0" name="04_loho_forest_full_Set_C.png"/>
                    <pic:cNvPicPr/>
                  </pic:nvPicPr>
                  <pic:blipFill>
                    <a:blip r:embed="rId9"/>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2" name="Picture 2"/>
            <wp:cNvGraphicFramePr>
              <a:graphicFrameLocks noChangeAspect="1"/>
            </wp:cNvGraphicFramePr>
            <a:graphic>
              <a:graphicData uri="http://schemas.openxmlformats.org/drawingml/2006/picture">
                <pic:pic>
                  <pic:nvPicPr>
                    <pic:cNvPr id="0" name="04_loho_forest_full_Set_A.png"/>
                    <pic:cNvPicPr/>
                  </pic:nvPicPr>
                  <pic:blipFill>
                    <a:blip r:embed="rId10"/>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05899"/>
            <wp:docPr id="3" name="Picture 3"/>
            <wp:cNvGraphicFramePr>
              <a:graphicFrameLocks noChangeAspect="1"/>
            </wp:cNvGraphicFramePr>
            <a:graphic>
              <a:graphicData uri="http://schemas.openxmlformats.org/drawingml/2006/picture">
                <pic:pic>
                  <pic:nvPicPr>
                    <pic:cNvPr id="0" name="05_auc_comparison.png"/>
                    <pic:cNvPicPr/>
                  </pic:nvPicPr>
                  <pic:blipFill>
                    <a:blip r:embed="rId11"/>
                    <a:stretch>
                      <a:fillRect/>
                    </a:stretch>
                  </pic:blipFill>
                  <pic:spPr>
                    <a:xfrm>
                      <a:off x="0" y="0"/>
                      <a:ext cx="5943600" cy="3105899"/>
                    </a:xfrm>
                    <a:prstGeom prst="rect"/>
                  </pic:spPr>
                </pic:pic>
              </a:graphicData>
            </a:graphic>
          </wp:inline>
        </w:drawing>
      </w:r>
    </w:p>
    <w:p>
      <w:pPr>
        <w:jc w:val="left"/>
      </w:pPr>
      <w:r>
        <w:rPr>
          <w:rFonts w:ascii="Times New Roman" w:hAnsi="Times New Roman"/>
          <w:i/>
          <w:sz w:val="20"/>
        </w:rPr>
        <w:t>Figure S3.  Temporal-leakage audit —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4" name="Picture 4"/>
            <wp:cNvGraphicFramePr>
              <a:graphicFrameLocks noChangeAspect="1"/>
            </wp:cNvGraphicFramePr>
            <a:graphic>
              <a:graphicData uri="http://schemas.openxmlformats.org/drawingml/2006/picture">
                <pic:pic>
                  <pic:nvPicPr>
                    <pic:cNvPr id="0" name="07_missingness.png"/>
                    <pic:cNvPicPr/>
                  </pic:nvPicPr>
                  <pic:blipFill>
                    <a:blip r:embed="rId12"/>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5" name="Picture 5"/>
            <wp:cNvGraphicFramePr>
              <a:graphicFrameLocks noChangeAspect="1"/>
            </wp:cNvGraphicFramePr>
            <a:graphic>
              <a:graphicData uri="http://schemas.openxmlformats.org/drawingml/2006/picture">
                <pic:pic>
                  <pic:nvPicPr>
                    <pic:cNvPr id="0" name="12_nis_outcome_auc.png"/>
                    <pic:cNvPicPr/>
                  </pic:nvPicPr>
                  <pic:blipFill>
                    <a:blip r:embed="rId13"/>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6" name="Picture 6"/>
            <wp:cNvGraphicFramePr>
              <a:graphicFrameLocks noChangeAspect="1"/>
            </wp:cNvGraphicFramePr>
            <a:graphic>
              <a:graphicData uri="http://schemas.openxmlformats.org/drawingml/2006/picture">
                <pic:pic>
                  <pic:nvPicPr>
                    <pic:cNvPr id="0" name="09_cumulative_incidence.png"/>
                    <pic:cNvPicPr/>
                  </pic:nvPicPr>
                  <pic:blipFill>
                    <a:blip r:embed="rId14"/>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7" name="Picture 7"/>
            <wp:cNvGraphicFramePr>
              <a:graphicFrameLocks noChangeAspect="1"/>
            </wp:cNvGraphicFramePr>
            <a:graphic>
              <a:graphicData uri="http://schemas.openxmlformats.org/drawingml/2006/picture">
                <pic:pic>
                  <pic:nvPicPr>
                    <pic:cNvPr id="0" name="13_nis_grouped_lasso.png"/>
                    <pic:cNvPicPr/>
                  </pic:nvPicPr>
                  <pic:blipFill>
                    <a:blip r:embed="rId15"/>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