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 calibrated and conformally-deployable risk score for postoperative seizure after chronic subdural haematoma evacuation: a proof-of-concept multi-database study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42</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seven supplementary figures, the TRIPOD-AI reporting checklist (Supplementary Appendix S1), the reproducibility appendix (Supplementary Appendix S2) and the BIDMC feature dictionary (Supplementary Appendix S3)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and the eICU Collaborative Research Database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Calibrated, deployable risk stratification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and 5,376 SDH ICU stays across 139 hospitals in the eICU Collaborative Research Database (external validation).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 selected as the deployment model — discriminated at AUC 0.681 (95% CI 0.609–0.753), equivalent to BalancedRandomForest (DeLong p = 0.81), with 3.3-fold better calibration (Brier 0.069 vs 0.228). Eleven-method comparison confirmed an AUC ceiling near 0.68 consistent with 2022–2025 meta-evidence. eICU external AUC was 0.750 (0.711–0.774); random-effects pooled AUC across 42 hospitals was 0.684 (0.651–0.714), I²=0%. Conformal prediction at α=0.10 produced confident singleton predictions in 37% of patients (rule-out of seizure in 27%; rule-in 11%). ML-guided AED prophylaxis dominated observation and universal AED on both cost and QALYs. Population EVPI at $100k/QALY was $190M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Small-cohort clinical machine learning can be deployable when calibration and decision-integration replace discrimination as the optimisation target. ML-guided AED prophylaxis is cost-effective; VOI prioritises per-day cEEG cost, baseline seizure prevalence and AED efficacy as research targets.</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xml:space="preserve"> —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was accessed under its data-use agreement.</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The eICU non-traumatic SDH stratum served as the primary external-validation cohort (n = 3,297; 300 seizures), with sensitivity to four cohort definitions reported in the Supplement.</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ascertained from chart documentation at BIDMC and from the structured seizure flag in eICU. The BIDMC postoperative-A feature set comprised 21 demographic, operative and imaging-derived variables; postoperative-B excluded three variables potentially recorded after seizure onset. The full feature dictionary is in Supplementary Appendix S3.</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BRF used the DeLong test.</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Firth penalized logistic regression produced a 5 × 5 repeated cross-validated AUC of 0.681 (95% CI 0.609–0.753), within noise of the BalancedRandomForest reference (0.676; 0.595–0.760; DeLong p = 0.81). Removing three variables that could in principle be charted after seizure onset (postoperative-B) yielded AUC 0.645; the primary signal does not require post-event information. External validation in the eICU non-traumatic cohort gave AUC 0.750 (0.711–0.774); leave-one-hospital-out random-effects pooling across 42 hospitals yielded AUC 0.684 (0.651–0.714), with τ² ≈ 0 and I² = 0%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Pre-recalibration, class-rebalanced classifiers assigned probabilities that were too extreme (eICU Set C: Brier 0.071, calibration slope 1.51). Cross-validated Platt scaling brought slope to within 0.99–1.04 in every model and calibration-in-the-large to |CITL| ≤ 0.03 (Figure 2A). On decision-curve analysis (Figure 2B) the eICU Set C model showed positive net benefit across the 5–15% probability-threshold band —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BRF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0.3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Under base-case parameters refreshed from the 2021–2025 literature, ML-guided AED prophylaxis was the dominant strategy: lower expected cost ($4,365 vs $5,844 for observation, $5,362 for universal AED) and higher expected health (7.43 QALYs vs 7.36 and 7.42; Figure 5). ML-guided cEEG had higher expected cost ($7,685) and lower QALYs than ML-AED but remained cost-effective relative to observation in 62% of probabilistic samples at $100,000/QALY. This is, to our knowledge, the first value-of-information analysis applied to postoperative-seizure prophylaxis after cSDH evacuation. The per-patient expected value of perfect information at $100k/QALY was $541; the population-discounted value over 10 years and 40,000 operations per year was approximately $190 million. Strong–Oakley non-parametric regression identified per-day cEEG cost ($195 per patient EVPPI), baseline seizure prevalence ($127), AED relative-risk reduction ($96) and model sensitivity ($31) as the parameters with the largest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demonstrates that small-cohort clinical machine learning for postoperative seizure after cSDH evacuation can be deployable when calibration and individual-patient decision support — not discrimination — are treated as the optimisation target. Firth penalized logistic regression matches BalancedRandomForest on AUC, delivers three-fold better calibration, and supports class-conditional conformal prediction sets that confidently rule out seizure in approximately one quarter of patients at a 90% coverage guarantee. External validation across BIDMC and the eICU Collaborative Research Database confirms low between-hospital heterogeneity (I² = 0%).</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BalancedRandomForest.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shows that the calibrated deployment model translates directly into clinical value. ML-guided AED prophylaxis dominated current strategies on both cost and QALY axes, and the accompanying value-of-information analysis — to our knowledge the first applied to this clinical question — quantifies the population-scale upper bound on future research investment at approximately $190 million over 10 years. The analysis identifies *which* parameters drive the upper bound: per-day cEEG cost, baseline seizure prevalence, and AED relative-risk reduction. Each is addressable through prospective data collection or focused trials.</w:t>
      </w:r>
    </w:p>
    <w:p>
      <w:pPr>
        <w:spacing w:line="360" w:lineRule="auto" w:after="120"/>
        <w:ind w:firstLine="432"/>
        <w:jc w:val="both"/>
      </w:pPr>
      <w:r>
        <w:rPr>
          <w:rFonts w:ascii="Times New Roman" w:hAnsi="Times New Roman"/>
          <w:b w:val="0"/>
          <w:i w:val="0"/>
          <w:sz w:val="22"/>
        </w:rPr>
        <w:t>One methodological observation bears on future cSDH research: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139 eICU hospitals with zero between-site heterogeneity. The structured electronic medical record lacks imaging features known to inform seizure risk (sulcal effacement, midline shift magnitude, density heterogeneity); future work could augment the deployment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conformally-deployable machine-learning prediction of postoperative seizure after cSDH evacuation is feasible and supports individual-patient decisions with formal coverage guarantees. ML-guided AED prophylaxis dominates current strategies in a refreshed cost-effectiveness analysis, and value-of-information analysis ranks per-day cEEG cost, seizure prevalence and AED efficacy as the priority targets for future research investment.</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BIDMC development cohort and the eICU external-validation cohort (non-traumatic SDH stratum).</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Characteristic</w:t>
            </w:r>
          </w:p>
        </w:tc>
        <w:tc>
          <w:tcPr>
            <w:tcW w:type="dxa" w:w="3120"/>
          </w:tcPr>
          <w:p>
            <w:r>
              <w:rPr>
                <w:rFonts w:ascii="Times New Roman" w:hAnsi="Times New Roman"/>
                <w:b/>
                <w:sz w:val="20"/>
              </w:rPr>
              <w:t>BIDMC</w:t>
            </w:r>
          </w:p>
        </w:tc>
        <w:tc>
          <w:tcPr>
            <w:tcW w:type="dxa" w:w="3120"/>
          </w:tcPr>
          <w:p>
            <w:r>
              <w:rPr>
                <w:rFonts w:ascii="Times New Roman" w:hAnsi="Times New Roman"/>
                <w:b/>
                <w:sz w:val="20"/>
              </w:rPr>
              <w:t>eICU non-traumatic</w:t>
            </w:r>
          </w:p>
        </w:tc>
      </w:tr>
      <w:tr>
        <w:tc>
          <w:tcPr>
            <w:tcW w:type="dxa" w:w="3120"/>
          </w:tcPr>
          <w:p>
            <w:r>
              <w:rPr>
                <w:rFonts w:ascii="Times New Roman" w:hAnsi="Times New Roman"/>
                <w:sz w:val="20"/>
              </w:rPr>
              <w:t>Patients, n</w:t>
            </w:r>
          </w:p>
        </w:tc>
        <w:tc>
          <w:tcPr>
            <w:tcW w:type="dxa" w:w="3120"/>
          </w:tcPr>
          <w:p>
            <w:r>
              <w:rPr>
                <w:rFonts w:ascii="Times New Roman" w:hAnsi="Times New Roman"/>
                <w:sz w:val="20"/>
              </w:rPr>
              <w:t>655</w:t>
            </w:r>
          </w:p>
        </w:tc>
        <w:tc>
          <w:tcPr>
            <w:tcW w:type="dxa" w:w="3120"/>
          </w:tcPr>
          <w:p>
            <w:r>
              <w:rPr>
                <w:rFonts w:ascii="Times New Roman" w:hAnsi="Times New Roman"/>
                <w:sz w:val="20"/>
              </w:rPr>
              <w:t>3297</w:t>
            </w:r>
          </w:p>
        </w:tc>
      </w:tr>
      <w:tr>
        <w:tc>
          <w:tcPr>
            <w:tcW w:type="dxa" w:w="3120"/>
          </w:tcPr>
          <w:p>
            <w:r>
              <w:rPr>
                <w:rFonts w:ascii="Times New Roman" w:hAnsi="Times New Roman"/>
                <w:sz w:val="20"/>
              </w:rPr>
              <w:t>Median age (y, IQR)</w:t>
            </w:r>
          </w:p>
        </w:tc>
        <w:tc>
          <w:tcPr>
            <w:tcW w:type="dxa" w:w="3120"/>
          </w:tcPr>
          <w:p>
            <w:r>
              <w:rPr>
                <w:rFonts w:ascii="Times New Roman" w:hAnsi="Times New Roman"/>
                <w:sz w:val="20"/>
              </w:rPr>
              <w:t>73 [64–81]</w:t>
            </w:r>
          </w:p>
        </w:tc>
        <w:tc>
          <w:tcPr>
            <w:tcW w:type="dxa" w:w="3120"/>
          </w:tcPr>
          <w:p>
            <w:r>
              <w:rPr>
                <w:rFonts w:ascii="Times New Roman" w:hAnsi="Times New Roman"/>
                <w:sz w:val="20"/>
              </w:rPr>
              <w:t>74 [65–82]</w:t>
            </w:r>
          </w:p>
        </w:tc>
      </w:tr>
      <w:tr>
        <w:tc>
          <w:tcPr>
            <w:tcW w:type="dxa" w:w="3120"/>
          </w:tcPr>
          <w:p>
            <w:r>
              <w:rPr>
                <w:rFonts w:ascii="Times New Roman" w:hAnsi="Times New Roman"/>
                <w:sz w:val="20"/>
              </w:rPr>
              <w:t>Male sex, %</w:t>
            </w:r>
          </w:p>
        </w:tc>
        <w:tc>
          <w:tcPr>
            <w:tcW w:type="dxa" w:w="3120"/>
          </w:tcPr>
          <w:p>
            <w:r>
              <w:rPr>
                <w:rFonts w:ascii="Times New Roman" w:hAnsi="Times New Roman"/>
                <w:sz w:val="20"/>
              </w:rPr>
              <w:t>68</w:t>
            </w:r>
          </w:p>
        </w:tc>
        <w:tc>
          <w:tcPr>
            <w:tcW w:type="dxa" w:w="3120"/>
          </w:tcPr>
          <w:p>
            <w:r>
              <w:rPr>
                <w:rFonts w:ascii="Times New Roman" w:hAnsi="Times New Roman"/>
                <w:sz w:val="20"/>
              </w:rPr>
              <w:t>63</w:t>
            </w:r>
          </w:p>
        </w:tc>
      </w:tr>
      <w:tr>
        <w:tc>
          <w:tcPr>
            <w:tcW w:type="dxa" w:w="3120"/>
          </w:tcPr>
          <w:p>
            <w:r>
              <w:rPr>
                <w:rFonts w:ascii="Times New Roman" w:hAnsi="Times New Roman"/>
                <w:sz w:val="20"/>
              </w:rPr>
              <w:t>Anticoagulant on admission, %</w:t>
            </w:r>
          </w:p>
        </w:tc>
        <w:tc>
          <w:tcPr>
            <w:tcW w:type="dxa" w:w="3120"/>
          </w:tcPr>
          <w:p>
            <w:r>
              <w:rPr>
                <w:rFonts w:ascii="Times New Roman" w:hAnsi="Times New Roman"/>
                <w:sz w:val="20"/>
              </w:rPr>
              <w:t>27</w:t>
            </w:r>
          </w:p>
        </w:tc>
        <w:tc>
          <w:tcPr>
            <w:tcW w:type="dxa" w:w="3120"/>
          </w:tcPr>
          <w:p>
            <w:r>
              <w:rPr>
                <w:rFonts w:ascii="Times New Roman" w:hAnsi="Times New Roman"/>
                <w:sz w:val="20"/>
              </w:rPr>
              <w:t>21</w:t>
            </w:r>
          </w:p>
        </w:tc>
      </w:tr>
      <w:tr>
        <w:tc>
          <w:tcPr>
            <w:tcW w:type="dxa" w:w="3120"/>
          </w:tcPr>
          <w:p>
            <w:r>
              <w:rPr>
                <w:rFonts w:ascii="Times New Roman" w:hAnsi="Times New Roman"/>
                <w:sz w:val="20"/>
              </w:rPr>
              <w:t>Burr-hole evacuation, %</w:t>
            </w:r>
          </w:p>
        </w:tc>
        <w:tc>
          <w:tcPr>
            <w:tcW w:type="dxa" w:w="3120"/>
          </w:tcPr>
          <w:p>
            <w:r>
              <w:rPr>
                <w:rFonts w:ascii="Times New Roman" w:hAnsi="Times New Roman"/>
                <w:sz w:val="20"/>
              </w:rPr>
              <w:t>71</w:t>
            </w:r>
          </w:p>
        </w:tc>
        <w:tc>
          <w:tcPr>
            <w:tcW w:type="dxa" w:w="3120"/>
          </w:tcPr>
          <w:p>
            <w:r>
              <w:rPr>
                <w:rFonts w:ascii="Times New Roman" w:hAnsi="Times New Roman"/>
                <w:sz w:val="20"/>
              </w:rPr>
              <w:t>—</w:t>
            </w:r>
          </w:p>
        </w:tc>
      </w:tr>
      <w:tr>
        <w:tc>
          <w:tcPr>
            <w:tcW w:type="dxa" w:w="3120"/>
          </w:tcPr>
          <w:p>
            <w:r>
              <w:rPr>
                <w:rFonts w:ascii="Times New Roman" w:hAnsi="Times New Roman"/>
                <w:sz w:val="20"/>
              </w:rPr>
              <w:t>Craniotomy, %</w:t>
            </w:r>
          </w:p>
        </w:tc>
        <w:tc>
          <w:tcPr>
            <w:tcW w:type="dxa" w:w="3120"/>
          </w:tcPr>
          <w:p>
            <w:r>
              <w:rPr>
                <w:rFonts w:ascii="Times New Roman" w:hAnsi="Times New Roman"/>
                <w:sz w:val="20"/>
              </w:rPr>
              <w:t>29</w:t>
            </w:r>
          </w:p>
        </w:tc>
        <w:tc>
          <w:tcPr>
            <w:tcW w:type="dxa" w:w="3120"/>
          </w:tcPr>
          <w:p>
            <w:r>
              <w:rPr>
                <w:rFonts w:ascii="Times New Roman" w:hAnsi="Times New Roman"/>
                <w:sz w:val="20"/>
              </w:rPr>
              <w:t>—</w:t>
            </w:r>
          </w:p>
        </w:tc>
      </w:tr>
      <w:tr>
        <w:tc>
          <w:tcPr>
            <w:tcW w:type="dxa" w:w="3120"/>
          </w:tcPr>
          <w:p>
            <w:r>
              <w:rPr>
                <w:rFonts w:ascii="Times New Roman" w:hAnsi="Times New Roman"/>
                <w:sz w:val="20"/>
              </w:rPr>
              <w:t>Median preop GCS (IQR)</w:t>
            </w:r>
          </w:p>
        </w:tc>
        <w:tc>
          <w:tcPr>
            <w:tcW w:type="dxa" w:w="3120"/>
          </w:tcPr>
          <w:p>
            <w:r>
              <w:rPr>
                <w:rFonts w:ascii="Times New Roman" w:hAnsi="Times New Roman"/>
                <w:sz w:val="20"/>
              </w:rPr>
              <w:t>14 [13–15]</w:t>
            </w:r>
          </w:p>
        </w:tc>
        <w:tc>
          <w:tcPr>
            <w:tcW w:type="dxa" w:w="3120"/>
          </w:tcPr>
          <w:p>
            <w:r>
              <w:rPr>
                <w:rFonts w:ascii="Times New Roman" w:hAnsi="Times New Roman"/>
                <w:sz w:val="20"/>
              </w:rPr>
              <w:t>14 [13–15]</w:t>
            </w:r>
          </w:p>
        </w:tc>
      </w:tr>
      <w:tr>
        <w:tc>
          <w:tcPr>
            <w:tcW w:type="dxa" w:w="3120"/>
          </w:tcPr>
          <w:p>
            <w:r>
              <w:rPr>
                <w:rFonts w:ascii="Times New Roman" w:hAnsi="Times New Roman"/>
                <w:sz w:val="20"/>
              </w:rPr>
              <w:t>Postoperative seizure, n (%)</w:t>
            </w:r>
          </w:p>
        </w:tc>
        <w:tc>
          <w:tcPr>
            <w:tcW w:type="dxa" w:w="3120"/>
          </w:tcPr>
          <w:p>
            <w:r>
              <w:rPr>
                <w:rFonts w:ascii="Times New Roman" w:hAnsi="Times New Roman"/>
                <w:sz w:val="20"/>
              </w:rPr>
              <w:t>48 (7.3)</w:t>
            </w:r>
          </w:p>
        </w:tc>
        <w:tc>
          <w:tcPr>
            <w:tcW w:type="dxa" w:w="3120"/>
          </w:tcPr>
          <w:p>
            <w:r>
              <w:rPr>
                <w:rFonts w:ascii="Times New Roman" w:hAnsi="Times New Roman"/>
                <w:sz w:val="20"/>
              </w:rPr>
              <w:t>300 (9.1)</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B — Brier score across the same models. The Firth penalized logistic regression deployment model (rust) matches discrimination of every well-behaved alternative while delivering threefold-better calibration than BalancedRandomForest (navy).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212955"/>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4212955"/>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