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Postoperative seizure after chronic subdural haematoma evacuation: a calibration-focused, conformal-prediction proof-of-concept with multi-database evaluation and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eight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and its efficacy after cSDH is unproven. Calibrated risk stratification that can support individual treatment decisions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and 3,297 non-traumatic subdural haematoma ICU stays across 42 hospitals in the eICU Collaborative Research Database (external evaluation in a related population; 300 seizures).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was the candidate model, fit on a leakage-safe postoperative-B feature set (18 variables available at the end of evacuation, before the AED/EEG decision); it discriminated at AUC 0.645. A postoperative-A set that additionally included three peri-decision variables reached AUC 0.681 (95% CI 0.609–0.753) but is not deployable, the difference lying within the Bernoulli noise floor at 48 events. Firth matched BalancedRandomForest discrimination (DeLong p = 0.81) with markedly better calibration (Brier 0.068 vs 0.228) and calibration-in-the-large near zero, though predictions remained under-dispersed (recalibration slope &gt;1) given the narrow probability range at 48 events. Eleven model classes converged on an AUC ceiling near 0.68 consistent with 2022–2025 meta-evidence. In external evaluation on a related (mixed-acuity ICU) population, AUC was 0.750 (0.711–0.774); random-effects pooled AUC across 42 hospitals was 0.684 (prediction interval 0.53–0.95). Class-conditional conformal prediction at α=0.10 gave confident singleton predictions in 22% of patients (rule-out 11%; rule-in 11%). ML-guided allocation beat watchful observation and, at a matched treated fraction, beat random allocation (discrimination premium ≈$1,000–1,600/patient), confirming the model — not the treated fraction — added value. The choice between universal AED and ML-guided allocation depended on AED efficacy and harm in cSDH (both uncertain): under cSDH-plausible values ML-guided allocation had the highest expected net benefit, whereas universal AED was preferable only under optimistic, imported efficacy assumptions. Population value of perfect information at $100k/QALY was approximately $23M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For postoperative seizure after cSDH evacuation, optimising small-cohort clinical machine learning for calibration and individual-patient decision support — rather than discrimination — yields a candidate model that meets methodological preconditions for prospective clinical evaluation. Whether selective ML-guided prophylaxis is preferable to treating all or none hinges on AED efficacy and harm in cSDH, which current evidence leaves uncertain; value-of-information prioritises resolving these.</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risk score, computable at the intended decision point, for postoperative seizure after cSDH evacuation. The work integrates (i) an eleven-method modelling battery to characterise the discrimination ceiling, (ii) Firth penalized logistic regression as the candidate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was accessed under its data-use agreement.</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For external validation, the eICU Collaborative Research Database was screened in stages: 5,376 ICU stays with any subdural haematoma diagnosis across 139 hospitals were identified, from which the pre-specified primary stratum — non-traumatic SDH stays at hospitals contributing ≥10 such stays — yielded 3,297 stays across 42 hospitals (300 seizures). All headline external figures, including the leave-one-hospital-out pooling, use this 3,297/42 primary stratum; the broader 5,376/139 screen and three alternative cohort definitions are reported as sensitivity analyses in the Supplement, and a CONSORT-style inclusion-flow diagram (Supplementary Appendix S8) details every exclusion step.</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cross-database phenotype agreement supports the external-validity claim. Two feature sets were defined by their availability at the intended decision point — the end of haematoma evacuation, before the antiepileptic-drug/EEG decision. The leakage-safe postoperative-B set comprised 18 demographic, operative and imaging-derived variables all available at that point. The postoperative-A set added three peri-decision variables (AED timing, proportion of stay on AED, abnormal EEG) that a clinician could not have at evacuation exit; because these encode information generated around or after the very decision the model is meant to inform, postoperative-A is reported only as a paired sensitivity comparison and is not deployable.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 Firth penalized logistic regression on the leakage-safe postoperative-B set was the pre-specified candidate model, chosen for calibration and interpretability rather than discrimination; BalancedRandomForest served only as the DeLong comparison anchor and was not a deployment candidate (poor calibration, Brier 0.228). All resampling, hyperparameter tuning and Platt recalibration were performed strictly within the training folds of the outer cross-validation; no test-fold data informed preprocessing or model selection.</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 Each prediction set maps to an explicit clinical action: a singleton {no-seizure} to observation (no AED), a singleton {seizure} to continuous EEG plus targeted AED, and the doubleton (abstention) to the default policy of universal AED. Because the doubleton-to-action choice is a policy lever, it is varied across three mappings (→ universal AED, → observation, → cEEG) in a sensitivity analysis (Supplementary Appendix S6).</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Because cSDH-specific AED efficacy is unproven — no randomised trial exists and pooled observational estimates show no significant seizure reduction — the AED relative-risk reduction was anchored at an imported base case of 0.45 (post-traumatic/tumour literature) purely as an optimistic reference, with the cSDH-plausible range of 0–0.30 and the AED disutility (0.02–0.15) explored in one-way and two-way sensitivity analyses, alongside UK (NICE) and Eurozone cost perspectives. The ML strategies act on the conformal partition described above.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the candidate Firth model on the leakage-safe postoperative-B set produced a 5 × 5 repeated cross-validated AUC of 0.645. Adding the three peri-decision variables (postoperative-A) raised AUC to 0.681 (95% CI 0.609–0.753), within noise of the BalancedRandomForest reference (0.676; 0.595–0.760; DeLong p = 0.81); the gap between the deployable and non-deployable sets (0.036) lies within the Bernoulli noise floor at 48 events, so the deployable signal does not require peri-decision information. External evaluation in the eICU non-traumatic cohort — a related, mixed-acuity ICU population rather than operatively-evacuated cSDH — gave AUC 0.750 (0.711–0.774), but discrimination fell to 0.57–0.61 in the strata most resembling surgical cSDH (Supplementary Table S2), so this figure reflects transportability to a broader population than the target indication; leave-one-hospital-out random-effects pooling across 42 hospitals yielded AUC 0.684 (0.651–0.714). Between-hospital heterogeneity was low on the variance-stabilising logit scale (τ² ≈ 0, I² = 0%); a raw-AUC sensitivity analysis gave higher estimates (I² up to ~56%), and the 95% prediction interval (Appendix S7) is reported as the honest summary of cross-site transportability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Calibration was assessed out-of-fold. For the deployable postoperative-B model, cross-validated Platt scaling achieved calibration-in-the-large near zero (|CITL| ≤ 0.01), low expected calibration error (ECE ≈ 0.034) and a low Brier score (0.068); the recalibration slope exceeded one (≈1.6–2.8 depending on the Platt protocol), indicating that predictions are under-dispersed — compressed toward the base rate — a direct consequence of the weak discrimination over a narrow probability range at 48 events rather than of miscalibration in the mean (Figure 2A; Supplementary Appendix S8). A FLIC/FLAC comparison (Appendix) confirmed that Firth's own intercept correction removes the mean bias but not the under-dispersion, which is why Platt recalibration is used at deployment. On decision-curve analysis (Figure 2B) the eICU Set C model showed positive net benefit across the 5–15% probability-threshold band —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0.068 (Firth, the candidate model) to 0.228 (BalancedRandomForest)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On the deployed Firth postoperative-B model, class-conditional (Mondrian) conformal prediction achieved class-conditional coverage close to target at α = 0.10 (90.3% for the no-seizure class, 93.8% for the seizure class). At this level the procedure produced a confident singleton prediction in 22% of patients: rule-out of seizure in 11% (AED-avoidance candidates) and rule-in in 11% (intensive-monitoring candidates). The remaining 78% were explicitly deferred to clinical judgment with a two-class prediction set (Figure 4). The deployed model abstains more often than the BalancedRandomForest reference because its calibrated probabilities occupy a narrow range — a conservative, honest behaviour for a weak-signal rare outcome.</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At the candidate operating point — the calibrated base-rate threshold of 7.3% — the postoperative-B model had sensitivity 0.50 (95% CI 0.36–0.64), specificity 0.70 (0.66–0.74), positive predictive value 0.12 (0.07–0.16) and negative predictive value 0.95 (0.93–0.97). The optimal strategy depended on AED efficacy and AED harm in cSDH, both of which the evidence leaves uncertain. Under the optimistic, externally-imported reference (AED relative-risk reduction 0.45, negligible disutility) universal AED had the highest expected net benefit by a small margin (≈$1k on a ≈$641k base). When AED efficacy was set to the cSDH-plausible range (no study demonstrates a significant protective effect), the ranking changed: ML-guided allocation had the highest expected net benefit once the relative-risk reduction fell to ≤0.30 or AED disutility reached ≥0.10. Crucially, the advantage of ML-guided allocation was not merely a consequence of treating fewer patients: against a no-information policy that treated the same fraction at random, the model retained a positive discrimination premium of ≈$1,000–1,600 per patient across all efficacy scenarios, confirming that the model's discrimination — not its treated fraction — created the value. ML-guided allocation also exceeded watchful observation at every efficacy value (universal AED, by contrast, fell below observation once AED efficacy approached zero, because a harmful, ineffective drug given to everyone is worse than treating no-one). The ordering was stable across the three conformal-to-action mappings and across US, UK (NICE) and Eurozone cost perspectives (Figure 5; Supplementary Appendix S6). In a value-of-information analysis recomputed under the deployable model and cSDH-grounded AED priors — to our knowledge the first applied to this question — ML-guided allocation was preferred in expectation and the population expected value of perfect information at $100k/QALY was approximately $23M over 10 years; no single parameter individually reversed the decision within its prior range, while the deterministic sensitivity analysis identified AED efficacy and AED harm as the parameters governing the universal-versus-selective comparison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shows that, for postoperative seizure after cSDH evacuation, optimising small-cohort clinical machine learning for calibration and individual-patient decision support — rather than discrimination — yields a candidate model that meets methodological preconditions for prospective clinical evaluation. Firth penalized logistic regression matches BalancedRandomForest on AUC, delivers three-fold better calibration, and supports class-conditional conformal prediction sets that confidently rule out seizure in approximately one quarter of patients at a 90% coverage guarantee. External evaluation across BIDMC and the eICU Collaborative Research Database showed low between-hospital heterogeneity on the variance-stabilising logit scale (I² = 0%); a raw-AUC sensitivity analysis gave higher estimates (I² up to ~56%), so we report the random-effects prediction interval (Appendix S7) as the more honest summary of cross-site transportability.</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consistent with a sample-size and measured-feature limit rather than an algorithmic one — whether a higher ceiling exists cannot be settled from 48 events without the imaging covariates the structured record lacks.</w:t>
      </w:r>
    </w:p>
    <w:p>
      <w:pPr>
        <w:spacing w:line="360" w:lineRule="auto" w:after="120"/>
        <w:ind w:firstLine="432"/>
        <w:jc w:val="both"/>
      </w:pPr>
      <w:r>
        <w:rPr>
          <w:rFonts w:ascii="Times New Roman" w:hAnsi="Times New Roman"/>
          <w:b w:val="0"/>
          <w:i w:val="0"/>
          <w:sz w:val="22"/>
        </w:rPr>
        <w:t>The decision-analytic integration clarifies where the calibrated model could change practice. The choice among strategies is not settled by the model alone: it depends on two cSDH-specific parameters that the evidence leaves genuinely uncertain — the efficacy of AED prophylaxis (no randomised trial exists, and pooled observational estimates, including our own, show no significant seizure reduction) and its disutility in elderly patients (falls, sedation, cognition). Under cSDH-plausible values (relative-risk reduction ≤0.30 or non-trivial disutility) ML-guided allocation had the highest expected net benefit; universal AED was preferable only under optimistic imported assumptions of strong efficacy and negligible harm, and indeed fell below watchful observation once AED efficacy approached zero (a harmful, ineffective drug given to all is worse than treating none). Importantly, the value of ML-guided allocation did not reduce to treating fewer patients: against a no-information rule treating the same fraction at random, the model retained a positive discrimination premium (≈$1,000–1,600/patient), so the gain reflects the model's discrimination rather than its treated fraction. Value-of-information recomputed under the deployable model and cSDH-grounded priors — the first applied to this question — found ML-guided allocation preferred in expectation with a modest population expected value of perfect information (~$23M over 10 years), and identified AED efficacy and AED harm as the parameters governing the universal-versus-selective choice and thus the priorities for prospective data collection.</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Relative to prior work, existing cSDH seizure studies are single-centre association analyses that report risk factors rather than a validated prediction model with discrimination metrics: Goertz and colleagues (n = 101) identified preoperative midline shift and membranectomy as independent predictors, and Hamou and colleagues (n = 349) identified depressed postoperative brain volume, but neither reported an AUC or external validation; radiomic seizure models with reported discrimination (e.g. AUC 0.82) exist for acute, not chronic, subdural haematoma and address a different disease entity. To our knowledge no externally validated, calibration-focused seizure-prediction model specific to chronic SDH has been published, which positions the present multi-database, conformal, decision-analytic approach as a methodological contribution rather than an incremental discrimination gain.</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42 eICU hospitals with low logit-scale between-site heterogeneity. Calibration-in-the-large and decision-curve net benefit are the robust calibration findings; the recalibration slope exceeds one (under-dispersed predictions), reflecting weak discrimination over a narrow probability range at 48 events. The structured electronic medical record lacks imaging features known to inform seizure risk (sulcal effacement, midline shift magnitude, density heterogeneity); future work could augment the candidate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machine-learning prediction of postoperative seizure after cSDH evacuation, paired with class-conditional conformal prediction, is feasible and meets methodological preconditions for prospective evaluation, supporting individual-patient decisions, for the minority of patients in whom the conformal procedure yields a confident prediction, with formal coverage guarantees. ML-guided allocation exceeds watchful observation; whether to allocate prophylaxis selectively with the model rather than treat all or none depends on AED efficacy and harm in cSDH, which current evidence leaves uncertain. Consistent with this, the value-of-information analysis shows the model's discrimination carries modest decision value relative to AED efficacy and per-day cEEG cost; the methodological contribution is the calibration-and-conformal decision framework, and the priority for prospective work is resolving the AED and monitoring parameters.</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external-validation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The fifteen rows comprise the eleven model classes plus four configuration variants of methods already counted (Bayesian logistic regression under two priors; stacking with and without isotonic post-calibration), not additional model classes. B — Brier score across the same models. The Firth penalized logistic regression candidate model (rust) matches the discrimination of every well-behaved alternative while delivering threefold-better calibration than BalancedRandomForest (navy), which serves only as the DeLong comparison anchor.</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212955"/>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4212955"/>
                    </a:xfrm>
                    <a:prstGeom prst="rect"/>
                  </pic:spPr>
                </pic:pic>
              </a:graphicData>
            </a:graphic>
          </wp:inline>
        </w:drawing>
      </w:r>
    </w:p>
    <w:p>
      <w:pPr>
        <w:jc w:val="left"/>
      </w:pPr>
      <w:r>
        <w:rPr>
          <w:rFonts w:ascii="Times New Roman" w:hAnsi="Times New Roman"/>
          <w:i/>
          <w:sz w:val="20"/>
        </w:rPr>
        <w:t>Figure 4.  Class-conditional conformal prediction on the deployed Firth postoperative-B model. A — Empirical class-conditional coverage near the target 1−α across α ∈ {0.05, 0.10, 0.20}. B — Rule-out and rule-in singleton fractions versus α; at α = 0.10 the procedure delivers confident decisions for 22% of patients (rule-out 11%,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