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5,376 SDH ICU stays across 139 hospitals in the eICU Collaborative Research Database (external validation).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BalancedRandomForest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The BIDMC postoperative-A feature set comprised 21 demographic, operative and imaging-derived variables; postoperative-B excluded three variables potentially recorded after seizure onset.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(Figure 2A).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This is, to our knowledge,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deployable when calibration and individual-patient decision support — not discrimination — are treated as the optimisation target. Firth penalized logistic regression matches BalancedRandomForest on AUC, delivers three-fold better calibration, and supports class-conditional conformal prediction sets that confidently rule out seizure in approximately one quarter of patients at a 90% coverage guarantee. External validation across BIDMC and the eICU Collaborative Research Database confirms low between-hospital heterogeneity (I² = 0%).</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external-validation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BalancedRandomForest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