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Supplementary Material</w:t>
      </w:r>
    </w:p>
    <w:p>
      <w:pPr>
        <w:spacing w:line="360" w:lineRule="auto" w:after="120"/>
        <w:jc w:val="center"/>
      </w:pPr>
      <w:r>
        <w:rPr>
          <w:rFonts w:ascii="Times New Roman" w:hAnsi="Times New Roman"/>
          <w:b w:val="0"/>
          <w:i/>
          <w:sz w:val="22"/>
        </w:rPr>
        <w:t>JNNP submission · supplementary appendix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Appendix S1.  TRIPOD-AI reporting checklist</w:t>
      </w:r>
    </w:p>
    <w:p>
      <w:r>
        <w:rPr>
          <w:rFonts w:ascii="Times New Roman" w:hAnsi="Times New Roman"/>
          <w:b/>
          <w:sz w:val="22"/>
        </w:rPr>
        <w:t>TRIPOD-AI checklist (Collins et al. BMJ 2024).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Item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Topic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Description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Reported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Title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Identifies study as developing or evaluating an ML prediction model.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Abstract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Structured summary with sample size, outcome, performance metric.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3a–b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Background and objectives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Rationale, intended use, target population.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Introduction §1.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4–6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Source of data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Two databases (BIDMC, eICU); eligibility criteria. NIS analysis attempted but excluded — see Appendix S4.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§2.2.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Defined a priori; chart-documented seizure (BIDMC); structured seizure flag (eICU).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§2.3.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Predictors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21 features (postop_A); 18 (postop_B); standardisation.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§2.3.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Sample size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655 (BIDMC, 48 events); 3,297 (eICU primary, 300 events).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§2.2.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Missing data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Median imputation + missing indicator (sensitivity)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Supplement S4.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Statistical methods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11-method battery; repeated stratified CV; bootstrap.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§2.5.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Risk groups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Class-conditional conformal sets (rule-out, rule-in).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Results §3.4.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Development vs validation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BIDMC development; eICU external; LOHO meta-analytic pooling.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Results §3.1.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Model performance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AUC, Brier, calibration slope/intercept, net benefit.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Results §3.1–3.3.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Model presentation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Firth coefficient table released on GitHub.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see code repo.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Limitations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Single-institution dev; admin outcomes; ceiling at 48 events.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Discussion §4.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Interpretation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Proof-of-concept; calibration &amp; conformal deployment; CEA + VOI.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Discussion §4.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18–22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Reproducibility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Code, seed, package versions on GitHub.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Appendix S2.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Appendix S2.  Reproducibility statement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All scripts are released at github.com/nielspac177/csdh-postop-seizure-risk under a permissive license. Computational environment: Python 3.9.6, scikit-learn 1.5.2, pandas 2.3.3, lifelines 0.30.0, XGBoost 2.1.4, LightGBM 4.6.0, firthlogist 0.5.0, mapie 1.4.0, imbalanced-learn 0.12.4, python-docx 1.2.0. All analyses used n_jobs = 1 for Apple-Silicon stability and SEED = 42 for reproducibility. The commit hash of the analyses corresponding to this manuscript is tagged v1.0-submission.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Raw patient data are restricted by IRB / data-use agreements. The following derived assets are released: (a) the 21-variable BIDMC feature schema with categorical encoders; (b) the CEA decision-tree Python implementation and parameter file; and (c) Firth coefficient estimates with confidence intervals. The NIS ICD-10 reclassification codeset that motivated the exclusion (see Appendix S4) is also released alongside the codebase for replication.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Appendix S3.  Feature dictionary for the BIDMC postoperative-A and postoperative-B sets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The 21 variables that constitute the BIDMC postoperative-A feature set are listed below. The leakage-safe postoperative-B set excludes the three variables marked with † (timing of antiepileptic drug administration, prophylactic antiepileptic drug use, and abnormal electroencephalography findings) because they could in principle be charted after seizure onset.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Variable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Type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sex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binary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Sex (1 = male)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age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Age at index admission, years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blood_type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ordinal (0–8)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ABO + Rh blood group, ordinal-encoded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sdh_type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categorical (0–3)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Subdural haematoma classification: chronic / acute / mixed / unknown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sdh_thickness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continuous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Maximum hematoma thickness, mm (imaging)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csdh_size_change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ordinal (−1/0/+1)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Pre→post hematoma size change (smaller / equal / larger)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mid_shift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continuous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Midline shift, mm (imaging)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hematoma_lat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categorical (1–3)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Laterality — left / right / bilateral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collection_density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categorical (0–3)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Hounsfield density classification — hypo / iso / hyper / mixed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preop_gcs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integer (3–15)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Preoperative Glasgow Coma Scale total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epilepsy_hx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binary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Prior history of epilepsy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num_prev_sdh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Number of previous SDH episodes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demographic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categorical (0–4)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Demographic stratum (institutional encoding)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procedures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categorical (0–4)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Procedure-class encoding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surg_decompression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binary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Decompressive craniectomy performed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mma_embo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binary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Middle meningeal artery embolisation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drainage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binary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Subdural drain placed at evacuation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postop_gcs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integer (3–15)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OR-exit Glasgow Coma Scale total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aed_timing_recoded †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categorical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When the antiepileptic drug was administered (pre/post/not given) — leakage-suspect; excluded from postop-B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prop_aed †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binary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Prophylactic antiepileptic drug administered — leakage-suspect; excluded from postop-B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ab_eeg †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binary (0/1)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Abnormal electroencephalography findings documented during admission — leakage-suspect; excluded from postop-B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† Excluded from postoperative-B (the leakage-safe sensitivity feature set, n = 18 variables). The comparison of postop-A (AUC 0.681, 95% CI 0.609–0.753) against postop-B (AUC 0.645, 95% CI 0.562–0.729) is reported in Results §3.2 and Figure 1A as the temporal-leakage robustness check; the modest AUC drop (≈0.04) is well within the Bernoulli sampling-noise floor at n = 48 events (±0.06 at AUC = 0.70; Hanley &amp; McNeil 1982), indicating the primary discrimination signal is not driven by post-event information.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Appendix S4.  Nationwide Inpatient Sample (NIS) — excluded from the primary analysis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A preliminary analysis attempted to extend external validation to the HCUP Nationwide Inpatient Sample (NIS, 2016–2019), restricted to admissions with chronic-SDH coding and a craniotomy or burr-hole procedure in the same admission (n = 2,518). On methodological review the cohort was excluded from the primary analysis because the available administrative coding for the postoperative-seizure outcome is unreliable in this setting.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Two coding limitations drive the exclusion. First, the ICD-10-CM code families historically used for postoperative seizure in NIS analyses combine acute symptomatic seizure codes (R56.x, 780.39, G41.x) with codes for pre-existing epilepsy (G40.x, 345.x). The two phenotypes are mechanistically distinct: acute symptomatic seizure is the in-admission event of interest, while pre-existing epilepsy reflects chronic disease coded for billing on every admission. Conflating them inflates the apparent population seizure signal and produces an outcome variable that does not match the BIDMC/eICU phenotype. Second, NIS does not carry a structured timestamp on the seizure code, so we cannot distinguish in-admission events from prevalent epilepsy after the procedure date. Together these properties make NIS incompatible with the chart-documented (BIDMC) and timestamped structured-flag (eICU) outcome ascertainment used in the primary analysis.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Supplementary Figure S5 illustrates the empirical effect: discrimination on the originally-reported combined outcome (AUC 0.617) collapses to chance (AUC 0.498) when the outcome is restricted to acute symptomatic seizure alone. Supplementary Figure S7 shows that group-LASSO under the corrected outcome selects no stable predictors. We release the cleaned ICD-10 codeset alongside the codebase (see Appendix S2) so that future nationwide analyses with timestamped coding can re-attempt this validation step on a coding substrate that supports it.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Supplementary Tables</w:t>
      </w:r>
    </w:p>
    <w:p>
      <w:r>
        <w:rPr>
          <w:rFonts w:ascii="Times New Roman" w:hAnsi="Times New Roman"/>
          <w:b/>
          <w:sz w:val="22"/>
        </w:rPr>
        <w:t>Table S1.  Eleven-method modelling battery — full numeric results.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feature_set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method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auc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ci_hi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prauc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nb_5pct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nb_10pct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BalancedRF (baseline)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-0.030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RF + class_weight='balanced'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0.690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Borderline-SMOTE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SVM-SMOTE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ADASYN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0.610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0.006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SMOTEENN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0.613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SMOTETomek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scale_pos_weight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0.542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focal loss (γ=2)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0.533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0.428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0.641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0.113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BalancedRF (baseline)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0.658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0.568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0.142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-0.030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RF + class_weight='balanced'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Borderline-SMOTE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0.749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SVM-SMOTE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ADASYN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SMOTEENN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SMOTETomek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scale_pos_weight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0.624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0.536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0.126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focal loss (γ=2)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0.431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S2.  eICU cohort definition sensitivity with bootstrap 95% CIs.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cohort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set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events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auc_mean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auc_sd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ci_lo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ci_hi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1: paper (non_traumatic)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3297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0.708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0.036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0.690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0.754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1: paper (non_traumatic)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3297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0.750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0.036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0.711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0.774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2: non_traumatic + op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317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0.670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0.100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0.571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0.785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2: non_traumatic + op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317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0.575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0.101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0.409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0.656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3: apache dx surgery/burr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527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0.609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0.131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0.516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0.710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3: apache dx surgery/burr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527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0.613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0.092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0.510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0.711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4: traumatic SDH (control)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1853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149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0.671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0.044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0.640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0.728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4: traumatic SDH (control)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1853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149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0.725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0.036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0.681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0.765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S3.  Calibration metrics with bootstrap 95% CIs across all six cohort-model combinations.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model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events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brier_hi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citl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citl_lo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citl_hi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bidmc_postopA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655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0.237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0.394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-0.415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-0.374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bidmc_postopB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655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0.199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0.182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0.217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0.298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-0.322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-0.273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bidmc_preop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655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0.065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0.095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-0.051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eicu_setA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5369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0.098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-0.112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-0.096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eicu_setC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5369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0.066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eicu_pure_setC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3255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-0.008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S4.  Cost-effectiveness analysis — PSA summary at WTP $50k, $100k, $150k.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scenario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comparison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wtp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dc_mean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dc_lo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dc_hi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dq_mean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dq_lo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dq_hi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-370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-1,425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977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-370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-1,425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977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-370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-1,425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977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-1,378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-5,352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2,155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0.058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-1,378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-5,352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2,155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0.058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-1,378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-5,352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2,155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0.058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-2,805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3,391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-2,805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3,391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-2,805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3,391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mlg_mla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514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-1,880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3,227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mlg_mla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514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-1,880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3,227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mlg_mla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514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-1,880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3,227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aed_obs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-1,522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1,004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aed_obs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-1,522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1,004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aed_obs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-1,522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1,004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0.048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S5.  Per-parameter EVPPI ranking at WTP $100,000/QALY.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column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evppi_per_patient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evppi_population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cEEG monitoring/day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c_ceeg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195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68,687,999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Seizure prevalence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p_sz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127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44,804,411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AED relative risk reduction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rrr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95.550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33,580,438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ML model sensitivity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sens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30.536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10,731,775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AED adverse events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c_aed_a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16.591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5,830,973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ML model specificity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spec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1.437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505,151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P(clinical detection)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pd_clin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1.038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364,964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late status epilepticus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c_se_l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0.661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232,364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QALY decrement per seizure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u_dec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P(cEEG detection)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pd_ceeg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early status epilepticus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c_se_e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P(status epilepticus | seizure)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p_se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annual epilepsy care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c_epi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738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oho_forest_full_Set_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8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S1.  Per-hospital leave-one-hospital-out forest plot (eICU Set C, full cohort, 42 hospitals).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744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oho_forest_full_Set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4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S2.  Per-hospital leave-one-hospital-out forest plot (eICU Set A, full cohort).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038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c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S3.  Temporal-leakage audit — AUC across feature specifications and time-window cuts.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475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issing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7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S4.  Missingness pattern and Rubin's-rules multiple-imputation pooling.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659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nis_outcome_au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5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S5.  Nationwide Inpatient Sample outcome reclassification — AUC under original combined outcome (0.617) vs corrected acute symptomatic outcome (0.498).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516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umulative_incid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S6.  Competing-risks cumulative-incidence functions and cause-specific Cox / IPCW Fine–Gray comparison.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530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nis_grouped_lass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S7.  λ-path-tuned group-LASSO and sparse-group-LASSO on the NIS chronic+surgical cohort with the corrected outcome.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