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Postoperative seizure after chronic subdural haematoma evacuation: a calibration-focused, conformal-prediction proof-of-concept with value-of-information analysis</w:t>
      </w:r>
    </w:p>
    <w:p>
      <w:pPr>
        <w:spacing w:line="360" w:lineRule="auto" w:after="120"/>
        <w:jc w:val="both"/>
      </w:pPr>
      <w:r>
        <w:rPr>
          <w:rFonts w:ascii="Times New Roman" w:hAnsi="Times New Roman"/>
          <w:b w:val="0"/>
          <w:i w:val="0"/>
          <w:sz w:val="22"/>
        </w:rPr>
      </w:r>
    </w:p>
    <w:p>
      <w:pPr>
        <w:spacing w:line="360" w:lineRule="auto" w:after="120"/>
        <w:jc w:val="center"/>
      </w:pPr>
      <w:r>
        <w:rPr>
          <w:rFonts w:ascii="Times New Roman" w:hAnsi="Times New Roman"/>
          <w:b w:val="0"/>
          <w:i w:val="0"/>
          <w:sz w:val="24"/>
        </w:rPr>
        <w:t>Niels Pacheco-Barrios MD</w:t>
      </w:r>
    </w:p>
    <w:p>
      <w:pPr>
        <w:spacing w:line="360" w:lineRule="auto" w:after="120"/>
        <w:jc w:val="center"/>
      </w:pPr>
      <w:r>
        <w:rPr>
          <w:rFonts w:ascii="Times New Roman" w:hAnsi="Times New Roman"/>
          <w:b w:val="0"/>
          <w:i/>
          <w:sz w:val="20"/>
        </w:rPr>
        <w:t>Department of Neurosurgery, Beth Israel Deaconess Medical Center, Harvard Medical School, Boston, MA, USA</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Correspondence: Niels Pacheco-Barrios MD · Department of Neurosurgery, BIDMC, 330 Brookline Ave, Boston MA 02215, USA · nielspacheco1997@gmail.com</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Manuscript type: Original Research (proof of concept)</w:t>
      </w:r>
    </w:p>
    <w:p>
      <w:pPr>
        <w:spacing w:line="360" w:lineRule="auto" w:after="120"/>
        <w:jc w:val="both"/>
      </w:pPr>
      <w:r>
        <w:rPr>
          <w:rFonts w:ascii="Times New Roman" w:hAnsi="Times New Roman"/>
          <w:b w:val="0"/>
          <w:i w:val="0"/>
          <w:sz w:val="20"/>
        </w:rPr>
        <w:t>Word count, abstract: 249 · main text: ~3,400 · Figures: 6 · Tables: 1 · Supplementary: yes · References: 40</w:t>
      </w:r>
    </w:p>
    <w:p>
      <w:pPr>
        <w:spacing w:line="360" w:lineRule="auto" w:after="120"/>
        <w:jc w:val="both"/>
      </w:pPr>
      <w:r>
        <w:rPr>
          <w:rFonts w:ascii="Times New Roman" w:hAnsi="Times New Roman"/>
          <w:b/>
          <w:i w:val="0"/>
          <w:sz w:val="22"/>
        </w:rPr>
        <w:t xml:space="preserve">Keywords: </w:t>
      </w:r>
      <w:r>
        <w:rPr>
          <w:rFonts w:ascii="Times New Roman" w:hAnsi="Times New Roman"/>
          <w:b w:val="0"/>
          <w:i w:val="0"/>
          <w:sz w:val="22"/>
        </w:rPr>
        <w:t>chronic subdural haematoma; postoperative seizure; clinical prediction model; conformal prediction; cost-effectiveness and value-of-information analysis</w:t>
      </w:r>
    </w:p>
    <w:p>
      <w:pPr>
        <w:spacing w:line="360" w:lineRule="auto" w:after="120"/>
        <w:jc w:val="both"/>
      </w:pPr>
      <w:r>
        <w:rPr>
          <w:rFonts w:ascii="Times New Roman" w:hAnsi="Times New Roman"/>
          <w:b w:val="0"/>
          <w:i w:val="0"/>
          <w:sz w:val="20"/>
        </w:rPr>
        <w:t>Reporting: TRIPOD-AI (checklist in Supplementary Appendix S1).</w:t>
      </w:r>
    </w:p>
    <w:p>
      <w:pPr>
        <w:spacing w:line="360" w:lineRule="auto" w:after="120"/>
        <w:jc w:val="both"/>
      </w:pPr>
      <w:r>
        <w:rPr>
          <w:rFonts w:ascii="Times New Roman" w:hAnsi="Times New Roman"/>
          <w:b w:val="0"/>
          <w:i w:val="0"/>
          <w:sz w:val="20"/>
        </w:rPr>
        <w:t>Code and data availability:  The analysis code, six main figures, eight supplementary figures, the TRIPOD-AI reporting checklist (Supplementary Appendix S1), the reproducibility appendix (Supplementary Appendix S2) and the BIDMC feature dictionary (Supplementary Appendix S3) are openly available at github.com/nielspac177/csdh-postop-seizure-risk and permanently archived on Zenodo (DOI: [pending, minted at manuscript submission via the GitHub–Zenodo integration]). An interactive companion site at nielspac177.github.io/csdh-postop-seizure-risk provides a calibrated patient-level risk calculator, a population cost-savings tool, and an interactive code callgraph; all computation runs client-side in the browser so that no patient information is transmitted. Raw patient-level data are restricted by the BIDMC Institutional Review Board and the eICU Collaborative Research Database data-use agreement; filtered, de-identified working subsets are released to authorised peer reviewers via the reviewer-access protocol documented at github.com/nielspac177/csdh-postop-seizure-risk/tree/reviewer-access-template.</w:t>
      </w:r>
    </w:p>
    <w:p>
      <w:pPr>
        <w:spacing w:line="360" w:lineRule="auto" w:after="120"/>
        <w:jc w:val="both"/>
      </w:pPr>
      <w:r>
        <w:rPr>
          <w:rFonts w:ascii="Times New Roman" w:hAnsi="Times New Roman"/>
          <w:b w:val="0"/>
          <w:i w:val="0"/>
          <w:sz w:val="20"/>
        </w:rPr>
        <w:t>Funding: This study received no specific grant from any funding agency in the public, commercial or not-for-profit sectors.</w:t>
      </w:r>
    </w:p>
    <w:p>
      <w:pPr>
        <w:spacing w:line="360" w:lineRule="auto" w:after="120"/>
        <w:jc w:val="both"/>
      </w:pPr>
      <w:r>
        <w:rPr>
          <w:rFonts w:ascii="Times New Roman" w:hAnsi="Times New Roman"/>
          <w:b w:val="0"/>
          <w:i w:val="0"/>
          <w:sz w:val="20"/>
        </w:rPr>
        <w:t>Conflicts of interest: None declared.</w:t>
      </w:r>
    </w:p>
    <w:p>
      <w:pPr>
        <w:spacing w:line="360" w:lineRule="auto" w:after="120"/>
        <w:jc w:val="both"/>
      </w:pPr>
      <w:r>
        <w:rPr>
          <w:rFonts w:ascii="Times New Roman" w:hAnsi="Times New Roman"/>
          <w:b w:val="0"/>
          <w:i w:val="0"/>
          <w:sz w:val="20"/>
        </w:rPr>
        <w:t>Author contributions: N.P.-B. is the sole author and was responsible for study conception and design, data curation, analysis, interpretation, and drafting and revising the manuscript.</w:t>
      </w:r>
    </w:p>
    <w:p>
      <w:pPr>
        <w:spacing w:line="360" w:lineRule="auto" w:after="120"/>
        <w:jc w:val="both"/>
      </w:pPr>
      <w:r>
        <w:rPr>
          <w:rFonts w:ascii="Times New Roman" w:hAnsi="Times New Roman"/>
          <w:b w:val="0"/>
          <w:i w:val="0"/>
          <w:sz w:val="20"/>
        </w:rPr>
        <w:t>Ethics: Approved by the Beth Israel Deaconess Medical Center Institutional Review Board (Protocol [IRB number to be inserted]); the eICU Collaborative Research Database v2.0 was accessed under its data-use agreement.</w:t>
      </w:r>
    </w:p>
    <w:p>
      <w:pPr>
        <w:spacing w:line="360" w:lineRule="auto" w:after="120"/>
        <w:jc w:val="both"/>
      </w:pPr>
      <w:r>
        <w:rPr>
          <w:rFonts w:ascii="Times New Roman" w:hAnsi="Times New Roman"/>
          <w:b w:val="0"/>
          <w:i w:val="0"/>
          <w:sz w:val="20"/>
        </w:rPr>
        <w:t>Data availability: Analysis code, figures, the TRIPOD-AI checklist and aggregate results are openly available at github.com/nielspac177/csdh-postop-seizure-risk and archived on Zenodo (DOI to be minted at acceptance). Patient-level data are restricted by the BIDMC IRB and the eICU data-use agreement; filtered de-identified subsets are available to authorised reviewers via the documented reviewer-access protocol.</w:t>
      </w:r>
    </w:p>
    <w:p>
      <w:r>
        <w:br w:type="page"/>
      </w:r>
    </w:p>
    <w:p>
      <w:pPr>
        <w:pStyle w:val="Heading1"/>
      </w:pPr>
      <w:r>
        <w:rPr>
          <w:rFonts w:ascii="Times New Roman" w:hAnsi="Times New Roman"/>
          <w:color w:val="141F3A"/>
        </w:rPr>
        <w:t>Abstract</w:t>
      </w:r>
    </w:p>
    <w:p>
      <w:pPr>
        <w:spacing w:line="360" w:lineRule="auto" w:after="120"/>
        <w:jc w:val="both"/>
      </w:pPr>
      <w:r>
        <w:rPr>
          <w:rFonts w:ascii="Times New Roman" w:hAnsi="Times New Roman"/>
          <w:b/>
          <w:i w:val="0"/>
          <w:sz w:val="22"/>
        </w:rPr>
        <w:t xml:space="preserve">Background. </w:t>
      </w:r>
      <w:r>
        <w:rPr>
          <w:rFonts w:ascii="Times New Roman" w:hAnsi="Times New Roman"/>
          <w:b w:val="0"/>
          <w:i w:val="0"/>
          <w:sz w:val="22"/>
        </w:rPr>
        <w:t>Postoperative seizure complicates 7–12% of chronic subdural haematoma (cSDH) evacuations, yet routine antiepileptic drug (AED) prophylaxis carries fall, cognitive and drug-interaction harms and has unproven efficacy after cSDH. Calibrated risk stratification is needed to guide treatment.</w:t>
      </w:r>
    </w:p>
    <w:p>
      <w:pPr>
        <w:spacing w:line="360" w:lineRule="auto" w:after="120"/>
        <w:jc w:val="both"/>
      </w:pPr>
      <w:r>
        <w:rPr>
          <w:rFonts w:ascii="Times New Roman" w:hAnsi="Times New Roman"/>
          <w:b/>
          <w:i w:val="0"/>
          <w:sz w:val="22"/>
        </w:rPr>
        <w:t xml:space="preserve">Methods. </w:t>
      </w:r>
      <w:r>
        <w:rPr>
          <w:rFonts w:ascii="Times New Roman" w:hAnsi="Times New Roman"/>
          <w:b w:val="0"/>
          <w:i w:val="0"/>
          <w:sz w:val="22"/>
        </w:rPr>
        <w:t>We developed and externally evaluated a seizure risk score in 655 cSDH evacuations at a single centre (48 events) and 3,297 non-traumatic subdural ICU stays across 42 hospitals in the eICU database (related population; 300 seizures). Eleven model classes were compared; class-conditional (Mondrian) conformal prediction supplied individual decision sets; and a probabilistic cost-effectiveness and value-of-information analysis used 10,000 iterations.</w:t>
      </w:r>
    </w:p>
    <w:p>
      <w:pPr>
        <w:spacing w:line="360" w:lineRule="auto" w:after="120"/>
        <w:jc w:val="both"/>
      </w:pPr>
      <w:r>
        <w:rPr>
          <w:rFonts w:ascii="Times New Roman" w:hAnsi="Times New Roman"/>
          <w:b/>
          <w:i w:val="0"/>
          <w:sz w:val="22"/>
        </w:rPr>
        <w:t xml:space="preserve">Results. </w:t>
      </w:r>
      <w:r>
        <w:rPr>
          <w:rFonts w:ascii="Times New Roman" w:hAnsi="Times New Roman"/>
          <w:b w:val="0"/>
          <w:i w:val="0"/>
          <w:sz w:val="22"/>
        </w:rPr>
        <w:t>Firth penalized logistic regression, fit on a leakage-safe 18-variable set available before the AED/EEG decision, was the candidate model (AUC 0.645); a leakier postoperative-A set reached 0.681 but is not deployable. Firth matched BalancedRandomForest discrimination (DeLong p = 0.81) but calibrated markedly better (Brier 0.068 vs 0.228). External AUC was 0.750 (pooled 0.684 across 42 hospitals). Conformal prediction (α=0.10) gave singleton predictions in 22% of patients (11% rule-out, 11% rule-in). ML-guided AED allocation beat observation and, at a matched treated fraction, beat random allocation (≈$1,000–1,600/patient), and was preferred to universal AED under cSDH-plausible efficacy. Population value of information was ≈$23M over 10 years.</w:t>
      </w:r>
    </w:p>
    <w:p>
      <w:pPr>
        <w:spacing w:line="360" w:lineRule="auto" w:after="120"/>
        <w:jc w:val="both"/>
      </w:pPr>
      <w:r>
        <w:rPr>
          <w:rFonts w:ascii="Times New Roman" w:hAnsi="Times New Roman"/>
          <w:b/>
          <w:i w:val="0"/>
          <w:sz w:val="22"/>
        </w:rPr>
        <w:t xml:space="preserve">Conclusions. </w:t>
      </w:r>
      <w:r>
        <w:rPr>
          <w:rFonts w:ascii="Times New Roman" w:hAnsi="Times New Roman"/>
          <w:b w:val="0"/>
          <w:i w:val="0"/>
          <w:sz w:val="22"/>
        </w:rPr>
        <w:t>For postoperative seizure after cSDH evacuation, optimising small-cohort machine learning for calibration and decision support rather than discrimination yields a candidate model ready for prospective evaluation. Whether ML-guided AED prophylaxis beats treating all or none hinges on AED efficacy and harm in cSDH, which value-of-information prioritises resolving.</w:t>
      </w:r>
    </w:p>
    <w:p>
      <w:r>
        <w:br w:type="page"/>
      </w:r>
    </w:p>
    <w:p>
      <w:pPr>
        <w:pStyle w:val="Heading1"/>
      </w:pPr>
      <w:r>
        <w:rPr>
          <w:rFonts w:ascii="Times New Roman" w:hAnsi="Times New Roman"/>
          <w:color w:val="141F3A"/>
        </w:rPr>
        <w:t>Key messages</w:t>
      </w:r>
    </w:p>
    <w:p>
      <w:pPr>
        <w:spacing w:line="360" w:lineRule="auto" w:after="120"/>
        <w:jc w:val="both"/>
      </w:pPr>
      <w:r>
        <w:rPr>
          <w:rFonts w:ascii="Times New Roman" w:hAnsi="Times New Roman"/>
          <w:b/>
          <w:i w:val="0"/>
          <w:sz w:val="22"/>
        </w:rPr>
        <w:t xml:space="preserve">What is already known on this topic. </w:t>
      </w:r>
      <w:r>
        <w:rPr>
          <w:rFonts w:ascii="Times New Roman" w:hAnsi="Times New Roman"/>
          <w:b w:val="0"/>
          <w:i w:val="0"/>
          <w:sz w:val="22"/>
        </w:rPr>
        <w:t>Postoperative seizure is a common and consequential complication of cSDH evacuation, but whether to give antiepileptic prophylaxis is unresolved; prior machine-learning models were single-centre, reported discrimination only, and offered no calibration, external validation or decision support.</w:t>
      </w:r>
    </w:p>
    <w:p>
      <w:pPr>
        <w:spacing w:line="360" w:lineRule="auto" w:after="120"/>
        <w:jc w:val="both"/>
      </w:pPr>
      <w:r>
        <w:rPr>
          <w:rFonts w:ascii="Times New Roman" w:hAnsi="Times New Roman"/>
          <w:b/>
          <w:i w:val="0"/>
          <w:sz w:val="22"/>
        </w:rPr>
        <w:t xml:space="preserve">What this study adds. </w:t>
      </w:r>
      <w:r>
        <w:rPr>
          <w:rFonts w:ascii="Times New Roman" w:hAnsi="Times New Roman"/>
          <w:b w:val="0"/>
          <w:i w:val="0"/>
          <w:sz w:val="22"/>
        </w:rPr>
        <w:t>Optimising a small-cohort model for calibration rather than discrimination produced a parametric, leakage-safe candidate score that is well calibrated and, wrapped in class-conditional conformal prediction, returns a confident rule-in or rule-out in about a fifth of patients. A probabilistic cost-effectiveness and value-of-information analysis shows model-guided AED allocation adds value beyond the treated fraction and is preferred to treating all under cSDH-plausible efficacy.</w:t>
      </w:r>
    </w:p>
    <w:p>
      <w:pPr>
        <w:spacing w:line="360" w:lineRule="auto" w:after="120"/>
        <w:jc w:val="both"/>
      </w:pPr>
      <w:r>
        <w:rPr>
          <w:rFonts w:ascii="Times New Roman" w:hAnsi="Times New Roman"/>
          <w:b/>
          <w:i w:val="0"/>
          <w:sz w:val="22"/>
        </w:rPr>
        <w:t xml:space="preserve">How this study might affect research, practice or policy. </w:t>
      </w:r>
      <w:r>
        <w:rPr>
          <w:rFonts w:ascii="Times New Roman" w:hAnsi="Times New Roman"/>
          <w:b w:val="0"/>
          <w:i w:val="0"/>
          <w:sz w:val="22"/>
        </w:rPr>
        <w:t>The model meets methodological preconditions for prospective evaluation and provides an explicit "do-not-know" signal for bedside use; the dominant remaining uncertainty is AED efficacy and harm in cSDH, which value-of-information identifies as the priority for future trials.</w:t>
      </w:r>
    </w:p>
    <w:p>
      <w:r>
        <w:br w:type="page"/>
      </w:r>
    </w:p>
    <w:p>
      <w:pPr>
        <w:pStyle w:val="Heading1"/>
      </w:pPr>
      <w:r>
        <w:rPr>
          <w:rFonts w:ascii="Times New Roman" w:hAnsi="Times New Roman"/>
          <w:color w:val="141F3A"/>
        </w:rPr>
        <w:t>Introduction</w:t>
      </w:r>
    </w:p>
    <w:p>
      <w:pPr>
        <w:spacing w:line="360" w:lineRule="auto" w:after="120"/>
        <w:ind w:firstLine="432"/>
        <w:jc w:val="both"/>
      </w:pPr>
      <w:r>
        <w:rPr>
          <w:rFonts w:ascii="Times New Roman" w:hAnsi="Times New Roman"/>
          <w:b w:val="0"/>
          <w:i w:val="0"/>
          <w:sz w:val="22"/>
        </w:rPr>
        <w:t>Chronic subdural haematoma (cSDH) is one of the most common neurosurgical conditions in older adults, with an annual operative incidence approaching 40,000 cases in the United States and increasing in parallel with population ageing and anticoagulant use.</w:t>
      </w:r>
      <w:r>
        <w:rPr>
          <w:rFonts w:ascii="Times New Roman" w:hAnsi="Times New Roman"/>
          <w:b w:val="0"/>
          <w:i w:val="0"/>
          <w:sz w:val="22"/>
          <w:vertAlign w:val="superscript"/>
        </w:rPr>
        <w:t>¹⁻³</w:t>
      </w:r>
      <w:r>
        <w:rPr>
          <w:rFonts w:ascii="Times New Roman" w:hAnsi="Times New Roman"/>
          <w:b w:val="0"/>
          <w:i w:val="0"/>
          <w:sz w:val="22"/>
        </w:rPr>
        <w:t xml:space="preserve"> Postoperative seizure complicates 7–12% of cSDH evacuations and is independently associated with prolonged intensive-care stay, 30-day mortality, and lower functional independence at follow-up.</w:t>
      </w:r>
      <w:r>
        <w:rPr>
          <w:rFonts w:ascii="Times New Roman" w:hAnsi="Times New Roman"/>
          <w:b w:val="0"/>
          <w:i w:val="0"/>
          <w:sz w:val="22"/>
          <w:vertAlign w:val="superscript"/>
        </w:rPr>
        <w:t>⁴⁻⁶</w:t>
      </w:r>
    </w:p>
    <w:p>
      <w:pPr>
        <w:spacing w:line="360" w:lineRule="auto" w:after="120"/>
        <w:ind w:firstLine="432"/>
        <w:jc w:val="both"/>
      </w:pPr>
      <w:r>
        <w:rPr>
          <w:rFonts w:ascii="Times New Roman" w:hAnsi="Times New Roman"/>
          <w:b w:val="0"/>
          <w:i w:val="0"/>
          <w:sz w:val="22"/>
        </w:rPr>
        <w:t>Routine prophylactic antiepileptic drug (AED) administration is controversial. Levetiracetam, the most commonly used agent, carries specific harms in the elderly: neuropsychiatric adverse events in roughly 15–20% of users, somnolence in approximately 28%, and a relative risk of falls of 1.6–1.8.</w:t>
      </w:r>
      <w:r>
        <w:rPr>
          <w:rFonts w:ascii="Times New Roman" w:hAnsi="Times New Roman"/>
          <w:b w:val="0"/>
          <w:i w:val="0"/>
          <w:sz w:val="22"/>
          <w:vertAlign w:val="superscript"/>
        </w:rPr>
        <w:t>⁷⁻¹⁰</w:t>
      </w:r>
      <w:r>
        <w:rPr>
          <w:rFonts w:ascii="Times New Roman" w:hAnsi="Times New Roman"/>
          <w:b w:val="0"/>
          <w:i w:val="0"/>
          <w:sz w:val="22"/>
        </w:rPr>
        <w:t xml:space="preserve"> Continuous electroencephalography (cEEG) provides the alternative of selective treatment, and point-of-care devices (Ceribell) have lowered per-use costs by approximately $5,600 relative to conventional cEEG.</w:t>
      </w:r>
      <w:r>
        <w:rPr>
          <w:rFonts w:ascii="Times New Roman" w:hAnsi="Times New Roman"/>
          <w:b w:val="0"/>
          <w:i w:val="0"/>
          <w:sz w:val="22"/>
          <w:vertAlign w:val="superscript"/>
        </w:rPr>
        <w:t>¹¹⁻¹³</w:t>
      </w:r>
      <w:r>
        <w:rPr>
          <w:rFonts w:ascii="Times New Roman" w:hAnsi="Times New Roman"/>
          <w:b w:val="0"/>
          <w:i w:val="0"/>
          <w:sz w:val="22"/>
        </w:rPr>
        <w:t xml:space="preserve"> Choosing between strategies for each patient requires calibrated risk stratification, which is currently empirical.</w:t>
      </w:r>
    </w:p>
    <w:p>
      <w:pPr>
        <w:spacing w:line="360" w:lineRule="auto" w:after="120"/>
        <w:ind w:firstLine="432"/>
        <w:jc w:val="both"/>
      </w:pPr>
      <w:r>
        <w:rPr>
          <w:rFonts w:ascii="Times New Roman" w:hAnsi="Times New Roman"/>
          <w:b w:val="0"/>
          <w:i w:val="0"/>
          <w:sz w:val="22"/>
        </w:rPr>
        <w:t>Previous machine-learning attempts in this space have reported discrimination metrics on small single-centre cohorts without external validation, calibration assessment, decision-analytic framing, or formal uncertainty quantification.</w:t>
      </w:r>
      <w:r>
        <w:rPr>
          <w:rFonts w:ascii="Times New Roman" w:hAnsi="Times New Roman"/>
          <w:b w:val="0"/>
          <w:i w:val="0"/>
          <w:sz w:val="22"/>
          <w:vertAlign w:val="superscript"/>
        </w:rPr>
        <w:t>¹⁴⁻¹⁶</w:t>
      </w:r>
      <w:r>
        <w:rPr>
          <w:rFonts w:ascii="Times New Roman" w:hAnsi="Times New Roman"/>
          <w:b w:val="0"/>
          <w:i w:val="0"/>
          <w:sz w:val="22"/>
        </w:rPr>
        <w:t xml:space="preserve"> Contemporary meta-evidence shows that class-imbalance corrections do not raise the area under the receiver-operating-characteristic curve (AUC) in clinical risk models and can degrade calibration,</w:t>
      </w:r>
      <w:r>
        <w:rPr>
          <w:rFonts w:ascii="Times New Roman" w:hAnsi="Times New Roman"/>
          <w:b w:val="0"/>
          <w:i w:val="0"/>
          <w:sz w:val="22"/>
          <w:vertAlign w:val="superscript"/>
        </w:rPr>
        <w:t>¹⁷⁻¹⁹</w:t>
      </w:r>
      <w:r>
        <w:rPr>
          <w:rFonts w:ascii="Times New Roman" w:hAnsi="Times New Roman"/>
          <w:b w:val="0"/>
          <w:i w:val="0"/>
          <w:sz w:val="22"/>
        </w:rPr>
        <w:t xml:space="preserve"> and tabular foundation models have shown limited gains in head-to-head clinical benchmarks.</w:t>
      </w:r>
      <w:r>
        <w:rPr>
          <w:rFonts w:ascii="Times New Roman" w:hAnsi="Times New Roman"/>
          <w:b w:val="0"/>
          <w:i w:val="0"/>
          <w:sz w:val="22"/>
          <w:vertAlign w:val="superscript"/>
        </w:rPr>
        <w:t>²⁰,²¹</w:t>
      </w:r>
      <w:r>
        <w:rPr>
          <w:rFonts w:ascii="Times New Roman" w:hAnsi="Times New Roman"/>
          <w:b w:val="0"/>
          <w:i w:val="0"/>
          <w:sz w:val="22"/>
        </w:rPr>
        <w:t xml:space="preserve"> The implication is that for small clinical cohorts the right optimisation target is not discrimination but calibration and individual-patient decision support.</w:t>
      </w:r>
    </w:p>
    <w:p>
      <w:pPr>
        <w:spacing w:line="360" w:lineRule="auto" w:after="120"/>
        <w:ind w:firstLine="432"/>
        <w:jc w:val="both"/>
      </w:pPr>
      <w:r>
        <w:rPr>
          <w:rFonts w:ascii="Times New Roman" w:hAnsi="Times New Roman"/>
          <w:b w:val="0"/>
          <w:i w:val="0"/>
          <w:sz w:val="22"/>
        </w:rPr>
        <w:t>We undertook a proof-of-concept study to develop and externally validate a calibrated, parametric risk score, computable at the intended decision point, for postoperative seizure after cSDH evacuation. The work integrates (i) an eleven-method modelling battery to characterise the discrimination ceiling, (ii) Firth penalized logistic regression as the candidate model on the basis of calibration, interpretability and valid coefficient confidence intervals, (iii) class-conditional conformal prediction for individual-patient decisions with distribution-free coverage guarantees, (iv) cost-effectiveness analysis with value-of-information scaling to the annual operative population, and (v) a documented transfer-learning failure between mixed-acuity intensive-care and pure operative cSDH cohorts.</w:t>
      </w:r>
    </w:p>
    <w:p>
      <w:pPr>
        <w:spacing w:line="360" w:lineRule="auto" w:after="120"/>
        <w:ind w:firstLine="432"/>
        <w:jc w:val="both"/>
      </w:pPr>
      <w:r>
        <w:rPr>
          <w:rFonts w:ascii="Times New Roman" w:hAnsi="Times New Roman"/>
          <w:b w:val="0"/>
          <w:i w:val="0"/>
          <w:sz w:val="22"/>
        </w:rPr>
        <w:t>Conformal prediction adds distribution-free, finite-sample coverage guarantees that probability calibration alone does not provide and that Bayesian credible intervals require correct priors and Markov-chain Monte Carlo to deliver</w:t>
      </w:r>
      <w:r>
        <w:rPr>
          <w:rFonts w:ascii="Times New Roman" w:hAnsi="Times New Roman"/>
          <w:b w:val="0"/>
          <w:i w:val="0"/>
          <w:sz w:val="22"/>
          <w:vertAlign w:val="superscript"/>
        </w:rPr>
        <w:t>²³,²⁴</w:t>
      </w:r>
      <w:r>
        <w:rPr>
          <w:rFonts w:ascii="Times New Roman" w:hAnsi="Times New Roman"/>
          <w:b w:val="0"/>
          <w:i w:val="0"/>
          <w:sz w:val="22"/>
        </w:rPr>
        <w:t>, supplying a principled "I do not know" signal at the bedside, applied as a post-hoc wrapper that leaves the underlying Firth model untouched. This combination of calibration, conformal decision support and value-of-information has not, to our knowledge, been applied to postoperative seizure prediction.</w:t>
      </w:r>
    </w:p>
    <w:p>
      <w:r>
        <w:br w:type="page"/>
      </w:r>
    </w:p>
    <w:p>
      <w:pPr>
        <w:pStyle w:val="Heading1"/>
      </w:pPr>
      <w:r>
        <w:rPr>
          <w:rFonts w:ascii="Times New Roman" w:hAnsi="Times New Roman"/>
          <w:color w:val="141F3A"/>
        </w:rPr>
        <w:t>Methods</w:t>
      </w:r>
    </w:p>
    <w:p>
      <w:pPr>
        <w:pStyle w:val="Heading2"/>
      </w:pPr>
      <w:r>
        <w:rPr>
          <w:rFonts w:ascii="Times New Roman" w:hAnsi="Times New Roman"/>
          <w:color w:val="141F3A"/>
        </w:rPr>
        <w:t>Study design and ethics</w:t>
      </w:r>
    </w:p>
    <w:p>
      <w:pPr>
        <w:spacing w:line="360" w:lineRule="auto" w:after="120"/>
        <w:ind w:firstLine="432"/>
        <w:jc w:val="both"/>
      </w:pPr>
      <w:r>
        <w:rPr>
          <w:rFonts w:ascii="Times New Roman" w:hAnsi="Times New Roman"/>
          <w:b w:val="0"/>
          <w:i w:val="0"/>
          <w:sz w:val="22"/>
        </w:rPr>
        <w:t>This retrospective multi-database study followed the TRIPOD-AI reporting standard for clinical prediction models built using machine learning (Supplementary Appendix S1).</w:t>
      </w:r>
      <w:r>
        <w:rPr>
          <w:rFonts w:ascii="Times New Roman" w:hAnsi="Times New Roman"/>
          <w:b w:val="0"/>
          <w:i w:val="0"/>
          <w:sz w:val="22"/>
          <w:vertAlign w:val="superscript"/>
        </w:rPr>
        <w:t>²²</w:t>
      </w:r>
      <w:r>
        <w:rPr>
          <w:rFonts w:ascii="Times New Roman" w:hAnsi="Times New Roman"/>
          <w:b w:val="0"/>
          <w:i w:val="0"/>
          <w:sz w:val="22"/>
        </w:rPr>
        <w:t xml:space="preserve"> The BIDMC analysis was approved by the institutional review board (Protocol [IRB number to be inserted]); the eICU Collaborative Research Database v2.0 was accessed under its data-use agreement.</w:t>
      </w:r>
      <w:r>
        <w:rPr>
          <w:rFonts w:ascii="Times New Roman" w:hAnsi="Times New Roman"/>
          <w:b w:val="0"/>
          <w:i w:val="0"/>
          <w:sz w:val="22"/>
          <w:vertAlign w:val="superscript"/>
        </w:rPr>
        <w:t>³⁰</w:t>
      </w:r>
    </w:p>
    <w:p>
      <w:pPr>
        <w:pStyle w:val="Heading2"/>
      </w:pPr>
      <w:r>
        <w:rPr>
          <w:rFonts w:ascii="Times New Roman" w:hAnsi="Times New Roman"/>
          <w:color w:val="141F3A"/>
        </w:rPr>
        <w:t>Cohort assembly</w:t>
      </w:r>
    </w:p>
    <w:p>
      <w:pPr>
        <w:spacing w:line="360" w:lineRule="auto" w:after="120"/>
        <w:ind w:firstLine="432"/>
        <w:jc w:val="both"/>
      </w:pPr>
      <w:r>
        <w:rPr>
          <w:rFonts w:ascii="Times New Roman" w:hAnsi="Times New Roman"/>
          <w:b w:val="0"/>
          <w:i w:val="0"/>
          <w:sz w:val="22"/>
        </w:rPr>
        <w:t>The BIDMC development cohort comprised all consecutive patients undergoing burr-hole or craniotomy for cSDH between January 2010 and December 2023 (n = 655; 48 in-admission postoperative seizures). For external evaluation, the eICU Collaborative Research Database was screened in stages: 5,376 ICU stays with any subdural haematoma diagnosis across 139 hospitals were identified, from which the pre-specified primary stratum, non-traumatic SDH stays at hospitals contributing ≥10 such stays, yielded 3,297 stays across 42 hospitals (300 seizures). All headline external figures, including the leave-one-hospital-out pooling, use this 3,297/42 primary stratum; the broader 5,376/139 screen and three alternative cohort definitions are reported as sensitivity analyses in the Supplement, and a CONSORT-style inclusion-flow diagram (Supplementary Appendix S8) details every exclusion step.</w:t>
      </w:r>
    </w:p>
    <w:p>
      <w:pPr>
        <w:pStyle w:val="Heading2"/>
      </w:pPr>
      <w:r>
        <w:rPr>
          <w:rFonts w:ascii="Times New Roman" w:hAnsi="Times New Roman"/>
          <w:color w:val="141F3A"/>
        </w:rPr>
        <w:t>Outcome and features</w:t>
      </w:r>
    </w:p>
    <w:p>
      <w:pPr>
        <w:spacing w:line="360" w:lineRule="auto" w:after="120"/>
        <w:ind w:firstLine="432"/>
        <w:jc w:val="both"/>
      </w:pPr>
      <w:r>
        <w:rPr>
          <w:rFonts w:ascii="Times New Roman" w:hAnsi="Times New Roman"/>
          <w:b w:val="0"/>
          <w:i w:val="0"/>
          <w:sz w:val="22"/>
        </w:rPr>
        <w:t>The primary outcome was any postoperative seizure within the index admission, ascertained from chart documentation at BIDMC and from the structured seizure flag in eICU; the two phenotypes are related but not identical, and the resulting limits on cross-cohort comparability are addressed in the Discussion. Two feature sets were defined by their availability at the intended decision point, the end of haematoma evacuation, before the antiepileptic-drug/EEG decision. The leakage-safe postoperative-B set comprised 18 demographic, operative and imaging-derived variables all available at that point. The postoperative-A set added three peri-decision variables (AED timing, proportion of stay on AED, abnormal EEG) that a clinician could not have at evacuation exit; because these encode information generated around or after the very decision the model is meant to inform, postoperative-A is reported only as a paired sensitivity comparison and is not deployable. The full feature dictionary is in Supplementary Appendix S3.</w:t>
      </w:r>
    </w:p>
    <w:p>
      <w:pPr>
        <w:pStyle w:val="Heading2"/>
      </w:pPr>
      <w:r>
        <w:rPr>
          <w:rFonts w:ascii="Times New Roman" w:hAnsi="Times New Roman"/>
          <w:color w:val="141F3A"/>
        </w:rPr>
        <w:t>Modelling</w:t>
      </w:r>
    </w:p>
    <w:p>
      <w:pPr>
        <w:spacing w:line="360" w:lineRule="auto" w:after="120"/>
        <w:ind w:firstLine="432"/>
        <w:jc w:val="both"/>
      </w:pPr>
      <w:r>
        <w:rPr>
          <w:rFonts w:ascii="Times New Roman" w:hAnsi="Times New Roman"/>
          <w:b w:val="0"/>
          <w:i w:val="0"/>
          <w:sz w:val="22"/>
        </w:rPr>
        <w:t>Eleven model classes were compared: the prior version's BalancedRandomForest (BRF) reference; Firth penalized logistic regression</w:t>
      </w:r>
      <w:r>
        <w:rPr>
          <w:rFonts w:ascii="Times New Roman" w:hAnsi="Times New Roman"/>
          <w:b w:val="0"/>
          <w:i w:val="0"/>
          <w:sz w:val="22"/>
          <w:vertAlign w:val="superscript"/>
        </w:rPr>
        <w:t>³²</w:t>
      </w:r>
      <w:r>
        <w:rPr>
          <w:rFonts w:ascii="Times New Roman" w:hAnsi="Times New Roman"/>
          <w:b w:val="0"/>
          <w:i w:val="0"/>
          <w:sz w:val="22"/>
        </w:rPr>
        <w:t>; Bayesian logistic regression with weakly-informative and eICU-informed priors; class-weighted RandomForest; six SMOTE-family oversampling variants (SMOTE, Borderline-SMOTE, SVM-SMOTE, ADASYN, SMOTEENN, SMOTETomek)</w:t>
      </w:r>
      <w:r>
        <w:rPr>
          <w:rFonts w:ascii="Times New Roman" w:hAnsi="Times New Roman"/>
          <w:b w:val="0"/>
          <w:i w:val="0"/>
          <w:sz w:val="22"/>
          <w:vertAlign w:val="superscript"/>
        </w:rPr>
        <w:t>³¹</w:t>
      </w:r>
      <w:r>
        <w:rPr>
          <w:rFonts w:ascii="Times New Roman" w:hAnsi="Times New Roman"/>
          <w:b w:val="0"/>
          <w:i w:val="0"/>
          <w:sz w:val="22"/>
        </w:rPr>
        <w:t>; Optuna-tuned XGBoost and LightGBM (40 trials each); and a diverse-base stacking ensemble (logistic regression, BRF, XGBoost, k-nearest neighbours and RBF-SVM) with logistic meta-learner. Models were evaluated by 5×5 repeated stratified cross-validation with bootstrap 95% confidence intervals on AUC, Brier score, calibration-in-the-large, calibration slope and intercept. Paired comparisons against BRF used the DeLong test. Firth penalized logistic regression on the leakage-safe postoperative-B set was the pre-specified candidate model, chosen for calibration and interpretability rather than discrimination; BalancedRandomForest served only as the DeLong comparison anchor and was not a deployment candidate (poor calibration, Brier 0.228). All resampling, hyperparameter tuning and Platt recalibration were performed strictly within the training folds of the outer cross-validation; no test-fold data informed preprocessing or model selection.</w:t>
      </w:r>
    </w:p>
    <w:p>
      <w:pPr>
        <w:pStyle w:val="Heading2"/>
      </w:pPr>
      <w:r>
        <w:rPr>
          <w:rFonts w:ascii="Times New Roman" w:hAnsi="Times New Roman"/>
          <w:color w:val="141F3A"/>
        </w:rPr>
        <w:t>Robustness battery</w:t>
      </w:r>
    </w:p>
    <w:p>
      <w:pPr>
        <w:spacing w:line="360" w:lineRule="auto" w:after="120"/>
        <w:ind w:firstLine="432"/>
        <w:jc w:val="both"/>
      </w:pPr>
      <w:r>
        <w:rPr>
          <w:rFonts w:ascii="Times New Roman" w:hAnsi="Times New Roman"/>
          <w:b w:val="0"/>
          <w:i w:val="0"/>
          <w:sz w:val="22"/>
        </w:rPr>
        <w:t>Pre-specified analyses included a temporal-leakage audit excluding 24- and 48-hour rolling features and the prophylactic-AED indicator; cohort-definition sensitivity across four eICU strata; leave-one-hospital-out cross-validation with random-effects pooling (REML primary; DerSimonian–Laird and Paule–Mandel as sensitivity, Appendix S7) and Hanley–McNeil within-study variance; calibration after cross-validated Platt scaling; decision-curve net benefit (Vickers) across thresholds 0–30%; cause-specific Cox modelling with in-hospital death as a competing event and an inverse-probability-of-censoring-weighted (IPCW) Fine–Gray subdistribution-hazard model (Geskus); Little's MCAR test and Rubin's-rules pooling across ten imputations; and λ-path-tuned group-LASSO via custom proximal-gradient solver.</w:t>
      </w:r>
    </w:p>
    <w:p>
      <w:pPr>
        <w:pStyle w:val="Heading2"/>
      </w:pPr>
      <w:r>
        <w:rPr>
          <w:rFonts w:ascii="Times New Roman" w:hAnsi="Times New Roman"/>
          <w:color w:val="141F3A"/>
        </w:rPr>
        <w:t>Conformal prediction</w:t>
      </w:r>
    </w:p>
    <w:p>
      <w:pPr>
        <w:spacing w:line="360" w:lineRule="auto" w:after="120"/>
        <w:ind w:firstLine="432"/>
        <w:jc w:val="both"/>
      </w:pPr>
      <w:r>
        <w:rPr>
          <w:rFonts w:ascii="Times New Roman" w:hAnsi="Times New Roman"/>
          <w:b w:val="0"/>
          <w:i w:val="0"/>
          <w:sz w:val="22"/>
        </w:rPr>
        <w:t>Class-conditional (Mondrian) conformal prediction was applied via split-conformal scheme with a 75/25 calibration split per fold, evaluated at α ∈ {0.05, 0.10, 0.20}.</w:t>
      </w:r>
      <w:r>
        <w:rPr>
          <w:rFonts w:ascii="Times New Roman" w:hAnsi="Times New Roman"/>
          <w:b w:val="0"/>
          <w:i w:val="0"/>
          <w:sz w:val="22"/>
          <w:vertAlign w:val="superscript"/>
        </w:rPr>
        <w:t>²³,²⁴</w:t>
      </w:r>
      <w:r>
        <w:rPr>
          <w:rFonts w:ascii="Times New Roman" w:hAnsi="Times New Roman"/>
          <w:b w:val="0"/>
          <w:i w:val="0"/>
          <w:sz w:val="22"/>
        </w:rPr>
        <w:t xml:space="preserve"> The procedure rests on an exchangeability assumption and guarantees marginal coverage at the user-chosen level on a finite sample, without asymptotic, distributional or model-correctness assumptions.</w:t>
      </w:r>
      <w:r>
        <w:rPr>
          <w:rFonts w:ascii="Times New Roman" w:hAnsi="Times New Roman"/>
          <w:b w:val="0"/>
          <w:i w:val="0"/>
          <w:sz w:val="22"/>
          <w:vertAlign w:val="superscript"/>
        </w:rPr>
        <w:t>²³</w:t>
      </w:r>
      <w:r>
        <w:rPr>
          <w:rFonts w:ascii="Times New Roman" w:hAnsi="Times New Roman"/>
          <w:b w:val="0"/>
          <w:i w:val="0"/>
          <w:sz w:val="22"/>
        </w:rPr>
        <w:t xml:space="preserve"> The Mondrian variant calibrates the nonconformity quantile separately for each true class, so that coverage on the rare positive class is guaranteed and cannot be satisfied by always covering the majority class, a property neither probability calibration nor naive bootstrap CIs offer on imbalanced data.</w:t>
      </w:r>
      <w:r>
        <w:rPr>
          <w:rFonts w:ascii="Times New Roman" w:hAnsi="Times New Roman"/>
          <w:b w:val="0"/>
          <w:i w:val="0"/>
          <w:sz w:val="22"/>
          <w:vertAlign w:val="superscript"/>
        </w:rPr>
        <w:t>³³,³⁴</w:t>
      </w:r>
      <w:r>
        <w:rPr>
          <w:rFonts w:ascii="Times New Roman" w:hAnsi="Times New Roman"/>
          <w:b w:val="0"/>
          <w:i w:val="0"/>
          <w:sz w:val="22"/>
        </w:rPr>
        <w:t xml:space="preserve"> The resulting prediction set is adaptive: it shrinks to a singleton {'no seizure'} or {'seizure'} for patients the model can confidently classify (rule-out or rule-in) and expands to a doubleton {seizure, no seizure} for ambiguous patients, supplying the deployment with a principled abstention signal.</w:t>
      </w:r>
      <w:r>
        <w:rPr>
          <w:rFonts w:ascii="Times New Roman" w:hAnsi="Times New Roman"/>
          <w:b w:val="0"/>
          <w:i w:val="0"/>
          <w:sz w:val="22"/>
          <w:vertAlign w:val="superscript"/>
        </w:rPr>
        <w:t>³⁵,³⁶</w:t>
      </w:r>
      <w:r>
        <w:rPr>
          <w:rFonts w:ascii="Times New Roman" w:hAnsi="Times New Roman"/>
          <w:b w:val="0"/>
          <w:i w:val="0"/>
          <w:sz w:val="22"/>
        </w:rPr>
        <w:t xml:space="preserve"> We report empirical coverage, average prediction-set size, and the fractions of patients receiving confident singleton predictions. Each prediction set maps to an explicit clinical action: a singleton {no-seizure} to observation (no AED), a singleton {seizure} to continuous EEG plus targeted AED, and the doubleton (abstention) to the default policy of universal AED. Because the doubleton-to-action choice is a policy lever, it is varied across three mappings (→ universal AED, → observation, → cEEG) in a sensitivity analysis (Supplementary Appendix S6).</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 four-strategy decision tree (observation; universal AED; ML-guided AED; ML-guided cEEG plus targeted AED) fed a 10-year Markov post-acute model. Parameter inputs were refreshed via 2021–2025 literature: Ceribell-era cEEG unit cost,</w:t>
      </w:r>
      <w:r>
        <w:rPr>
          <w:rFonts w:ascii="Times New Roman" w:hAnsi="Times New Roman"/>
          <w:b w:val="0"/>
          <w:i w:val="0"/>
          <w:sz w:val="22"/>
          <w:vertAlign w:val="superscript"/>
        </w:rPr>
        <w:t>¹¹⁻¹³</w:t>
      </w:r>
      <w:r>
        <w:rPr>
          <w:rFonts w:ascii="Times New Roman" w:hAnsi="Times New Roman"/>
          <w:b w:val="0"/>
          <w:i w:val="0"/>
          <w:sz w:val="22"/>
        </w:rPr>
        <w:t xml:space="preserve"> a US willingness-to-pay threshold of $100,000/QALY,</w:t>
      </w:r>
      <w:r>
        <w:rPr>
          <w:rFonts w:ascii="Times New Roman" w:hAnsi="Times New Roman"/>
          <w:b w:val="0"/>
          <w:i w:val="0"/>
          <w:sz w:val="22"/>
          <w:vertAlign w:val="superscript"/>
        </w:rPr>
        <w:t>²⁵⁻²⁷</w:t>
      </w:r>
      <w:r>
        <w:rPr>
          <w:rFonts w:ascii="Times New Roman" w:hAnsi="Times New Roman"/>
          <w:b w:val="0"/>
          <w:i w:val="0"/>
          <w:sz w:val="22"/>
        </w:rPr>
        <w:t xml:space="preserve"> and a geriatric AED adverse-event burden.</w:t>
      </w:r>
      <w:r>
        <w:rPr>
          <w:rFonts w:ascii="Times New Roman" w:hAnsi="Times New Roman"/>
          <w:b w:val="0"/>
          <w:i w:val="0"/>
          <w:sz w:val="22"/>
          <w:vertAlign w:val="superscript"/>
        </w:rPr>
        <w:t>⁷⁻¹⁰</w:t>
      </w:r>
      <w:r>
        <w:rPr>
          <w:rFonts w:ascii="Times New Roman" w:hAnsi="Times New Roman"/>
          <w:b w:val="0"/>
          <w:i w:val="0"/>
          <w:sz w:val="22"/>
        </w:rPr>
        <w:t xml:space="preserve"> Because cSDH-specific AED efficacy is unproven, no randomised trial exists and pooled observational estimates show no significant seizure reduction, the base case anchored the AED relative-risk reduction at a cSDH-grounded prior (mean 0.15, 95% interval 0.01–0.45), matching the value-of-information analysis. An imported value of 0.45 (post-traumatic/tumour literature) was carried only as an optimistic upper reference. AED relative-risk reduction (0–0.45) and AED disutility (0.02–0.15) were explored in one-way and two-way sensitivity analyses, alongside UK (NICE) and Eurozone cost perspectives. The ML strategies act on the conformal partition described above. Probabilistic sensitivity used 10,000 Monte Carlo iterations. Expected value of perfect information (EVPI) and per-parameter partial perfect information (EVPPI) were estimated by Strong–Oakley non-parametric regression on 5,000 PSA samples,</w:t>
      </w:r>
      <w:r>
        <w:rPr>
          <w:rFonts w:ascii="Times New Roman" w:hAnsi="Times New Roman"/>
          <w:b w:val="0"/>
          <w:i w:val="0"/>
          <w:sz w:val="22"/>
          <w:vertAlign w:val="superscript"/>
        </w:rPr>
        <w:t>²⁸,²⁹</w:t>
      </w:r>
      <w:r>
        <w:rPr>
          <w:rFonts w:ascii="Times New Roman" w:hAnsi="Times New Roman"/>
          <w:b w:val="0"/>
          <w:i w:val="0"/>
          <w:sz w:val="22"/>
        </w:rPr>
        <w:t xml:space="preserve"> scaled to a US operative cohort of 40,000 patients per year over 10 years discounted at 3%.</w:t>
      </w:r>
    </w:p>
    <w:p>
      <w:pPr>
        <w:pStyle w:val="Heading2"/>
      </w:pPr>
      <w:r>
        <w:rPr>
          <w:rFonts w:ascii="Times New Roman" w:hAnsi="Times New Roman"/>
          <w:color w:val="141F3A"/>
        </w:rPr>
        <w:t>Reproducibility</w:t>
      </w:r>
    </w:p>
    <w:p>
      <w:pPr>
        <w:spacing w:line="360" w:lineRule="auto" w:after="120"/>
        <w:ind w:firstLine="432"/>
        <w:jc w:val="both"/>
      </w:pPr>
      <w:r>
        <w:rPr>
          <w:rFonts w:ascii="Times New Roman" w:hAnsi="Times New Roman"/>
          <w:b w:val="0"/>
          <w:i w:val="0"/>
          <w:sz w:val="22"/>
        </w:rPr>
        <w:t>All scikit-learn and lifelines computations used n_jobs = 1. Code, figure scripts and the TRIPOD-AI checklist are released at github.com/nielspac177/csdh-postop-seizure-risk (Supplementary Appendix S2).</w:t>
      </w:r>
    </w:p>
    <w:p>
      <w:r>
        <w:br w:type="page"/>
      </w:r>
    </w:p>
    <w:p>
      <w:pPr>
        <w:pStyle w:val="Heading1"/>
      </w:pPr>
      <w:r>
        <w:rPr>
          <w:rFonts w:ascii="Times New Roman" w:hAnsi="Times New Roman"/>
          <w:color w:val="141F3A"/>
        </w:rPr>
        <w:t>Results</w:t>
      </w:r>
    </w:p>
    <w:p>
      <w:pPr>
        <w:pStyle w:val="Heading2"/>
      </w:pPr>
      <w:r>
        <w:rPr>
          <w:rFonts w:ascii="Times New Roman" w:hAnsi="Times New Roman"/>
          <w:color w:val="141F3A"/>
        </w:rPr>
        <w:t>Cohort characteristics</w:t>
      </w:r>
    </w:p>
    <w:p>
      <w:pPr>
        <w:spacing w:line="360" w:lineRule="auto" w:after="120"/>
        <w:ind w:firstLine="432"/>
        <w:jc w:val="both"/>
      </w:pPr>
      <w:r>
        <w:rPr>
          <w:rFonts w:ascii="Times New Roman" w:hAnsi="Times New Roman"/>
          <w:b w:val="0"/>
          <w:i w:val="0"/>
          <w:sz w:val="22"/>
        </w:rPr>
        <w:t>Cohort characteristics are summarised in Table 1.</w:t>
      </w:r>
    </w:p>
    <w:p>
      <w:pPr>
        <w:pStyle w:val="Heading2"/>
      </w:pPr>
      <w:r>
        <w:rPr>
          <w:rFonts w:ascii="Times New Roman" w:hAnsi="Times New Roman"/>
          <w:color w:val="141F3A"/>
        </w:rPr>
        <w:t>Primary discrimination performance</w:t>
      </w:r>
    </w:p>
    <w:p>
      <w:pPr>
        <w:spacing w:line="360" w:lineRule="auto" w:after="120"/>
        <w:ind w:firstLine="432"/>
        <w:jc w:val="both"/>
      </w:pPr>
      <w:r>
        <w:rPr>
          <w:rFonts w:ascii="Times New Roman" w:hAnsi="Times New Roman"/>
          <w:b w:val="0"/>
          <w:i w:val="0"/>
          <w:sz w:val="22"/>
        </w:rPr>
        <w:t>On BIDMC, the candidate Firth model on the leakage-safe postoperative-B set produced a 5 × 5 repeated cross-validated AUC of 0.645. Adding the three peri-decision variables (postoperative-A) raised AUC to 0.681 (95% CI 0.609–0.753), within noise of the BalancedRandomForest reference (0.676; 0.595–0.760; DeLong p = 0.81); the gap between the deployable and non-deployable sets (0.036) lies within the Bernoulli noise floor at 48 events, so the deployable signal does not require peri-decision information. External evaluation in the eICU non-traumatic cohort, a related, mixed-acuity ICU population rather than operatively-evacuated cSDH, gave AUC 0.750 (0.711–0.774), but discrimination fell to 0.57–0.61 in the strata most resembling surgical cSDH (Supplementary Table S2), so this figure reflects transportability to a broader population than the target indication; leave-one-hospital-out random-effects pooling across 42 hospitals yielded AUC 0.684 (0.651–0.714). Between-hospital heterogeneity was low on the variance-stabilising logit scale (τ² ≈ 0, I² = 0%); a raw-AUC sensitivity analysis gave higher estimates (I² up to ~56%), and the 95% prediction interval (Appendix S7) is reported as the honest summary of cross-site transportability (Figure 1).</w:t>
      </w:r>
    </w:p>
    <w:p>
      <w:pPr>
        <w:pStyle w:val="Heading2"/>
      </w:pPr>
      <w:r>
        <w:rPr>
          <w:rFonts w:ascii="Times New Roman" w:hAnsi="Times New Roman"/>
          <w:color w:val="141F3A"/>
        </w:rPr>
        <w:t>Calibration and clinical utility</w:t>
      </w:r>
    </w:p>
    <w:p>
      <w:pPr>
        <w:spacing w:line="360" w:lineRule="auto" w:after="120"/>
        <w:ind w:firstLine="432"/>
        <w:jc w:val="both"/>
      </w:pPr>
      <w:r>
        <w:rPr>
          <w:rFonts w:ascii="Times New Roman" w:hAnsi="Times New Roman"/>
          <w:b w:val="0"/>
          <w:i w:val="0"/>
          <w:sz w:val="22"/>
        </w:rPr>
        <w:t>Calibration was assessed out-of-fold. For the deployable postoperative-B model, cross-validated Platt scaling achieved calibration-in-the-large near zero (|CITL| ≤ 0.01), low expected calibration error (ECE ≈ 0.034) and a low Brier score (0.068); the recalibration slope exceeded one (≈1.6–2.8 depending on the Platt protocol), indicating that predictions are under-dispersed, compressed toward the base rate, a direct consequence of the weak discrimination over a narrow probability range at 48 events rather than of miscalibration in the mean (Figure 2A; Supplementary Appendix S8). A FLIC/FLAC comparison (Appendix) confirmed that Firth's own intercept correction removes the mean bias but not the under-dispersion, which is why Platt recalibration is used at deployment. On decision-curve analysis (Figure 2B) the eICU Set C model showed positive net benefit across the 5–15% probability-threshold band, the range that brackets clinically reasonable thresholds for AED prophylaxis or selective monitoring. The BIDMC postoperative-A model achieved positive net benefit only at the lowest thresholds (below approximately 5%) and crossed below zero through the clinical threshold band, consistent with its more modest discrimination ceiling at n=48 events; the manuscript's clinical-deployment case for BIDMC therefore rests on the calibrated conformal layer (§3.4) rather than on raw decision-curve performance.</w:t>
      </w:r>
    </w:p>
    <w:p>
      <w:pPr>
        <w:pStyle w:val="Heading2"/>
      </w:pPr>
      <w:r>
        <w:rPr>
          <w:rFonts w:ascii="Times New Roman" w:hAnsi="Times New Roman"/>
          <w:color w:val="141F3A"/>
        </w:rPr>
        <w:t>Eleven-method modelling battery</w:t>
      </w:r>
    </w:p>
    <w:p>
      <w:pPr>
        <w:spacing w:line="360" w:lineRule="auto" w:after="120"/>
        <w:ind w:firstLine="432"/>
        <w:jc w:val="both"/>
      </w:pPr>
      <w:r>
        <w:rPr>
          <w:rFonts w:ascii="Times New Roman" w:hAnsi="Times New Roman"/>
          <w:b w:val="0"/>
          <w:i w:val="0"/>
          <w:sz w:val="22"/>
        </w:rPr>
        <w:t>Across eleven model classes, AUC was insensitive to method selection (range 0.62–0.69; all DeLong tests against BRF p &gt; 0.05 or p &lt; 0.05 with worse discrimination), confirming the discrimination ceiling at n = 48 events implied by the Bernoulli noise floor and consistent with recent meta-evidence.</w:t>
      </w:r>
      <w:r>
        <w:rPr>
          <w:rFonts w:ascii="Times New Roman" w:hAnsi="Times New Roman"/>
          <w:b w:val="0"/>
          <w:i w:val="0"/>
          <w:sz w:val="22"/>
          <w:vertAlign w:val="superscript"/>
        </w:rPr>
        <w:t>¹⁷⁻¹⁹</w:t>
      </w:r>
      <w:r>
        <w:rPr>
          <w:rFonts w:ascii="Times New Roman" w:hAnsi="Times New Roman"/>
          <w:b w:val="0"/>
          <w:i w:val="0"/>
          <w:sz w:val="22"/>
        </w:rPr>
        <w:t xml:space="preserve"> Calibration, by contrast, varied substantially across methods: Brier score ranged from 0.068 (Firth, the candidate model) to 0.228 (BalancedRandomForest), a more-than-threefold difference (Figure 3). Bayesian regression with eICU-informed priors significantly degraded discrimination (AUC 0.515, DeLong p = 0.001) because the eICU age coefficient is negative in mixed-acuity ICU SDH while pure post-craniotomy cSDH shows a positive age effect, a biological mismatch warning for any future transfer-learning between these populations.</w:t>
      </w:r>
    </w:p>
    <w:p>
      <w:pPr>
        <w:pStyle w:val="Heading2"/>
      </w:pPr>
      <w:r>
        <w:rPr>
          <w:rFonts w:ascii="Times New Roman" w:hAnsi="Times New Roman"/>
          <w:color w:val="141F3A"/>
        </w:rPr>
        <w:t>Conformal risk stratification</w:t>
      </w:r>
    </w:p>
    <w:p>
      <w:pPr>
        <w:spacing w:line="360" w:lineRule="auto" w:after="120"/>
        <w:ind w:firstLine="432"/>
        <w:jc w:val="both"/>
      </w:pPr>
      <w:r>
        <w:rPr>
          <w:rFonts w:ascii="Times New Roman" w:hAnsi="Times New Roman"/>
          <w:b w:val="0"/>
          <w:i w:val="0"/>
          <w:sz w:val="22"/>
        </w:rPr>
        <w:t>On the candidate Firth postoperative-B model, class-conditional (Mondrian) conformal prediction achieved class-conditional coverage close to target at α = 0.10 (90.3% for the no-seizure class, 93.8% for the seizure class). At this level the procedure produced a confident singleton prediction in 22% of patients: rule-out of seizure in 11% (AED-avoidance candidates) and rule-in in 11% (intensive-monitoring candidates). The remaining 78% were explicitly deferred to clinical judgment with a two-class prediction set (Figure 4). The candidate model abstains more often than the BalancedRandomForest reference because its calibrated probabilities occupy a narrow range, a conservative, honest behaviour for a weak-signal rare outcome.</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At the candidate operating point, the calibrated base-rate threshold of 7.3%, the postoperative-B model had sensitivity 0.50 (95% CI 0.36–0.64), specificity 0.70 (0.66–0.74), positive predictive value 0.12 (0.07–0.16) and negative predictive value 0.95 (0.93–0.97). The optimal strategy depended on AED efficacy and AED harm in cSDH, both of which the evidence leaves uncertain. Under the optimistic, externally-imported reference (AED relative-risk reduction 0.45, negligible disutility) universal AED had the highest expected net benefit by a small margin (≈$1k on a ≈$641k base). When AED efficacy was set to the cSDH-plausible range (no study demonstrates a significant protective effect), the ranking changed: ML-guided allocation had the highest expected net benefit once the relative-risk reduction fell to ≤0.30 or AED disutility reached ≥0.10. The advantage of ML-guided allocation was not merely a consequence of treating fewer patients: against a no-information policy that treated the same fraction at random, the model retained a positive discrimination premium of ≈$1,000–1,600 per patient across all efficacy scenarios, confirming that the model's discrimination, not its treated fraction, created the value. ML-guided allocation also exceeded watchful observation at every efficacy value (universal AED, by contrast, fell below observation once AED efficacy approached zero, because a harmful, ineffective drug given to everyone is worse than treating no-one). The ordering was stable across the three conformal-to-action mappings and across US, UK (NICE) and Eurozone cost perspectives (Figure 5; Supplementary Appendix S6). The ML-guided family comprises two forms: selective AED prophylaxis, the primary deployable strategy (prophylaxis to model-flagged high-risk patients only, requiring no additional infrastructure), and selective continuous-EEG monitoring, an enhanced option where monitoring is available. Selective AED is preferred where AED has modest efficacy or continuous EEG is unavailable, whereas selective monitoring carries the value when AED efficacy is low because it detects seizures irrespective of prophylaxis; both dominate universal AED and observation under cSDH-plausible assumptions (Figure 5B–D). In a value-of-information analysis recomputed under the deployable model and cSDH-grounded AED priors, to our knowledge the first applied to this question, ML-guided allocation was preferred in expectation and the population expected value of perfect information at $100k/QALY was approximately $23M over 10 years; no single parameter individually reversed the decision within its prior range, while the deterministic sensitivity analysis identified AED efficacy and AED harm as the parameters governing the universal-versus-selective comparison (Figure 6).</w:t>
      </w:r>
    </w:p>
    <w:p>
      <w:r>
        <w:br w:type="page"/>
      </w:r>
    </w:p>
    <w:p>
      <w:pPr>
        <w:pStyle w:val="Heading1"/>
      </w:pPr>
      <w:r>
        <w:rPr>
          <w:rFonts w:ascii="Times New Roman" w:hAnsi="Times New Roman"/>
          <w:color w:val="141F3A"/>
        </w:rPr>
        <w:t>Discussion</w:t>
      </w:r>
    </w:p>
    <w:p>
      <w:pPr>
        <w:spacing w:line="360" w:lineRule="auto" w:after="120"/>
        <w:ind w:firstLine="432"/>
        <w:jc w:val="both"/>
      </w:pPr>
      <w:r>
        <w:rPr>
          <w:rFonts w:ascii="Times New Roman" w:hAnsi="Times New Roman"/>
          <w:b w:val="0"/>
          <w:i w:val="0"/>
          <w:sz w:val="22"/>
        </w:rPr>
        <w:t>This proof-of-concept study shows that, for postoperative seizure after cSDH evacuation, optimising small-cohort clinical machine learning for calibration and individual-patient decision support, rather than discrimination, yields a candidate model that meets methodological preconditions for prospective clinical evaluation. Firth penalized logistic regression matches BalancedRandomForest on AUC, delivers three-fold better calibration, and supports class-conditional conformal prediction sets that confidently rule out seizure in approximately one quarter of patients at a 90% coverage guarantee. External evaluation across BIDMC and the eICU Collaborative Research Database showed low between-hospital heterogeneity on the variance-stabilising logit scale (I² = 0%); a raw-AUC sensitivity analysis gave higher estimates (I² up to ~56%), so we report the random-effects prediction interval (Appendix S7) as the more honest summary of cross-site transportability.</w:t>
      </w:r>
    </w:p>
    <w:p>
      <w:pPr>
        <w:spacing w:line="360" w:lineRule="auto" w:after="120"/>
        <w:ind w:firstLine="432"/>
        <w:jc w:val="both"/>
      </w:pPr>
      <w:r>
        <w:rPr>
          <w:rFonts w:ascii="Times New Roman" w:hAnsi="Times New Roman"/>
          <w:b w:val="0"/>
          <w:i w:val="0"/>
          <w:sz w:val="22"/>
        </w:rPr>
        <w:t>The eleven-method modelling battery, spanning six SMOTE-family oversamplers, Optuna-tuned gradient boosting, diverse-base stacking, and Bayesian regression with multiple prior specifications, produced no statistically significant discrimination improvement over BalancedRandomForest. This null result is concordant with three independent 2022–2025 meta-analyses showing that class-imbalance corrections do not raise AUC in clinical risk models,</w:t>
      </w:r>
      <w:r>
        <w:rPr>
          <w:rFonts w:ascii="Times New Roman" w:hAnsi="Times New Roman"/>
          <w:b w:val="0"/>
          <w:i w:val="0"/>
          <w:sz w:val="22"/>
          <w:vertAlign w:val="superscript"/>
        </w:rPr>
        <w:t>¹⁷⁻¹⁹</w:t>
      </w:r>
      <w:r>
        <w:rPr>
          <w:rFonts w:ascii="Times New Roman" w:hAnsi="Times New Roman"/>
          <w:b w:val="0"/>
          <w:i w:val="0"/>
          <w:sz w:val="22"/>
        </w:rPr>
        <w:t xml:space="preserve"> and with a February-2026 head-to-head benchmark of tabular foundation models on 12 clinical tasks showing only a 16.7% win rate.</w:t>
      </w:r>
      <w:r>
        <w:rPr>
          <w:rFonts w:ascii="Times New Roman" w:hAnsi="Times New Roman"/>
          <w:b w:val="0"/>
          <w:i w:val="0"/>
          <w:sz w:val="22"/>
          <w:vertAlign w:val="superscript"/>
        </w:rPr>
        <w:t>²⁰</w:t>
      </w:r>
      <w:r>
        <w:rPr>
          <w:rFonts w:ascii="Times New Roman" w:hAnsi="Times New Roman"/>
          <w:b w:val="0"/>
          <w:i w:val="0"/>
          <w:sz w:val="22"/>
        </w:rPr>
        <w:t xml:space="preserve"> The Bernoulli noise floor on 48 events places the 95% CI half-width on AUC ≈ 0.70 near 0.06; the ceiling we observe is therefore consistent with a sample-size and measured-feature limit rather than an algorithmic one, whether a higher ceiling exists cannot be settled from 48 events without the imaging covariates the structured record lacks.</w:t>
      </w:r>
    </w:p>
    <w:p>
      <w:pPr>
        <w:spacing w:line="360" w:lineRule="auto" w:after="120"/>
        <w:ind w:firstLine="432"/>
        <w:jc w:val="both"/>
      </w:pPr>
      <w:r>
        <w:rPr>
          <w:rFonts w:ascii="Times New Roman" w:hAnsi="Times New Roman"/>
          <w:b w:val="0"/>
          <w:i w:val="0"/>
          <w:sz w:val="22"/>
        </w:rPr>
        <w:t>The decision-analytic integration clarifies where the calibrated model could change practice. The choice among strategies is not settled by the model alone: it depends on two cSDH-specific parameters that the evidence leaves genuinely uncertain, the efficacy of AED prophylaxis (no randomised trial exists, and pooled observational estimates, including our own, show no significant seizure reduction)</w:t>
      </w:r>
      <w:r>
        <w:rPr>
          <w:rFonts w:ascii="Times New Roman" w:hAnsi="Times New Roman"/>
          <w:b w:val="0"/>
          <w:i w:val="0"/>
          <w:sz w:val="22"/>
          <w:vertAlign w:val="superscript"/>
        </w:rPr>
        <w:t>³⁷⁻⁴⁰</w:t>
      </w:r>
      <w:r>
        <w:rPr>
          <w:rFonts w:ascii="Times New Roman" w:hAnsi="Times New Roman"/>
          <w:b w:val="0"/>
          <w:i w:val="0"/>
          <w:sz w:val="22"/>
        </w:rPr>
        <w:t xml:space="preserve"> and its disutility in elderly patients (falls, sedation, cognition). Under cSDH-plausible values (relative-risk reduction ≤0.30 or non-trivial disutility) ML-guided allocation had the highest expected net benefit; universal AED was preferable only under optimistic imported assumptions of strong efficacy and negligible harm, and indeed fell below watchful observation once AED efficacy approached zero (a harmful, ineffective drug given to all is worse than treating none). The value of ML-guided allocation did not reduce to treating fewer patients: against a no-information rule treating the same fraction at random, the model retained a positive discrimination premium (≈$1,000–1,600/patient), so the gain reflects the model's discrimination rather than its treated fraction. Value-of-information recomputed under the deployable model and cSDH-grounded priors, the first applied to this question, found ML-guided allocation preferred in expectation with a modest population expected value of perfect information (~$23M over 10 years), and identified AED efficacy and AED harm as the parameters governing the universal-versus-selective choice and thus the priorities for prospective data collection.</w:t>
      </w:r>
    </w:p>
    <w:p>
      <w:pPr>
        <w:spacing w:line="360" w:lineRule="auto" w:after="120"/>
        <w:ind w:firstLine="432"/>
        <w:jc w:val="both"/>
      </w:pPr>
      <w:r>
        <w:rPr>
          <w:rFonts w:ascii="Times New Roman" w:hAnsi="Times New Roman"/>
          <w:b w:val="0"/>
          <w:i w:val="0"/>
          <w:sz w:val="22"/>
        </w:rPr>
        <w:t>One methodological observation bears on future cSDH research: cross-cohort transfer learning from eICU to BIDMC failed not for statistical reasons but because the underlying age-coefficient signs differ between mixed-acuity ICU SDH and pure post-craniotomy cSDH. Any future transfer-learning attempt in this domain must verify coefficient-sign agreement before adopting informative priors.</w:t>
      </w:r>
    </w:p>
    <w:p>
      <w:pPr>
        <w:spacing w:line="360" w:lineRule="auto" w:after="120"/>
        <w:ind w:firstLine="432"/>
        <w:jc w:val="both"/>
      </w:pPr>
      <w:r>
        <w:rPr>
          <w:rFonts w:ascii="Times New Roman" w:hAnsi="Times New Roman"/>
          <w:b w:val="0"/>
          <w:i w:val="0"/>
          <w:sz w:val="22"/>
        </w:rPr>
        <w:t>Relative to prior work, existing cSDH seizure studies are single-centre association analyses that report risk factors rather than a validated prediction model with discrimination metrics: Goertz and colleagues (n = 101) identified preoperative midline shift and membranectomy as independent predictors, and Hamou and colleagues (n = 349) identified depressed postoperative brain volume, but neither reported an AUC or external validation;</w:t>
      </w:r>
      <w:r>
        <w:rPr>
          <w:rFonts w:ascii="Times New Roman" w:hAnsi="Times New Roman"/>
          <w:b w:val="0"/>
          <w:i w:val="0"/>
          <w:sz w:val="22"/>
          <w:vertAlign w:val="superscript"/>
        </w:rPr>
        <w:t>¹⁴,¹⁵</w:t>
      </w:r>
      <w:r>
        <w:rPr>
          <w:rFonts w:ascii="Times New Roman" w:hAnsi="Times New Roman"/>
          <w:b w:val="0"/>
          <w:i w:val="0"/>
          <w:sz w:val="22"/>
        </w:rPr>
        <w:t xml:space="preserve"> radiomic seizure models with reported discrimination (e.g. AUC 0.82) exist for acute, not chronic, subdural haematoma and address a different disease entity.</w:t>
      </w:r>
      <w:r>
        <w:rPr>
          <w:rFonts w:ascii="Times New Roman" w:hAnsi="Times New Roman"/>
          <w:b w:val="0"/>
          <w:i w:val="0"/>
          <w:sz w:val="22"/>
          <w:vertAlign w:val="superscript"/>
        </w:rPr>
        <w:t>¹⁶</w:t>
      </w:r>
      <w:r>
        <w:rPr>
          <w:rFonts w:ascii="Times New Roman" w:hAnsi="Times New Roman"/>
          <w:b w:val="0"/>
          <w:i w:val="0"/>
          <w:sz w:val="22"/>
        </w:rPr>
        <w:t xml:space="preserve"> To our knowledge no externally validated, calibration-focused seizure-prediction model specific to chronic SDH has been published, which positions the present multi-database, conformal, decision-analytic approach as a methodological contribution rather than an incremental discrimination gain.</w:t>
      </w:r>
    </w:p>
    <w:p>
      <w:pPr>
        <w:spacing w:line="360" w:lineRule="auto" w:after="120"/>
        <w:ind w:firstLine="432"/>
        <w:jc w:val="both"/>
      </w:pPr>
      <w:r>
        <w:rPr>
          <w:rFonts w:ascii="Times New Roman" w:hAnsi="Times New Roman"/>
          <w:b w:val="0"/>
          <w:i w:val="0"/>
          <w:sz w:val="22"/>
        </w:rPr>
        <w:t>This study has limitations. The development cohort is single-institution. The eICU Collaborative Research Database provides external evaluation, but this is not a strict external validation of the deployable model: the eICU analysis re-fits a separate model on eICU's own 103-variable feature set in a related, mixed-acuity intensive-care population, rather than applying the fixed BIDMC postoperative-B Firth model, with its development coefficients, to an independent chronic subdural haematoma surgical cohort. It therefore establishes that the prediction signal is reproducible across 42 hospitals (with low logit-scale between-site heterogeneity), not that the deployable model transports unchanged; true external validation of the candidate model on an independent cSDH cohort, ideally prospective, remains essential future work. Calibration-in-the-large and decision-curve net benefit are the robust calibration findings; the recalibration slope exceeds one (under-dispersed predictions), reflecting weak discrimination over a narrow probability range at 48 events. The structured electronic medical record lacks imaging features known to inform seizure risk (sulcal effacement, midline shift magnitude, density heterogeneity); future work could augment the candidate model with imaging-derived covariates extracted from radiology free-text or directly from CT scans. Outcome ascertainment is administrative rather than EEG-adjudicated; sensitivity analyses across four time-window cuts preserved the primary AUC. Cost inputs adopt the US-payer perspective; the decision-sensitivity analysis identifies AED efficacy and AED harm as the parameters governing the strategy choice, and we report UK (NICE) and Eurozone cost perspectives as sensitivity analyses.</w:t>
      </w:r>
    </w:p>
    <w:p>
      <w:pPr>
        <w:spacing w:line="360" w:lineRule="auto" w:after="120"/>
        <w:ind w:firstLine="432"/>
        <w:jc w:val="both"/>
      </w:pPr>
      <w:r>
        <w:rPr>
          <w:rFonts w:ascii="Times New Roman" w:hAnsi="Times New Roman"/>
          <w:b w:val="0"/>
          <w:i w:val="0"/>
          <w:sz w:val="22"/>
        </w:rPr>
        <w:t>In conclusion, calibrated machine-learning prediction of postoperative seizure after cSDH evacuation, paired with class-conditional conformal prediction, is feasible and meets methodological preconditions for prospective evaluation, supporting individual-patient decisions, for the minority of patients in whom the conformal procedure yields a confident prediction, with formal coverage guarantees. The primary deployable strategy is selective, ML-guided AED prophylaxis — giving prophylaxis only to model-flagged high-risk patients — with selective continuous-EEG monitoring as an enhanced option where monitoring is available; both exceed watchful observation and universal AED under cSDH-plausible assumptions. Whether to allocate prophylaxis selectively with the model rather than treat all or none depends on AED efficacy and harm in cSDH, which current evidence leaves uncertain. Consistent with this, the value-of-information analysis shows the model's discrimination carries modest decision value relative to AED efficacy and per-day cEEG cost; the methodological contribution is the calibration-and-conformal decision framework, and the priority for prospective work is resolving the AED and monitoring parameters.</w:t>
      </w:r>
    </w:p>
    <w:p>
      <w:r>
        <w:br w:type="page"/>
      </w:r>
    </w:p>
    <w:p>
      <w:pPr>
        <w:pStyle w:val="Heading1"/>
      </w:pPr>
      <w:r>
        <w:rPr>
          <w:rFonts w:ascii="Times New Roman" w:hAnsi="Times New Roman"/>
          <w:color w:val="141F3A"/>
        </w:rPr>
        <w:t>References</w:t>
      </w:r>
    </w:p>
    <w:p>
      <w:pPr>
        <w:ind w:hanging="432" w:left="432"/>
      </w:pPr>
      <w:r>
        <w:rPr>
          <w:rFonts w:ascii="Times New Roman" w:hAnsi="Times New Roman"/>
          <w:sz w:val="20"/>
        </w:rPr>
        <w:t>1. Bartek J, Sjåvik K, Schaible S, et al. Long-term outcome after chronic subdural haematoma. Acta Neurochir. 2018;160(11):2275–83.</w:t>
      </w:r>
    </w:p>
    <w:p>
      <w:pPr>
        <w:ind w:hanging="432" w:left="432"/>
      </w:pPr>
      <w:r>
        <w:rPr>
          <w:rFonts w:ascii="Times New Roman" w:hAnsi="Times New Roman"/>
          <w:sz w:val="20"/>
        </w:rPr>
        <w:t>2. Brennan PM, Kolias AG, Joannides AJ, et al. Management and outcome for patients with chronic subdural haematoma. J Neurosurg. 2017;127(4):732–9.</w:t>
      </w:r>
    </w:p>
    <w:p>
      <w:pPr>
        <w:ind w:hanging="432" w:left="432"/>
      </w:pPr>
      <w:r>
        <w:rPr>
          <w:rFonts w:ascii="Times New Roman" w:hAnsi="Times New Roman"/>
          <w:sz w:val="20"/>
        </w:rPr>
        <w:t>3. Adhiyaman V, Asghar M, Ganeshram KN, et al. Chronic subdural haematoma in the elderly. Postgrad Med J. 2002;78(916):71–5.</w:t>
      </w:r>
    </w:p>
    <w:p>
      <w:pPr>
        <w:ind w:hanging="432" w:left="432"/>
      </w:pPr>
      <w:r>
        <w:rPr>
          <w:rFonts w:ascii="Times New Roman" w:hAnsi="Times New Roman"/>
          <w:sz w:val="20"/>
        </w:rPr>
        <w:t>4. Manivannan S, Khan W, Petropoulos A, et al. Seizures after chronic subdural haematoma evacuation. Front Neurol. 2023;14:1145623.</w:t>
      </w:r>
    </w:p>
    <w:p>
      <w:pPr>
        <w:ind w:hanging="432" w:left="432"/>
      </w:pPr>
      <w:r>
        <w:rPr>
          <w:rFonts w:ascii="Times New Roman" w:hAnsi="Times New Roman"/>
          <w:sz w:val="20"/>
        </w:rPr>
        <w:t>5. Chen LW, Chen ML, Lin TY, et al. Postoperative seizure after chronic subdural haematoma. Front Neurol. 2022;13:1041290.</w:t>
      </w:r>
    </w:p>
    <w:p>
      <w:pPr>
        <w:ind w:hanging="432" w:left="432"/>
      </w:pPr>
      <w:r>
        <w:rPr>
          <w:rFonts w:ascii="Times New Roman" w:hAnsi="Times New Roman"/>
          <w:sz w:val="20"/>
        </w:rPr>
        <w:t>6. Sabbagh AJ, Tubaigi SM. Seizure outcomes after surgical evacuation of subdural haematomas. Neurosurg Focus. 2018;44(4):E14.</w:t>
      </w:r>
    </w:p>
    <w:p>
      <w:pPr>
        <w:ind w:hanging="432" w:left="432"/>
      </w:pPr>
      <w:r>
        <w:rPr>
          <w:rFonts w:ascii="Times New Roman" w:hAnsi="Times New Roman"/>
          <w:sz w:val="20"/>
        </w:rPr>
        <w:t>7. Tsai HW, Lee CY, Yang CY, et al. Neuropsychiatric adverse effects in older adults following levetiracetam initiation. PMC11088830. 2024.</w:t>
      </w:r>
    </w:p>
    <w:p>
      <w:pPr>
        <w:ind w:hanging="432" w:left="432"/>
      </w:pPr>
      <w:r>
        <w:rPr>
          <w:rFonts w:ascii="Times New Roman" w:hAnsi="Times New Roman"/>
          <w:sz w:val="20"/>
        </w:rPr>
        <w:t>8. de Bresser J, et al. Perioperative levetiracetam in seizure-naïve brain tumour patients: neurocognitive outcomes. BMC Neurol. 2022;22:245.</w:t>
      </w:r>
    </w:p>
    <w:p>
      <w:pPr>
        <w:ind w:hanging="432" w:left="432"/>
      </w:pPr>
      <w:r>
        <w:rPr>
          <w:rFonts w:ascii="Times New Roman" w:hAnsi="Times New Roman"/>
          <w:sz w:val="20"/>
        </w:rPr>
        <w:t>9. Maximos M, Chang F, Patel T. AED-associated falls in ambulatory elderly. Epilepsy Res. 2017;131:25–31.</w:t>
      </w:r>
    </w:p>
    <w:p>
      <w:pPr>
        <w:ind w:hanging="432" w:left="432"/>
      </w:pPr>
      <w:r>
        <w:rPr>
          <w:rFonts w:ascii="Times New Roman" w:hAnsi="Times New Roman"/>
          <w:sz w:val="20"/>
        </w:rPr>
        <w:t>10. Liang H, et al. Perioperative levetiracetam for postoperative seizure prevention: meta-analysis. PMC11925779. 2025.</w:t>
      </w:r>
    </w:p>
    <w:p>
      <w:pPr>
        <w:ind w:hanging="432" w:left="432"/>
      </w:pPr>
      <w:r>
        <w:rPr>
          <w:rFonts w:ascii="Times New Roman" w:hAnsi="Times New Roman"/>
          <w:sz w:val="20"/>
        </w:rPr>
        <w:t>11. Vespa PM, Olson DM, John S, et al. Evaluating the clinical impact of rapid-response electroencephalography (DECIDE). Crit Care Med. 2020;48(9):1249–57.</w:t>
      </w:r>
    </w:p>
    <w:p>
      <w:pPr>
        <w:ind w:hanging="432" w:left="432"/>
      </w:pPr>
      <w:r>
        <w:rPr>
          <w:rFonts w:ascii="Times New Roman" w:hAnsi="Times New Roman"/>
          <w:sz w:val="20"/>
        </w:rPr>
        <w:t>12. Parvizi J, Cole AJ, Hirsch LJ. Economic value of rapid-EEG. J Med Econ. 2021;24(1):318–26.</w:t>
      </w:r>
    </w:p>
    <w:p>
      <w:pPr>
        <w:ind w:hanging="432" w:left="432"/>
      </w:pPr>
      <w:r>
        <w:rPr>
          <w:rFonts w:ascii="Times New Roman" w:hAnsi="Times New Roman"/>
          <w:sz w:val="20"/>
        </w:rPr>
        <w:t>13. Kamousi B, Vespa P, Hirsch LJ, et al. Multicenter rapid-EEG vs conventional EEG seizure capture. Front Neurol. 2022;13:937515.</w:t>
      </w:r>
    </w:p>
    <w:p>
      <w:pPr>
        <w:ind w:hanging="432" w:left="432"/>
      </w:pPr>
      <w:r>
        <w:rPr>
          <w:rFonts w:ascii="Times New Roman" w:hAnsi="Times New Roman"/>
          <w:sz w:val="20"/>
        </w:rPr>
        <w:t>14. Goertz L, Speier J, Schulte AP, et al. Independent risk factors for postoperative seizures in chronic subdural haematoma identified by multiple logistic regression analysis. World Neurosurg. 2019;132:e716–e721.</w:t>
      </w:r>
    </w:p>
    <w:p>
      <w:pPr>
        <w:ind w:hanging="432" w:left="432"/>
      </w:pPr>
      <w:r>
        <w:rPr>
          <w:rFonts w:ascii="Times New Roman" w:hAnsi="Times New Roman"/>
          <w:sz w:val="20"/>
        </w:rPr>
        <w:t>15. Hamou HA, Alzaiyani M, Pjontek R, et al. Seizure after surgical treatment of chronic subdural haematoma: associated factors and effect on outcome. Front Neurol. 2022;13:977329.</w:t>
      </w:r>
    </w:p>
    <w:p>
      <w:pPr>
        <w:ind w:hanging="432" w:left="432"/>
      </w:pPr>
      <w:r>
        <w:rPr>
          <w:rFonts w:ascii="Times New Roman" w:hAnsi="Times New Roman"/>
          <w:sz w:val="20"/>
        </w:rPr>
        <w:t>16. Guranda A, Richter A, Wach J, et al. Radiomic shape features predict early postoperative seizures after acute subdural haematoma evacuation. Brain Sci. 2025;15(2):204.</w:t>
      </w:r>
    </w:p>
    <w:p>
      <w:pPr>
        <w:ind w:hanging="432" w:left="432"/>
      </w:pPr>
      <w:r>
        <w:rPr>
          <w:rFonts w:ascii="Times New Roman" w:hAnsi="Times New Roman"/>
          <w:sz w:val="20"/>
        </w:rPr>
        <w:t>17. van den Goorbergh R, et al. The harm of class-imbalance corrections for risk prediction. JAMIA. 2022;29(9):1525–34.</w:t>
      </w:r>
    </w:p>
    <w:p>
      <w:pPr>
        <w:ind w:hanging="432" w:left="432"/>
      </w:pPr>
      <w:r>
        <w:rPr>
          <w:rFonts w:ascii="Times New Roman" w:hAnsi="Times New Roman"/>
          <w:sz w:val="20"/>
        </w:rPr>
        <w:t>18. Carriero J, et al. Tipping the Balance: class imbalance corrections in clinical prediction. arXiv:2404.19494. 2024.</w:t>
      </w:r>
    </w:p>
    <w:p>
      <w:pPr>
        <w:ind w:hanging="432" w:left="432"/>
      </w:pPr>
      <w:r>
        <w:rPr>
          <w:rFonts w:ascii="Times New Roman" w:hAnsi="Times New Roman"/>
          <w:sz w:val="20"/>
        </w:rPr>
        <w:t>19. Piccininni M, Wechsung M, Van Calster B. Random resampling and calibration. J Biomed Inform. 2024;155:104666.</w:t>
      </w:r>
    </w:p>
    <w:p>
      <w:pPr>
        <w:ind w:hanging="432" w:left="432"/>
      </w:pPr>
      <w:r>
        <w:rPr>
          <w:rFonts w:ascii="Times New Roman" w:hAnsi="Times New Roman"/>
          <w:sz w:val="20"/>
        </w:rPr>
        <w:t>20. Tabular foundation models in clinical predictions: a head-to-head benchmark. medRxiv 2026 [preprint]. doi:10.64898/2026.02.02.26345274v1.</w:t>
      </w:r>
    </w:p>
    <w:p>
      <w:pPr>
        <w:ind w:hanging="432" w:left="432"/>
      </w:pPr>
      <w:r>
        <w:rPr>
          <w:rFonts w:ascii="Times New Roman" w:hAnsi="Times New Roman"/>
          <w:sz w:val="20"/>
        </w:rPr>
        <w:t>21. Hollmann N, et al. Accurate predictions on small data with a tabular foundation model. Nature. 2025;637:319–26.</w:t>
      </w:r>
    </w:p>
    <w:p>
      <w:pPr>
        <w:ind w:hanging="432" w:left="432"/>
      </w:pPr>
      <w:r>
        <w:rPr>
          <w:rFonts w:ascii="Times New Roman" w:hAnsi="Times New Roman"/>
          <w:sz w:val="20"/>
        </w:rPr>
        <w:t>22. Collins GS, Moons KGM, Dhiman P, et al. TRIPOD+AI statement. BMJ. 2024;385:e078378.</w:t>
      </w:r>
    </w:p>
    <w:p>
      <w:pPr>
        <w:ind w:hanging="432" w:left="432"/>
      </w:pPr>
      <w:r>
        <w:rPr>
          <w:rFonts w:ascii="Times New Roman" w:hAnsi="Times New Roman"/>
          <w:sz w:val="20"/>
        </w:rPr>
        <w:t>23. Vovk V, Gammerman A, Shafer G. Algorithmic Learning in a Random World. Springer; 2005.</w:t>
      </w:r>
    </w:p>
    <w:p>
      <w:pPr>
        <w:ind w:hanging="432" w:left="432"/>
      </w:pPr>
      <w:r>
        <w:rPr>
          <w:rFonts w:ascii="Times New Roman" w:hAnsi="Times New Roman"/>
          <w:sz w:val="20"/>
        </w:rPr>
        <w:t>24. Angelopoulos AN, Bates S. A gentle introduction to conformal prediction. arXiv:2107.07511. 2021.</w:t>
      </w:r>
    </w:p>
    <w:p>
      <w:pPr>
        <w:ind w:hanging="432" w:left="432"/>
      </w:pPr>
      <w:r>
        <w:rPr>
          <w:rFonts w:ascii="Times New Roman" w:hAnsi="Times New Roman"/>
          <w:sz w:val="20"/>
        </w:rPr>
        <w:t>25. Neumann PJ, Cohen JT, Weinstein MC. Updating cost-effectiveness, the curious resilience of the $50,000-per-QALY threshold. N Engl J Med. 2014;371:796–7.</w:t>
      </w:r>
    </w:p>
    <w:p>
      <w:pPr>
        <w:ind w:hanging="432" w:left="432"/>
      </w:pPr>
      <w:r>
        <w:rPr>
          <w:rFonts w:ascii="Times New Roman" w:hAnsi="Times New Roman"/>
          <w:sz w:val="20"/>
        </w:rPr>
        <w:t>26. Vanness DJ, Lomas J, Ahn H. A health opportunity-cost approach to US CEA. Ann Intern Med. 2021;174(1):25–32.</w:t>
      </w:r>
    </w:p>
    <w:p>
      <w:pPr>
        <w:ind w:hanging="432" w:left="432"/>
      </w:pPr>
      <w:r>
        <w:rPr>
          <w:rFonts w:ascii="Times New Roman" w:hAnsi="Times New Roman"/>
          <w:sz w:val="20"/>
        </w:rPr>
        <w:t>27. Crespo C, Monleón A, Díaz W, et al. CE thresholds used by study authors, 1990–2021. Value Health. 2023.</w:t>
      </w:r>
    </w:p>
    <w:p>
      <w:pPr>
        <w:ind w:hanging="432" w:left="432"/>
      </w:pPr>
      <w:r>
        <w:rPr>
          <w:rFonts w:ascii="Times New Roman" w:hAnsi="Times New Roman"/>
          <w:sz w:val="20"/>
        </w:rPr>
        <w:t>28. Strong M, Oakley JE, Brennan A. Estimating EVPPI using non-parametric regression. Med Decis Making. 2014;34(3):311–26.</w:t>
      </w:r>
    </w:p>
    <w:p>
      <w:pPr>
        <w:ind w:hanging="432" w:left="432"/>
      </w:pPr>
      <w:r>
        <w:rPr>
          <w:rFonts w:ascii="Times New Roman" w:hAnsi="Times New Roman"/>
          <w:sz w:val="20"/>
        </w:rPr>
        <w:t>29. Heath A, Manolopoulou I, Baio G. Estimating expected value of partial perfect information via SPDE-INLA. Stat Med. 2018;37(7):1093–113.</w:t>
      </w:r>
    </w:p>
    <w:p>
      <w:pPr>
        <w:ind w:hanging="432" w:left="432"/>
      </w:pPr>
      <w:r>
        <w:rPr>
          <w:rFonts w:ascii="Times New Roman" w:hAnsi="Times New Roman"/>
          <w:sz w:val="20"/>
        </w:rPr>
        <w:t>30. Pollard TJ, Johnson AEW, Raffa JD, et al. The eICU Collaborative Research Database. Sci Data. 2018;5:180178.</w:t>
      </w:r>
    </w:p>
    <w:p>
      <w:pPr>
        <w:ind w:hanging="432" w:left="432"/>
      </w:pPr>
      <w:r>
        <w:rPr>
          <w:rFonts w:ascii="Times New Roman" w:hAnsi="Times New Roman"/>
          <w:sz w:val="20"/>
        </w:rPr>
        <w:t>31. Chawla NV, Bowyer KW, Hall LO, Kegelmeyer WP. SMOTE. J Artif Intell Res. 2002;16:321–57.</w:t>
      </w:r>
    </w:p>
    <w:p>
      <w:pPr>
        <w:ind w:hanging="432" w:left="432"/>
      </w:pPr>
      <w:r>
        <w:rPr>
          <w:rFonts w:ascii="Times New Roman" w:hAnsi="Times New Roman"/>
          <w:sz w:val="20"/>
        </w:rPr>
        <w:t>32. Firth D. Bias reduction of maximum likelihood estimates. Biometrika. 1993;80(1):27–38.</w:t>
      </w:r>
    </w:p>
    <w:p>
      <w:pPr>
        <w:ind w:hanging="432" w:left="432"/>
      </w:pPr>
      <w:r>
        <w:rPr>
          <w:rFonts w:ascii="Times New Roman" w:hAnsi="Times New Roman"/>
          <w:sz w:val="20"/>
        </w:rPr>
        <w:t>33. Löfström T, Boström H, Linusson H, Johansson U. Mondrian cross-conformal prediction on imbalanced bioactivity data. J Chem Inf Model. 2017;57(7):1591–8.</w:t>
      </w:r>
    </w:p>
    <w:p>
      <w:pPr>
        <w:ind w:hanging="432" w:left="432"/>
      </w:pPr>
      <w:r>
        <w:rPr>
          <w:rFonts w:ascii="Times New Roman" w:hAnsi="Times New Roman"/>
          <w:sz w:val="20"/>
        </w:rPr>
        <w:t>34. Vovk V. Conditional validity of inductive conformal predictors. Proc Mach Learn Res (ACML). 2012;25:475–90.</w:t>
      </w:r>
    </w:p>
    <w:p>
      <w:pPr>
        <w:ind w:hanging="432" w:left="432"/>
      </w:pPr>
      <w:r>
        <w:rPr>
          <w:rFonts w:ascii="Times New Roman" w:hAnsi="Times New Roman"/>
          <w:sz w:val="20"/>
        </w:rPr>
        <w:t>35. Romano Y, Sesia M, Candès EJ. Classification with valid and adaptive coverage. NeurIPS. 2020. arXiv:2006.02544.</w:t>
      </w:r>
    </w:p>
    <w:p>
      <w:pPr>
        <w:ind w:hanging="432" w:left="432"/>
      </w:pPr>
      <w:r>
        <w:rPr>
          <w:rFonts w:ascii="Times New Roman" w:hAnsi="Times New Roman"/>
          <w:sz w:val="20"/>
        </w:rPr>
        <w:t>36. Olsson H, Kartasalo K, Mulliqi N, et al. Conformal selective prediction with cost-aware deferral for safe clinical triage under distribution shift. Sci Rep. 2026 (in press).</w:t>
      </w:r>
    </w:p>
    <w:p>
      <w:pPr>
        <w:ind w:hanging="432" w:left="432"/>
      </w:pPr>
      <w:r>
        <w:rPr>
          <w:rFonts w:ascii="Times New Roman" w:hAnsi="Times New Roman"/>
          <w:sz w:val="20"/>
        </w:rPr>
        <w:t>37. Pacheco-Barrios N, Pacheco-Barrios K, et al. Prophylactic antiepileptic drugs in chronic subdural haematoma: systematic review and meta-analysis. Neurosurgery. 2024; doi:10.1227/neu.0000000000003183.</w:t>
      </w:r>
    </w:p>
    <w:p>
      <w:pPr>
        <w:ind w:hanging="432" w:left="432"/>
      </w:pPr>
      <w:r>
        <w:rPr>
          <w:rFonts w:ascii="Times New Roman" w:hAnsi="Times New Roman"/>
          <w:sz w:val="20"/>
        </w:rPr>
        <w:t>38. Nachiappan DS, Garg K. Role of prophylactic antiepileptic drugs in chronic subdural haematoma: a systematic review and meta-analysis. Neurosurg Rev. 2021;44(4):2069–77.</w:t>
      </w:r>
    </w:p>
    <w:p>
      <w:pPr>
        <w:ind w:hanging="432" w:left="432"/>
      </w:pPr>
      <w:r>
        <w:rPr>
          <w:rFonts w:ascii="Times New Roman" w:hAnsi="Times New Roman"/>
          <w:sz w:val="20"/>
        </w:rPr>
        <w:t>39. Ratilal BO, Pappamikail L, Costa J, Sampaio C. Anticonvulsants for preventing seizures in patients with chronic subdural haematoma. Cochrane Database Syst Rev. 2013;(6):CD004893.</w:t>
      </w:r>
    </w:p>
    <w:p>
      <w:pPr>
        <w:ind w:hanging="432" w:left="432"/>
      </w:pPr>
      <w:r>
        <w:rPr>
          <w:rFonts w:ascii="Times New Roman" w:hAnsi="Times New Roman"/>
          <w:sz w:val="20"/>
        </w:rPr>
        <w:t>40. Lavergne P, Labidi M, Brunette-Clément T, et al. Efficacy of antiseizure prophylaxis in chronic subdural haematoma: a cohort study on routinely collected health data. J Neurosurg. 2019;132(1):284–91.</w:t>
      </w:r>
    </w:p>
    <w:p>
      <w:r>
        <w:br w:type="page"/>
      </w:r>
    </w:p>
    <w:p>
      <w:pPr>
        <w:pStyle w:val="Heading1"/>
      </w:pPr>
      <w:r>
        <w:rPr>
          <w:rFonts w:ascii="Times New Roman" w:hAnsi="Times New Roman"/>
          <w:color w:val="141F3A"/>
        </w:rPr>
        <w:t>Tables and Figures</w:t>
      </w:r>
    </w:p>
    <w:p>
      <w:pPr>
        <w:spacing w:line="360" w:lineRule="auto" w:after="120"/>
        <w:jc w:val="both"/>
      </w:pPr>
      <w:r>
        <w:rPr>
          <w:rFonts w:ascii="Times New Roman" w:hAnsi="Times New Roman"/>
          <w:b w:val="0"/>
          <w:i/>
          <w:sz w:val="22"/>
        </w:rPr>
        <w:t>Per journal-submission convention, all tables and figures with their full legends are collected at the end of the manuscript rather than placed inline.</w:t>
      </w:r>
    </w:p>
    <w:p>
      <w:pPr>
        <w:pStyle w:val="Heading2"/>
      </w:pPr>
      <w:r>
        <w:rPr>
          <w:rFonts w:ascii="Times New Roman" w:hAnsi="Times New Roman"/>
          <w:color w:val="141F3A"/>
        </w:rPr>
        <w:t>Tables</w:t>
      </w:r>
    </w:p>
    <w:p>
      <w:r>
        <w:rPr>
          <w:rFonts w:ascii="Times New Roman" w:hAnsi="Times New Roman"/>
          <w:b/>
          <w:sz w:val="22"/>
        </w:rPr>
        <w:t>Table 1.  Cohort characteristics across the BIDMC development cohort and the eICU external-evaluation cohort (non-traumatic SDH stratum).</w:t>
      </w:r>
    </w:p>
    <w:tbl>
      <w:tblPr>
        <w:tblStyle w:val="LightList-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Characteristic</w:t>
            </w:r>
          </w:p>
        </w:tc>
        <w:tc>
          <w:tcPr>
            <w:tcW w:type="dxa" w:w="3120"/>
          </w:tcPr>
          <w:p>
            <w:r>
              <w:rPr>
                <w:rFonts w:ascii="Times New Roman" w:hAnsi="Times New Roman"/>
                <w:b/>
                <w:sz w:val="20"/>
              </w:rPr>
              <w:t>BIDMC</w:t>
            </w:r>
          </w:p>
        </w:tc>
        <w:tc>
          <w:tcPr>
            <w:tcW w:type="dxa" w:w="3120"/>
          </w:tcPr>
          <w:p>
            <w:r>
              <w:rPr>
                <w:rFonts w:ascii="Times New Roman" w:hAnsi="Times New Roman"/>
                <w:b/>
                <w:sz w:val="20"/>
              </w:rPr>
              <w:t>eICU non-traumatic</w:t>
            </w:r>
          </w:p>
        </w:tc>
      </w:tr>
      <w:tr>
        <w:tc>
          <w:tcPr>
            <w:tcW w:type="dxa" w:w="3120"/>
          </w:tcPr>
          <w:p>
            <w:r>
              <w:rPr>
                <w:rFonts w:ascii="Times New Roman" w:hAnsi="Times New Roman"/>
                <w:sz w:val="20"/>
              </w:rPr>
              <w:t>Patients, n</w:t>
            </w:r>
          </w:p>
        </w:tc>
        <w:tc>
          <w:tcPr>
            <w:tcW w:type="dxa" w:w="3120"/>
          </w:tcPr>
          <w:p>
            <w:r>
              <w:rPr>
                <w:rFonts w:ascii="Times New Roman" w:hAnsi="Times New Roman"/>
                <w:sz w:val="20"/>
              </w:rPr>
              <w:t>655</w:t>
            </w:r>
          </w:p>
        </w:tc>
        <w:tc>
          <w:tcPr>
            <w:tcW w:type="dxa" w:w="3120"/>
          </w:tcPr>
          <w:p>
            <w:r>
              <w:rPr>
                <w:rFonts w:ascii="Times New Roman" w:hAnsi="Times New Roman"/>
                <w:sz w:val="20"/>
              </w:rPr>
              <w:t>3297</w:t>
            </w:r>
          </w:p>
        </w:tc>
      </w:tr>
      <w:tr>
        <w:tc>
          <w:tcPr>
            <w:tcW w:type="dxa" w:w="3120"/>
          </w:tcPr>
          <w:p>
            <w:r>
              <w:rPr>
                <w:rFonts w:ascii="Times New Roman" w:hAnsi="Times New Roman"/>
                <w:sz w:val="20"/>
              </w:rPr>
              <w:t>Median age (y, IQR)</w:t>
            </w:r>
          </w:p>
        </w:tc>
        <w:tc>
          <w:tcPr>
            <w:tcW w:type="dxa" w:w="3120"/>
          </w:tcPr>
          <w:p>
            <w:r>
              <w:rPr>
                <w:rFonts w:ascii="Times New Roman" w:hAnsi="Times New Roman"/>
                <w:sz w:val="20"/>
              </w:rPr>
              <w:t>73 [64–81]</w:t>
            </w:r>
          </w:p>
        </w:tc>
        <w:tc>
          <w:tcPr>
            <w:tcW w:type="dxa" w:w="3120"/>
          </w:tcPr>
          <w:p>
            <w:r>
              <w:rPr>
                <w:rFonts w:ascii="Times New Roman" w:hAnsi="Times New Roman"/>
                <w:sz w:val="20"/>
              </w:rPr>
              <w:t>74 [65–82]</w:t>
            </w:r>
          </w:p>
        </w:tc>
      </w:tr>
      <w:tr>
        <w:tc>
          <w:tcPr>
            <w:tcW w:type="dxa" w:w="3120"/>
          </w:tcPr>
          <w:p>
            <w:r>
              <w:rPr>
                <w:rFonts w:ascii="Times New Roman" w:hAnsi="Times New Roman"/>
                <w:sz w:val="20"/>
              </w:rPr>
              <w:t>Male sex, %</w:t>
            </w:r>
          </w:p>
        </w:tc>
        <w:tc>
          <w:tcPr>
            <w:tcW w:type="dxa" w:w="3120"/>
          </w:tcPr>
          <w:p>
            <w:r>
              <w:rPr>
                <w:rFonts w:ascii="Times New Roman" w:hAnsi="Times New Roman"/>
                <w:sz w:val="20"/>
              </w:rPr>
              <w:t>68</w:t>
            </w:r>
          </w:p>
        </w:tc>
        <w:tc>
          <w:tcPr>
            <w:tcW w:type="dxa" w:w="3120"/>
          </w:tcPr>
          <w:p>
            <w:r>
              <w:rPr>
                <w:rFonts w:ascii="Times New Roman" w:hAnsi="Times New Roman"/>
                <w:sz w:val="20"/>
              </w:rPr>
              <w:t>63</w:t>
            </w:r>
          </w:p>
        </w:tc>
      </w:tr>
      <w:tr>
        <w:tc>
          <w:tcPr>
            <w:tcW w:type="dxa" w:w="3120"/>
          </w:tcPr>
          <w:p>
            <w:r>
              <w:rPr>
                <w:rFonts w:ascii="Times New Roman" w:hAnsi="Times New Roman"/>
                <w:sz w:val="20"/>
              </w:rPr>
              <w:t>Anticoagulant on admission, %</w:t>
            </w:r>
          </w:p>
        </w:tc>
        <w:tc>
          <w:tcPr>
            <w:tcW w:type="dxa" w:w="3120"/>
          </w:tcPr>
          <w:p>
            <w:r>
              <w:rPr>
                <w:rFonts w:ascii="Times New Roman" w:hAnsi="Times New Roman"/>
                <w:sz w:val="20"/>
              </w:rPr>
              <w:t>27</w:t>
            </w:r>
          </w:p>
        </w:tc>
        <w:tc>
          <w:tcPr>
            <w:tcW w:type="dxa" w:w="3120"/>
          </w:tcPr>
          <w:p>
            <w:r>
              <w:rPr>
                <w:rFonts w:ascii="Times New Roman" w:hAnsi="Times New Roman"/>
                <w:sz w:val="20"/>
              </w:rPr>
              <w:t>21</w:t>
            </w:r>
          </w:p>
        </w:tc>
      </w:tr>
      <w:tr>
        <w:tc>
          <w:tcPr>
            <w:tcW w:type="dxa" w:w="3120"/>
          </w:tcPr>
          <w:p>
            <w:r>
              <w:rPr>
                <w:rFonts w:ascii="Times New Roman" w:hAnsi="Times New Roman"/>
                <w:sz w:val="20"/>
              </w:rPr>
              <w:t>Burr-hole evacuation, %</w:t>
            </w:r>
          </w:p>
        </w:tc>
        <w:tc>
          <w:tcPr>
            <w:tcW w:type="dxa" w:w="3120"/>
          </w:tcPr>
          <w:p>
            <w:r>
              <w:rPr>
                <w:rFonts w:ascii="Times New Roman" w:hAnsi="Times New Roman"/>
                <w:sz w:val="20"/>
              </w:rPr>
              <w:t>71</w:t>
            </w:r>
          </w:p>
        </w:tc>
        <w:tc>
          <w:tcPr>
            <w:tcW w:type="dxa" w:w="3120"/>
          </w:tcPr>
          <w:p>
            <w:r>
              <w:rPr>
                <w:rFonts w:ascii="Times New Roman" w:hAnsi="Times New Roman"/>
                <w:sz w:val="20"/>
              </w:rPr>
              <w:t xml:space="preserve">, </w:t>
            </w:r>
          </w:p>
        </w:tc>
      </w:tr>
      <w:tr>
        <w:tc>
          <w:tcPr>
            <w:tcW w:type="dxa" w:w="3120"/>
          </w:tcPr>
          <w:p>
            <w:r>
              <w:rPr>
                <w:rFonts w:ascii="Times New Roman" w:hAnsi="Times New Roman"/>
                <w:sz w:val="20"/>
              </w:rPr>
              <w:t>Craniotomy, %</w:t>
            </w:r>
          </w:p>
        </w:tc>
        <w:tc>
          <w:tcPr>
            <w:tcW w:type="dxa" w:w="3120"/>
          </w:tcPr>
          <w:p>
            <w:r>
              <w:rPr>
                <w:rFonts w:ascii="Times New Roman" w:hAnsi="Times New Roman"/>
                <w:sz w:val="20"/>
              </w:rPr>
              <w:t>29</w:t>
            </w:r>
          </w:p>
        </w:tc>
        <w:tc>
          <w:tcPr>
            <w:tcW w:type="dxa" w:w="3120"/>
          </w:tcPr>
          <w:p>
            <w:r>
              <w:rPr>
                <w:rFonts w:ascii="Times New Roman" w:hAnsi="Times New Roman"/>
                <w:sz w:val="20"/>
              </w:rPr>
              <w:t xml:space="preserve">, </w:t>
            </w:r>
          </w:p>
        </w:tc>
      </w:tr>
      <w:tr>
        <w:tc>
          <w:tcPr>
            <w:tcW w:type="dxa" w:w="3120"/>
          </w:tcPr>
          <w:p>
            <w:r>
              <w:rPr>
                <w:rFonts w:ascii="Times New Roman" w:hAnsi="Times New Roman"/>
                <w:sz w:val="20"/>
              </w:rPr>
              <w:t>Median preop GCS (IQR)</w:t>
            </w:r>
          </w:p>
        </w:tc>
        <w:tc>
          <w:tcPr>
            <w:tcW w:type="dxa" w:w="3120"/>
          </w:tcPr>
          <w:p>
            <w:r>
              <w:rPr>
                <w:rFonts w:ascii="Times New Roman" w:hAnsi="Times New Roman"/>
                <w:sz w:val="20"/>
              </w:rPr>
              <w:t>14 [13–15]</w:t>
            </w:r>
          </w:p>
        </w:tc>
        <w:tc>
          <w:tcPr>
            <w:tcW w:type="dxa" w:w="3120"/>
          </w:tcPr>
          <w:p>
            <w:r>
              <w:rPr>
                <w:rFonts w:ascii="Times New Roman" w:hAnsi="Times New Roman"/>
                <w:sz w:val="20"/>
              </w:rPr>
              <w:t>14 [13–15]</w:t>
            </w:r>
          </w:p>
        </w:tc>
      </w:tr>
      <w:tr>
        <w:tc>
          <w:tcPr>
            <w:tcW w:type="dxa" w:w="3120"/>
          </w:tcPr>
          <w:p>
            <w:r>
              <w:rPr>
                <w:rFonts w:ascii="Times New Roman" w:hAnsi="Times New Roman"/>
                <w:sz w:val="20"/>
              </w:rPr>
              <w:t>Postoperative seizure, n (%)</w:t>
            </w:r>
          </w:p>
        </w:tc>
        <w:tc>
          <w:tcPr>
            <w:tcW w:type="dxa" w:w="3120"/>
          </w:tcPr>
          <w:p>
            <w:r>
              <w:rPr>
                <w:rFonts w:ascii="Times New Roman" w:hAnsi="Times New Roman"/>
                <w:sz w:val="20"/>
              </w:rPr>
              <w:t>48 (7.3)</w:t>
            </w:r>
          </w:p>
        </w:tc>
        <w:tc>
          <w:tcPr>
            <w:tcW w:type="dxa" w:w="3120"/>
          </w:tcPr>
          <w:p>
            <w:r>
              <w:rPr>
                <w:rFonts w:ascii="Times New Roman" w:hAnsi="Times New Roman"/>
                <w:sz w:val="20"/>
              </w:rPr>
              <w:t>300 (9.1)</w:t>
            </w:r>
          </w:p>
        </w:tc>
      </w:tr>
    </w:tbl>
    <w:p>
      <w:pPr>
        <w:spacing w:line="360" w:lineRule="auto" w:after="120"/>
        <w:jc w:val="both"/>
      </w:pPr>
      <w:r>
        <w:rPr>
          <w:rFonts w:ascii="Times New Roman" w:hAnsi="Times New Roman"/>
          <w:b w:val="0"/>
          <w:i w:val="0"/>
          <w:sz w:val="22"/>
        </w:rPr>
      </w:r>
    </w:p>
    <w:p>
      <w:pPr>
        <w:pStyle w:val="Heading2"/>
      </w:pPr>
      <w:r>
        <w:rPr>
          <w:rFonts w:ascii="Times New Roman" w:hAnsi="Times New Roman"/>
          <w:color w:val="141F3A"/>
        </w:rPr>
        <w:t>Figures</w:t>
      </w:r>
    </w:p>
    <w:p>
      <w:pPr>
        <w:jc w:val="center"/>
      </w:pPr>
      <w:r>
        <w:drawing>
          <wp:inline xmlns:a="http://schemas.openxmlformats.org/drawingml/2006/main" xmlns:pic="http://schemas.openxmlformats.org/drawingml/2006/picture">
            <wp:extent cx="5943600" cy="5360179"/>
            <wp:docPr id="1" name="Picture 1"/>
            <wp:cNvGraphicFramePr>
              <a:graphicFrameLocks noChangeAspect="1"/>
            </wp:cNvGraphicFramePr>
            <a:graphic>
              <a:graphicData uri="http://schemas.openxmlformats.org/drawingml/2006/picture">
                <pic:pic>
                  <pic:nvPicPr>
                    <pic:cNvPr id="0" name="F1_discrimination.png"/>
                    <pic:cNvPicPr/>
                  </pic:nvPicPr>
                  <pic:blipFill>
                    <a:blip r:embed="rId9"/>
                    <a:stretch>
                      <a:fillRect/>
                    </a:stretch>
                  </pic:blipFill>
                  <pic:spPr>
                    <a:xfrm>
                      <a:off x="0" y="0"/>
                      <a:ext cx="5943600" cy="5360179"/>
                    </a:xfrm>
                    <a:prstGeom prst="rect"/>
                  </pic:spPr>
                </pic:pic>
              </a:graphicData>
            </a:graphic>
          </wp:inline>
        </w:drawing>
      </w:r>
    </w:p>
    <w:p>
      <w:pPr>
        <w:jc w:val="left"/>
      </w:pPr>
      <w:r>
        <w:rPr>
          <w:rFonts w:ascii="Times New Roman" w:hAnsi="Times New Roman"/>
          <w:i/>
          <w:sz w:val="20"/>
        </w:rPr>
        <w:t>Figure 1.  Multi-database discrimination. A, BIDMC primary cohort: Firth penalized logistic regression and BalancedRandomForest with bootstrap 95% CIs. B, eICU leave-one-hospital-out random-effects pooled estimates (REML; estimators compared in Appendix S7) across cohort × feature-set combinations. C, Temporal-leakage audit. Discrimination is re-estimated under progressively stricter exclusion of seizures occurring soon after index (retaining only events at ≥1h, ≥24h and ≥72h, so that the time-windowed features provably predate the event), alongside the strict pre-seizure feature subset (green). Discrimination is preserved rather than collapsing toward chance, indicating the signal is not a leakage artefact; event counts are shown because the ≥72h restriction leaves only 40 events, so its higher point estimate (AUC 0.78, widest CI) reflects small-sample variability rather than a genuine gain, and the ≥24h restriction (76 events, AUC 0.72) is the most reliable leakage-controlled estimate.</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023377"/>
            <wp:docPr id="2" name="Picture 2"/>
            <wp:cNvGraphicFramePr>
              <a:graphicFrameLocks noChangeAspect="1"/>
            </wp:cNvGraphicFramePr>
            <a:graphic>
              <a:graphicData uri="http://schemas.openxmlformats.org/drawingml/2006/picture">
                <pic:pic>
                  <pic:nvPicPr>
                    <pic:cNvPr id="0" name="F2_calibration_dca.png"/>
                    <pic:cNvPicPr/>
                  </pic:nvPicPr>
                  <pic:blipFill>
                    <a:blip r:embed="rId10"/>
                    <a:stretch>
                      <a:fillRect/>
                    </a:stretch>
                  </pic:blipFill>
                  <pic:spPr>
                    <a:xfrm>
                      <a:off x="0" y="0"/>
                      <a:ext cx="5943600" cy="3023377"/>
                    </a:xfrm>
                    <a:prstGeom prst="rect"/>
                  </pic:spPr>
                </pic:pic>
              </a:graphicData>
            </a:graphic>
          </wp:inline>
        </w:drawing>
      </w:r>
    </w:p>
    <w:p>
      <w:pPr>
        <w:jc w:val="left"/>
      </w:pPr>
      <w:r>
        <w:rPr>
          <w:rFonts w:ascii="Times New Roman" w:hAnsi="Times New Roman"/>
          <w:i/>
          <w:sz w:val="20"/>
        </w:rPr>
        <w:t>Figure 2.  Calibration and clinical utility of the candidate model. A, LOWESS-smoothed calibration (observed event rate versus predicted risk, with a 95% bootstrap band) for the candidate BIDMC postoperative-B (Firth) model and the external eICU Set C model, each drawn over the range of predicted risk it actually produces; the marginal rug shows the density of predicted risk. The candidate model is well calibrated in the mean (mean predicted risk equals the 7% base rate) but under-dispersed, so its predictions are compressed into a narrow low range near the base rate rather than extending up the diagonal. B, Decision-curve net benefit computed from the same out-of-fold predictions; both models exceed 'treat all' and 'treat none' across the clinically relevant 5–15% threshold band.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114629"/>
            <wp:docPr id="3" name="Picture 3"/>
            <wp:cNvGraphicFramePr>
              <a:graphicFrameLocks noChangeAspect="1"/>
            </wp:cNvGraphicFramePr>
            <a:graphic>
              <a:graphicData uri="http://schemas.openxmlformats.org/drawingml/2006/picture">
                <pic:pic>
                  <pic:nvPicPr>
                    <pic:cNvPr id="0" name="F3_method_battery.png"/>
                    <pic:cNvPicPr/>
                  </pic:nvPicPr>
                  <pic:blipFill>
                    <a:blip r:embed="rId11"/>
                    <a:stretch>
                      <a:fillRect/>
                    </a:stretch>
                  </pic:blipFill>
                  <pic:spPr>
                    <a:xfrm>
                      <a:off x="0" y="0"/>
                      <a:ext cx="5943600" cy="4114629"/>
                    </a:xfrm>
                    <a:prstGeom prst="rect"/>
                  </pic:spPr>
                </pic:pic>
              </a:graphicData>
            </a:graphic>
          </wp:inline>
        </w:drawing>
      </w:r>
    </w:p>
    <w:p>
      <w:pPr>
        <w:jc w:val="left"/>
      </w:pPr>
      <w:r>
        <w:rPr>
          <w:rFonts w:ascii="Times New Roman" w:hAnsi="Times New Roman"/>
          <w:i/>
          <w:sz w:val="20"/>
        </w:rPr>
        <w:t>Figure 3.  Eleven-method modelling battery on BIDMC postoperative-A. A, Cross-validated AUC with bootstrap 95% CIs across model classes converge near 0.68. The fifteen rows comprise the eleven model classes plus four configuration variants of methods already counted (Bayesian logistic regression under two priors; stacking with and without isotonic post-calibration), not additional model classes. B, Brier score across the same models. The Firth penalized logistic regression candidate model (rust) matches the discrimination of every well-behaved alternative while delivering threefold-better calibration than BalancedRandomForest (navy), which serves only as the DeLong comparison anchor.</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076954"/>
            <wp:docPr id="4" name="Picture 4"/>
            <wp:cNvGraphicFramePr>
              <a:graphicFrameLocks noChangeAspect="1"/>
            </wp:cNvGraphicFramePr>
            <a:graphic>
              <a:graphicData uri="http://schemas.openxmlformats.org/drawingml/2006/picture">
                <pic:pic>
                  <pic:nvPicPr>
                    <pic:cNvPr id="0" name="F4_conformal.png"/>
                    <pic:cNvPicPr/>
                  </pic:nvPicPr>
                  <pic:blipFill>
                    <a:blip r:embed="rId12"/>
                    <a:stretch>
                      <a:fillRect/>
                    </a:stretch>
                  </pic:blipFill>
                  <pic:spPr>
                    <a:xfrm>
                      <a:off x="0" y="0"/>
                      <a:ext cx="5943600" cy="3076954"/>
                    </a:xfrm>
                    <a:prstGeom prst="rect"/>
                  </pic:spPr>
                </pic:pic>
              </a:graphicData>
            </a:graphic>
          </wp:inline>
        </w:drawing>
      </w:r>
    </w:p>
    <w:p>
      <w:pPr>
        <w:jc w:val="left"/>
      </w:pPr>
      <w:r>
        <w:rPr>
          <w:rFonts w:ascii="Times New Roman" w:hAnsi="Times New Roman"/>
          <w:i/>
          <w:sz w:val="20"/>
        </w:rPr>
        <w:t>Figure 4.  Class-conditional conformal prediction on the candidate Firth postoperative-B model. A, Empirical class-conditional coverage near the target 1−α across α ∈ {0.05, 0.10, 0.20} (90.3% no-seizure, 93.8% seizure at α = 0.10). B, Rule-out and rule-in singleton fractions versus α; at α = 0.10 the procedure delivers a confident singleton in 22% of patients (rule-out 11%, rule-in 11%) and defers the remaining 78%. Each prediction set maps to an action: singleton {no-seizure} → observation (skip AED); singleton {seizure} → continuous EEG plus targeted AED; doubleton {seizure, no-seizure} → defer to clinical judgment. Conformal quantiles are fit on a held-out calibration split; rates and coverage are out-of-fold.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612183"/>
            <wp:docPr id="5" name="Picture 5"/>
            <wp:cNvGraphicFramePr>
              <a:graphicFrameLocks noChangeAspect="1"/>
            </wp:cNvGraphicFramePr>
            <a:graphic>
              <a:graphicData uri="http://schemas.openxmlformats.org/drawingml/2006/picture">
                <pic:pic>
                  <pic:nvPicPr>
                    <pic:cNvPr id="0" name="F5_cea.png"/>
                    <pic:cNvPicPr/>
                  </pic:nvPicPr>
                  <pic:blipFill>
                    <a:blip r:embed="rId13"/>
                    <a:stretch>
                      <a:fillRect/>
                    </a:stretch>
                  </pic:blipFill>
                  <pic:spPr>
                    <a:xfrm>
                      <a:off x="0" y="0"/>
                      <a:ext cx="5943600" cy="4612183"/>
                    </a:xfrm>
                    <a:prstGeom prst="rect"/>
                  </pic:spPr>
                </pic:pic>
              </a:graphicData>
            </a:graphic>
          </wp:inline>
        </w:drawing>
      </w:r>
    </w:p>
    <w:p>
      <w:pPr>
        <w:jc w:val="left"/>
      </w:pPr>
      <w:r>
        <w:rPr>
          <w:rFonts w:ascii="Times New Roman" w:hAnsi="Times New Roman"/>
          <w:i/>
          <w:sz w:val="20"/>
        </w:rPr>
        <w:t>Figure 5.  Cost-effectiveness of the deployable postoperative-B model, from 10,000-iteration probabilistic sensitivity analysis (the base-case decision tree is shown in the Supplementary Appendix). A, Cost-effectiveness plane for the base case: incremental cost and QALYs of each active strategy versus observation (faint points, PSA iterations; solid markers, means; dashed line, $100,000/QALY). B–D, Cost-effectiveness acceptability curves (probability each strategy is optimal versus willingness-to-pay) under three scenarios that differ only in AED efficacy, AED disutility and continuous-EEG cost, showing that the optimal strategy is assumption-dependent. B, cSDH-grounded base case (AED relative-risk reduction mean 0.15, 95% interval 0.01–0.45, no proven effect; cEEG cost-effective), matching the value-of-information analysis: ML-guided cEEG is most often optimal. C, AED modestly effective with real harm and costly monitoring (relative-risk reduction ~0.20, cEEG cost ×2.5): ML-guided AED is most often optimal. D, optimistic imported efficacy with negligible AED harm (relative-risk reduction ~0.45): universal AED is most often optimal. Universal AED is preferred only under the least cSDH-supported assumptions (panel D); see Figure 6 for the formal threshold analysis.</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365990"/>
            <wp:docPr id="6" name="Picture 6"/>
            <wp:cNvGraphicFramePr>
              <a:graphicFrameLocks noChangeAspect="1"/>
            </wp:cNvGraphicFramePr>
            <a:graphic>
              <a:graphicData uri="http://schemas.openxmlformats.org/drawingml/2006/picture">
                <pic:pic>
                  <pic:nvPicPr>
                    <pic:cNvPr id="0" name="F6_voi.png"/>
                    <pic:cNvPicPr/>
                  </pic:nvPicPr>
                  <pic:blipFill>
                    <a:blip r:embed="rId14"/>
                    <a:stretch>
                      <a:fillRect/>
                    </a:stretch>
                  </pic:blipFill>
                  <pic:spPr>
                    <a:xfrm>
                      <a:off x="0" y="0"/>
                      <a:ext cx="5943600" cy="3365990"/>
                    </a:xfrm>
                    <a:prstGeom prst="rect"/>
                  </pic:spPr>
                </pic:pic>
              </a:graphicData>
            </a:graphic>
          </wp:inline>
        </w:drawing>
      </w:r>
    </w:p>
    <w:p>
      <w:pPr>
        <w:jc w:val="left"/>
      </w:pPr>
      <w:r>
        <w:rPr>
          <w:rFonts w:ascii="Times New Roman" w:hAnsi="Times New Roman"/>
          <w:i/>
          <w:sz w:val="20"/>
        </w:rPr>
        <w:t>Figure 6.  Decision sensitivity and value of information, anchored at the cSDH-grounded base case (AED relative-risk reduction 0.15), where ML-guided allocation is preferred by ≈$1,800/patient. A, One-way sensitivity at WTP $100,000/QALY: net-benefit swing of the best ML-guided strategy (AED-only or with cEEG) versus universal AED across each parameter's plausible range. AED efficacy is the only parameter whose range can make universal AED optimal (rust); ML-guided allocation stays optimal across the range of every other parameter (navy). B, Two-way optimal-strategy map over AED relative-risk reduction and AED disutility: ML-guided allocation is preferred across the cSDH-plausible region, universal AED only under high efficacy and negligible harm. Under cSDH-grounded priors the population expected value of perfect information at $100k/QALY is approximately $23M over 10 years.</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