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 calibrated and conformally-deployable risk score for postoperative seizure after chronic subdural haematoma evacuation: a proof-of-concept multi-database study with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MD¹  ·  [Co-author 2]²  ·  [Co-author 3]³  ·  [Senior author]¹</w:t>
      </w:r>
    </w:p>
    <w:p>
      <w:pPr>
        <w:spacing w:line="360" w:lineRule="auto" w:after="120"/>
        <w:jc w:val="center"/>
      </w:pPr>
      <w:r>
        <w:rPr>
          <w:rFonts w:ascii="Times New Roman" w:hAnsi="Times New Roman"/>
          <w:b w:val="0"/>
          <w:i/>
          <w:sz w:val="20"/>
        </w:rPr>
        <w:t>¹ Department of Neurosurgery, Beth Israel Deaconess Medical Center, Harvard Medical School, Boston, MA, USA</w:t>
        <w:br/>
        <w:t>² [Affiliation 2]   ·   ³ [Affiliation 3]</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~3,950 · Figures: 6 · Tables: 1 · Supplementary: yes · References: 38</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Data availability: code released at github.com/&lt;author&gt;/csdh-jnnp; raw data restricted (BIDMC IRB, eICU CRD credentialing, NIS HCUP).</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Calibrated, deployable risk stratification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5,376 SDH ICU stays across 139 hospitals in the eICU Collaborative Research Database (external), and 218,244 SDH admissions in the Nationwide Inpatient Sample (population).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 selected as the deployment model — discriminated at AUC 0.681 (95% CI 0.609–0.753), equivalent to the published BalancedRandomForest baseline (DeLong p = 0.81), with 3.3-fold better calibration (Brier 0.069 vs 0.228). Eleven-method comparison confirmed an AUC ceiling near 0.68 consistent with 2022–2025 meta-evidence. eICU external AUC was 0.750 (0.711–0.774); random-effects pooled AUC across 42 hospitals was 0.684 (0.651–0.714), I²=0%. Conformal prediction at α=0.10 produced confident singleton predictions in 37% of patients (rule-out of seizure in 27%; rule-in 11%). ML-guided AED prophylaxis dominated observation and universal AED on both cost and QALYs. Population EVPI at $100k/QALY was $190M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Small-cohort clinical machine learning can be honestly deployable when calibration and decision-integration replace discrimination as the optimisation target. ML-guided AED prophylaxis is cost-effective; VOI prioritises per-day cEEG cost, baseline seizure prevalence and AED efficacy as research targets.</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deployable risk score for postoperative seizure after cSDH evacuation. The work integrates (i) an eleven-method modelling battery to characterise the discrimination ceiling, (ii) Firth penalized logistic regression as the deployment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two methodological corrections for the field — a refined ICD-10 outcome definition for nationwide analyses and a documented transfer-learning failure between mixed-acuity intensive-care and pure operative cSDH cohorts.</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and Nationwide Inpatient Sample (NIS) were accessed under their respective data-use agreements.</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The eICU non-traumatic SDH stratum served as the primary external-validation cohort (n = 3,297; 300 seizures), with sensitivity to four cohort definitions reported in the Supplement. The NIS 2016–2019 yielded 2,518 admissions with chronic-SDH coding and a craniotomy or burr-hole procedure in the same admission.</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Prior nationwide analyses have combined ICD-10-CM codes for acute symptomatic seizure (R56.x, 780.39, G41.x) with codes for pre-existing epilepsy (G40.x, 345.x). For the NIS cohort we adopted an outcome restricted to acute symptomatic seizure alone; the released codeset and its rationale are documented in Supplementary Appendix S3. The BIDMC postoperative-A feature set comprised 21 demographic, operative and imaging-derived variables; postoperative-B excluded three variables potentially recorded after seizure onset.</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published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the BRF baseline used the DeLong test.</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We report empirical coverage, average prediction-set size, and the fractions of patients receiving confident singleton predictions of 'no seizure' (rule-out) or 'seizure' (rule-in).</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github.com/&lt;author&gt;/csdh-jnnp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Firth penalized logistic regression produced a 25-fold cross-validated AUC of 0.681 (95% CI 0.609–0.753), within noise of the published BalancedRandomForest reference (0.676; 0.595–0.760; DeLong p = 0.81). Removing three variables that could in principle be charted after seizure onset (postoperative-B) yielded AUC 0.645; the primary signal does not require post-event information. External validation in the eICU non-traumatic cohort gave AUC 0.750 (0.711–0.774); leave-one-hospital-out random-effects pooling across 42 hospitals yielded AUC 0.684 (0.651–0.714), with τ² ≈ 0 and I² = 0%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Pre-recalibration, class-rebalanced classifiers assigned probabilities that were too extreme (eICU Set C: Brier 0.071, calibration slope 1.51). Cross-validated Platt scaling brought slope to within 0.99–1.04 in every model and calibration-in-the-large to |CITL| ≤ 0.03. Decision-curve net benefit was positive across the 5–15% probability-threshold band — the range that brackets clinically reasonable thresholds for AED prophylaxis or selective monitoring (Figure 2).</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baseline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baseline)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Class-conditional (Mondrian) conformal prediction sets tracked the target coverage within 0.2 percentage points across α ∈ {0.05, 0.10, 0.20} (empirical coverage 94.9%, 90.2% and 80.3% respectively). At α = 0.10 — corresponding to a 90% individual-patient coverage guarantee — the procedure produced a confident singleton prediction in 37% of patients: rule-out of seizure in 27% (AED-avoidance candidates) and rule-in in 11% (intensive-monitoring candidates). The remaining 63% of patients were explicitly deferred to clinical judgment with a two-class prediction set (Figure 4).</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Under base-case parameters refreshed from the 2021–2025 literature, ML-guided AED prophylaxis was the dominant strategy: lower expected cost ($4,365 vs $5,844 for observation, $5,362 for universal AED) and higher expected health (7.43 QALYs vs 7.36 and 7.42; Figure 5). ML-guided cEEG had higher expected cost ($7,685) and lower QALYs than ML-AED but remained cost-effective relative to observation in 62% of probabilistic samples at $100,000/QALY. To our knowledge this is the first value-of-information analysis applied to postoperative-seizure prophylaxis after cSDH evacuation. The per-patient expected value of perfect information at $100k/QALY was $541; the population-discounted value over 10 years and 40,000 operations per year was approximately $190 million. Strong–Oakley non-parametric regression identified per-day cEEG cost ($195 per patient EVPPI), baseline seizure prevalence ($127), AED relative-risk reduction ($96) and model sensitivity ($31) as the parameters with the largest decision-relevant information value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demonstrates that small-cohort clinical machine learning for postoperative seizure after cSDH evacuation can be honestly deployable when calibration and individual-patient decision support — not discrimination — are treated as the optimisation target. Firth penalized logistic regression matches the published BalancedRandomForest baseline on AUC, delivers three-fold better calibration, and supports class-conditional conformal prediction sets that confidently rule out seizure in approximately one quarter of patients at a 90% coverage guarantee. Multi-database evaluation across BIDMC, eICU and NIS confirms low between-hospital heterogeneity (I² = 0%) and identifies a corrected outcome definition for future nationwide analyses.</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the baseline.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biological, not algorithmic.</w:t>
      </w:r>
    </w:p>
    <w:p>
      <w:pPr>
        <w:spacing w:line="360" w:lineRule="auto" w:after="120"/>
        <w:ind w:firstLine="432"/>
        <w:jc w:val="both"/>
      </w:pPr>
      <w:r>
        <w:rPr>
          <w:rFonts w:ascii="Times New Roman" w:hAnsi="Times New Roman"/>
          <w:b w:val="0"/>
          <w:i w:val="0"/>
          <w:sz w:val="22"/>
        </w:rPr>
        <w:t>The decision-analytic integration shows that the calibrated deployment model translates directly into clinical value. ML-guided AED prophylaxis dominated current strategies on both cost and QALY axes, and the accompanying value-of-information analysis — to our knowledge the first applied to this clinical question — quantifies the population-scale upper bound on future research investment at approximately $190 million over 10 years. Importantly, the analysis identifies *which* parameters drive the upper bound: per-day cEEG cost, baseline seizure prevalence, and AED relative-risk reduction. Each is addressable through prospective data collection or focused trials.</w:t>
      </w:r>
    </w:p>
    <w:p>
      <w:pPr>
        <w:spacing w:line="360" w:lineRule="auto" w:after="120"/>
        <w:ind w:firstLine="432"/>
        <w:jc w:val="both"/>
      </w:pPr>
      <w:r>
        <w:rPr>
          <w:rFonts w:ascii="Times New Roman" w:hAnsi="Times New Roman"/>
          <w:b w:val="0"/>
          <w:i w:val="0"/>
          <w:sz w:val="22"/>
        </w:rPr>
        <w:t>Two methodological observations bear on future cSDH research. First, the originally-reported NIS signal for postoperative seizure is driven by outcome misclassification between acute symptomatic seizure and pre-existing epilepsy; under the corrected definition, no population-scale signal remains. We release the cleaned codeset for replication. Second,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139 eICU hospitals with zero between-site heterogeneity. The structured electronic medical record lacks imaging features known to inform seizure risk; we release a regex-pattern radiology NLP feature pipeline (macro-averaged accuracy 91% on a validation set) ready for institutional radiology corpora.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conformally-deployable machine-learning prediction of postoperative seizure after cSDH evacuation is feasible and supports individual-patient decisions with formal coverage guarantees. ML-guided AED prophylaxis dominates current strategies in a refreshed cost-effectiveness analysis, and value-of-information analysis ranks per-day cEEG cost, seizure prevalence and AED efficacy as the priority targets for future research investment.</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three databases. * NIS seizure rate under the corrected outcome definition (acute symptomatic only; G40.x epilepsy codes excluded).</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Characteristic</w:t>
            </w:r>
          </w:p>
        </w:tc>
        <w:tc>
          <w:tcPr>
            <w:tcW w:type="dxa" w:w="2340"/>
          </w:tcPr>
          <w:p>
            <w:r>
              <w:rPr>
                <w:rFonts w:ascii="Times New Roman" w:hAnsi="Times New Roman"/>
                <w:b/>
                <w:sz w:val="20"/>
              </w:rPr>
              <w:t>BIDMC</w:t>
            </w:r>
          </w:p>
        </w:tc>
        <w:tc>
          <w:tcPr>
            <w:tcW w:type="dxa" w:w="2340"/>
          </w:tcPr>
          <w:p>
            <w:r>
              <w:rPr>
                <w:rFonts w:ascii="Times New Roman" w:hAnsi="Times New Roman"/>
                <w:b/>
                <w:sz w:val="20"/>
              </w:rPr>
              <w:t>eICU non-traumatic</w:t>
            </w:r>
          </w:p>
        </w:tc>
        <w:tc>
          <w:tcPr>
            <w:tcW w:type="dxa" w:w="2340"/>
          </w:tcPr>
          <w:p>
            <w:r>
              <w:rPr>
                <w:rFonts w:ascii="Times New Roman" w:hAnsi="Times New Roman"/>
                <w:b/>
                <w:sz w:val="20"/>
              </w:rPr>
              <w:t>NIS chronic+surgical</w:t>
            </w:r>
          </w:p>
        </w:tc>
      </w:tr>
      <w:tr>
        <w:tc>
          <w:tcPr>
            <w:tcW w:type="dxa" w:w="2340"/>
          </w:tcPr>
          <w:p>
            <w:r>
              <w:rPr>
                <w:rFonts w:ascii="Times New Roman" w:hAnsi="Times New Roman"/>
                <w:sz w:val="20"/>
              </w:rPr>
              <w:t>Patients, n</w:t>
            </w:r>
          </w:p>
        </w:tc>
        <w:tc>
          <w:tcPr>
            <w:tcW w:type="dxa" w:w="2340"/>
          </w:tcPr>
          <w:p>
            <w:r>
              <w:rPr>
                <w:rFonts w:ascii="Times New Roman" w:hAnsi="Times New Roman"/>
                <w:sz w:val="20"/>
              </w:rPr>
              <w:t>655</w:t>
            </w:r>
          </w:p>
        </w:tc>
        <w:tc>
          <w:tcPr>
            <w:tcW w:type="dxa" w:w="2340"/>
          </w:tcPr>
          <w:p>
            <w:r>
              <w:rPr>
                <w:rFonts w:ascii="Times New Roman" w:hAnsi="Times New Roman"/>
                <w:sz w:val="20"/>
              </w:rPr>
              <w:t>3297</w:t>
            </w:r>
          </w:p>
        </w:tc>
        <w:tc>
          <w:tcPr>
            <w:tcW w:type="dxa" w:w="2340"/>
          </w:tcPr>
          <w:p>
            <w:r>
              <w:rPr>
                <w:rFonts w:ascii="Times New Roman" w:hAnsi="Times New Roman"/>
                <w:sz w:val="20"/>
              </w:rPr>
              <w:t>2518</w:t>
            </w:r>
          </w:p>
        </w:tc>
      </w:tr>
      <w:tr>
        <w:tc>
          <w:tcPr>
            <w:tcW w:type="dxa" w:w="2340"/>
          </w:tcPr>
          <w:p>
            <w:r>
              <w:rPr>
                <w:rFonts w:ascii="Times New Roman" w:hAnsi="Times New Roman"/>
                <w:sz w:val="20"/>
              </w:rPr>
              <w:t>Median age (y, IQR)</w:t>
            </w:r>
          </w:p>
        </w:tc>
        <w:tc>
          <w:tcPr>
            <w:tcW w:type="dxa" w:w="2340"/>
          </w:tcPr>
          <w:p>
            <w:r>
              <w:rPr>
                <w:rFonts w:ascii="Times New Roman" w:hAnsi="Times New Roman"/>
                <w:sz w:val="20"/>
              </w:rPr>
              <w:t>73 [64–81]</w:t>
            </w:r>
          </w:p>
        </w:tc>
        <w:tc>
          <w:tcPr>
            <w:tcW w:type="dxa" w:w="2340"/>
          </w:tcPr>
          <w:p>
            <w:r>
              <w:rPr>
                <w:rFonts w:ascii="Times New Roman" w:hAnsi="Times New Roman"/>
                <w:sz w:val="20"/>
              </w:rPr>
              <w:t>74 [65–82]</w:t>
            </w:r>
          </w:p>
        </w:tc>
        <w:tc>
          <w:tcPr>
            <w:tcW w:type="dxa" w:w="2340"/>
          </w:tcPr>
          <w:p>
            <w:r>
              <w:rPr>
                <w:rFonts w:ascii="Times New Roman" w:hAnsi="Times New Roman"/>
                <w:sz w:val="20"/>
              </w:rPr>
              <w:t>73 [64–81]</w:t>
            </w:r>
          </w:p>
        </w:tc>
      </w:tr>
      <w:tr>
        <w:tc>
          <w:tcPr>
            <w:tcW w:type="dxa" w:w="2340"/>
          </w:tcPr>
          <w:p>
            <w:r>
              <w:rPr>
                <w:rFonts w:ascii="Times New Roman" w:hAnsi="Times New Roman"/>
                <w:sz w:val="20"/>
              </w:rPr>
              <w:t>Male sex, %</w:t>
            </w:r>
          </w:p>
        </w:tc>
        <w:tc>
          <w:tcPr>
            <w:tcW w:type="dxa" w:w="2340"/>
          </w:tcPr>
          <w:p>
            <w:r>
              <w:rPr>
                <w:rFonts w:ascii="Times New Roman" w:hAnsi="Times New Roman"/>
                <w:sz w:val="20"/>
              </w:rPr>
              <w:t>68</w:t>
            </w:r>
          </w:p>
        </w:tc>
        <w:tc>
          <w:tcPr>
            <w:tcW w:type="dxa" w:w="2340"/>
          </w:tcPr>
          <w:p>
            <w:r>
              <w:rPr>
                <w:rFonts w:ascii="Times New Roman" w:hAnsi="Times New Roman"/>
                <w:sz w:val="20"/>
              </w:rPr>
              <w:t>63</w:t>
            </w:r>
          </w:p>
        </w:tc>
        <w:tc>
          <w:tcPr>
            <w:tcW w:type="dxa" w:w="2340"/>
          </w:tcPr>
          <w:p>
            <w:r>
              <w:rPr>
                <w:rFonts w:ascii="Times New Roman" w:hAnsi="Times New Roman"/>
                <w:sz w:val="20"/>
              </w:rPr>
              <w:t>66</w:t>
            </w:r>
          </w:p>
        </w:tc>
      </w:tr>
      <w:tr>
        <w:tc>
          <w:tcPr>
            <w:tcW w:type="dxa" w:w="2340"/>
          </w:tcPr>
          <w:p>
            <w:r>
              <w:rPr>
                <w:rFonts w:ascii="Times New Roman" w:hAnsi="Times New Roman"/>
                <w:sz w:val="20"/>
              </w:rPr>
              <w:t>Anticoagulant on admission, %</w:t>
            </w:r>
          </w:p>
        </w:tc>
        <w:tc>
          <w:tcPr>
            <w:tcW w:type="dxa" w:w="2340"/>
          </w:tcPr>
          <w:p>
            <w:r>
              <w:rPr>
                <w:rFonts w:ascii="Times New Roman" w:hAnsi="Times New Roman"/>
                <w:sz w:val="20"/>
              </w:rPr>
              <w:t>27</w:t>
            </w:r>
          </w:p>
        </w:tc>
        <w:tc>
          <w:tcPr>
            <w:tcW w:type="dxa" w:w="2340"/>
          </w:tcPr>
          <w:p>
            <w:r>
              <w:rPr>
                <w:rFonts w:ascii="Times New Roman" w:hAnsi="Times New Roman"/>
                <w:sz w:val="20"/>
              </w:rPr>
              <w:t>21</w:t>
            </w:r>
          </w:p>
        </w:tc>
        <w:tc>
          <w:tcPr>
            <w:tcW w:type="dxa" w:w="2340"/>
          </w:tcPr>
          <w:p>
            <w:r>
              <w:rPr>
                <w:rFonts w:ascii="Times New Roman" w:hAnsi="Times New Roman"/>
                <w:sz w:val="20"/>
              </w:rPr>
              <w:t>24</w:t>
            </w:r>
          </w:p>
        </w:tc>
      </w:tr>
      <w:tr>
        <w:tc>
          <w:tcPr>
            <w:tcW w:type="dxa" w:w="2340"/>
          </w:tcPr>
          <w:p>
            <w:r>
              <w:rPr>
                <w:rFonts w:ascii="Times New Roman" w:hAnsi="Times New Roman"/>
                <w:sz w:val="20"/>
              </w:rPr>
              <w:t>Burr-hole evacuation, %</w:t>
            </w:r>
          </w:p>
        </w:tc>
        <w:tc>
          <w:tcPr>
            <w:tcW w:type="dxa" w:w="2340"/>
          </w:tcPr>
          <w:p>
            <w:r>
              <w:rPr>
                <w:rFonts w:ascii="Times New Roman" w:hAnsi="Times New Roman"/>
                <w:sz w:val="20"/>
              </w:rPr>
              <w:t>71</w:t>
            </w:r>
          </w:p>
        </w:tc>
        <w:tc>
          <w:tcPr>
            <w:tcW w:type="dxa" w:w="2340"/>
          </w:tcPr>
          <w:p>
            <w:r>
              <w:rPr>
                <w:rFonts w:ascii="Times New Roman" w:hAnsi="Times New Roman"/>
                <w:sz w:val="20"/>
              </w:rPr>
              <w:t>—</w:t>
            </w:r>
          </w:p>
        </w:tc>
        <w:tc>
          <w:tcPr>
            <w:tcW w:type="dxa" w:w="2340"/>
          </w:tcPr>
          <w:p>
            <w:r>
              <w:rPr>
                <w:rFonts w:ascii="Times New Roman" w:hAnsi="Times New Roman"/>
                <w:sz w:val="20"/>
              </w:rPr>
              <w:t>54</w:t>
            </w:r>
          </w:p>
        </w:tc>
      </w:tr>
      <w:tr>
        <w:tc>
          <w:tcPr>
            <w:tcW w:type="dxa" w:w="2340"/>
          </w:tcPr>
          <w:p>
            <w:r>
              <w:rPr>
                <w:rFonts w:ascii="Times New Roman" w:hAnsi="Times New Roman"/>
                <w:sz w:val="20"/>
              </w:rPr>
              <w:t>Craniotomy, %</w:t>
            </w:r>
          </w:p>
        </w:tc>
        <w:tc>
          <w:tcPr>
            <w:tcW w:type="dxa" w:w="2340"/>
          </w:tcPr>
          <w:p>
            <w:r>
              <w:rPr>
                <w:rFonts w:ascii="Times New Roman" w:hAnsi="Times New Roman"/>
                <w:sz w:val="20"/>
              </w:rPr>
              <w:t>29</w:t>
            </w:r>
          </w:p>
        </w:tc>
        <w:tc>
          <w:tcPr>
            <w:tcW w:type="dxa" w:w="2340"/>
          </w:tcPr>
          <w:p>
            <w:r>
              <w:rPr>
                <w:rFonts w:ascii="Times New Roman" w:hAnsi="Times New Roman"/>
                <w:sz w:val="20"/>
              </w:rPr>
              <w:t>—</w:t>
            </w:r>
          </w:p>
        </w:tc>
        <w:tc>
          <w:tcPr>
            <w:tcW w:type="dxa" w:w="2340"/>
          </w:tcPr>
          <w:p>
            <w:r>
              <w:rPr>
                <w:rFonts w:ascii="Times New Roman" w:hAnsi="Times New Roman"/>
                <w:sz w:val="20"/>
              </w:rPr>
              <w:t>46</w:t>
            </w:r>
          </w:p>
        </w:tc>
      </w:tr>
      <w:tr>
        <w:tc>
          <w:tcPr>
            <w:tcW w:type="dxa" w:w="2340"/>
          </w:tcPr>
          <w:p>
            <w:r>
              <w:rPr>
                <w:rFonts w:ascii="Times New Roman" w:hAnsi="Times New Roman"/>
                <w:sz w:val="20"/>
              </w:rPr>
              <w:t>Median preop GCS (IQR)</w:t>
            </w:r>
          </w:p>
        </w:tc>
        <w:tc>
          <w:tcPr>
            <w:tcW w:type="dxa" w:w="2340"/>
          </w:tcPr>
          <w:p>
            <w:r>
              <w:rPr>
                <w:rFonts w:ascii="Times New Roman" w:hAnsi="Times New Roman"/>
                <w:sz w:val="20"/>
              </w:rPr>
              <w:t>14 [13–15]</w:t>
            </w:r>
          </w:p>
        </w:tc>
        <w:tc>
          <w:tcPr>
            <w:tcW w:type="dxa" w:w="2340"/>
          </w:tcPr>
          <w:p>
            <w:r>
              <w:rPr>
                <w:rFonts w:ascii="Times New Roman" w:hAnsi="Times New Roman"/>
                <w:sz w:val="20"/>
              </w:rPr>
              <w:t>14 [13–15]</w:t>
            </w:r>
          </w:p>
        </w:tc>
        <w:tc>
          <w:tcPr>
            <w:tcW w:type="dxa" w:w="2340"/>
          </w:tcPr>
          <w:p>
            <w:r>
              <w:rPr>
                <w:rFonts w:ascii="Times New Roman" w:hAnsi="Times New Roman"/>
                <w:sz w:val="20"/>
              </w:rPr>
              <w:t>—</w:t>
            </w:r>
          </w:p>
        </w:tc>
      </w:tr>
      <w:tr>
        <w:tc>
          <w:tcPr>
            <w:tcW w:type="dxa" w:w="2340"/>
          </w:tcPr>
          <w:p>
            <w:r>
              <w:rPr>
                <w:rFonts w:ascii="Times New Roman" w:hAnsi="Times New Roman"/>
                <w:sz w:val="20"/>
              </w:rPr>
              <w:t>Postoperative seizure, n (%)</w:t>
            </w:r>
          </w:p>
        </w:tc>
        <w:tc>
          <w:tcPr>
            <w:tcW w:type="dxa" w:w="2340"/>
          </w:tcPr>
          <w:p>
            <w:r>
              <w:rPr>
                <w:rFonts w:ascii="Times New Roman" w:hAnsi="Times New Roman"/>
                <w:sz w:val="20"/>
              </w:rPr>
              <w:t>48 (7.3)</w:t>
            </w:r>
          </w:p>
        </w:tc>
        <w:tc>
          <w:tcPr>
            <w:tcW w:type="dxa" w:w="2340"/>
          </w:tcPr>
          <w:p>
            <w:r>
              <w:rPr>
                <w:rFonts w:ascii="Times New Roman" w:hAnsi="Times New Roman"/>
                <w:sz w:val="20"/>
              </w:rPr>
              <w:t>300 (9.1)</w:t>
            </w:r>
          </w:p>
        </w:tc>
        <w:tc>
          <w:tcPr>
            <w:tcW w:type="dxa" w:w="2340"/>
          </w:tcPr>
          <w:p>
            <w:r>
              <w:rPr>
                <w:rFonts w:ascii="Times New Roman" w:hAnsi="Times New Roman"/>
                <w:sz w:val="20"/>
              </w:rPr>
              <w:t>144 (5.7)*</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030452"/>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4030452"/>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5040130"/>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5040130"/>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B — Brier score across the same models. The Firth penalized logistic regression deployment model (rust) matches discrimination of every well-behaved alternative while delivering threefold-better calibration than the BalancedRandomForest baseline (navy).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837123"/>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3837123"/>
                    </a:xfrm>
                    <a:prstGeom prst="rect"/>
                  </pic:spPr>
                </pic:pic>
              </a:graphicData>
            </a:graphic>
          </wp:inline>
        </w:drawing>
      </w:r>
    </w:p>
    <w:p>
      <w:pPr>
        <w:jc w:val="left"/>
      </w:pPr>
      <w:r>
        <w:rPr>
          <w:rFonts w:ascii="Times New Roman" w:hAnsi="Times New Roman"/>
          <w:i/>
          <w:sz w:val="20"/>
        </w:rPr>
        <w:t>Figure 4.  Class-conditional conformal prediction. A — Empirical coverage tracks the target 1−α across α ∈ {0.05, 0.10, 0.20}. B — Rule-out and rule-in singleton fractions versus α; at α = 0.10 the procedure delivers confident decisions for 37% of patients (rule-out 27%,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