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calibration-focused, conformal-prediction proof-of-concept with multi-database evaluation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46</w:t>
      </w:r>
    </w:p>
    <w:p>
      <w:pPr>
        <w:spacing w:line="360" w:lineRule="auto" w:after="120"/>
        <w:jc w:val="both"/>
      </w:pPr>
      <w:r>
        <w:rPr>
          <w:rFonts w:ascii="Times New Roman" w:hAnsi="Times New Roman"/>
          <w:b/>
          <w:i w:val="0"/>
          <w:sz w:val="22"/>
        </w:rPr>
        <w:t xml:space="preserve">Keywords: </w:t>
      </w:r>
      <w:r>
        <w:rPr>
          <w:rFonts w:ascii="Times New Roman" w:hAnsi="Times New Roman"/>
          <w:b w:val="0"/>
          <w:i w:val="0"/>
          <w:sz w:val="22"/>
        </w:rPr>
        <w:t>chronic subdural haematoma; postoperative seizure; clinical prediction model; conformal prediction; cost-effectiveness and value-of-information analysis</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eight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Funding: This study received no specific grant from any funding agency in the public, commercial or not-for-profit sectors.</w:t>
      </w:r>
    </w:p>
    <w:p>
      <w:pPr>
        <w:spacing w:line="360" w:lineRule="auto" w:after="120"/>
        <w:jc w:val="both"/>
      </w:pPr>
      <w:r>
        <w:rPr>
          <w:rFonts w:ascii="Times New Roman" w:hAnsi="Times New Roman"/>
          <w:b w:val="0"/>
          <w:i w:val="0"/>
          <w:sz w:val="20"/>
        </w:rPr>
        <w:t>Conflicts of interest: None declared.</w:t>
      </w:r>
    </w:p>
    <w:p>
      <w:pPr>
        <w:spacing w:line="360" w:lineRule="auto" w:after="120"/>
        <w:jc w:val="both"/>
      </w:pPr>
      <w:r>
        <w:rPr>
          <w:rFonts w:ascii="Times New Roman" w:hAnsi="Times New Roman"/>
          <w:b w:val="0"/>
          <w:i w:val="0"/>
          <w:sz w:val="20"/>
        </w:rPr>
        <w:t>Author contributions: N.P.-B. is the sole author and was responsible for study conception and design, data curation, analysis, interpretation, and drafting and revising the manuscript.</w:t>
      </w:r>
    </w:p>
    <w:p>
      <w:pPr>
        <w:spacing w:line="360" w:lineRule="auto" w:after="120"/>
        <w:jc w:val="both"/>
      </w:pPr>
      <w:r>
        <w:rPr>
          <w:rFonts w:ascii="Times New Roman" w:hAnsi="Times New Roman"/>
          <w:b w:val="0"/>
          <w:i w:val="0"/>
          <w:sz w:val="20"/>
        </w:rPr>
        <w:t>Ethics: Approved by the Beth Israel Deaconess Medical Center Institutional Review Board (Protocol [IRB number to be inserted]); the eICU Collaborative Research Database v2.0 was accessed under its data-use agreement.</w:t>
      </w:r>
    </w:p>
    <w:p>
      <w:pPr>
        <w:spacing w:line="360" w:lineRule="auto" w:after="120"/>
        <w:jc w:val="both"/>
      </w:pPr>
      <w:r>
        <w:rPr>
          <w:rFonts w:ascii="Times New Roman" w:hAnsi="Times New Roman"/>
          <w:b w:val="0"/>
          <w:i w:val="0"/>
          <w:sz w:val="20"/>
        </w:rPr>
        <w:t>Data availability: Analysis code, figures, the TRIPOD-AI checklist and aggregate results are openly available at github.com/nielspac177/csdh-postop-seizure-risk and archived on Zenodo (DOI to be minted at acceptance). Patient-level data are restricted by the BIDMC IRB and the eICU data-use agreement; filtered de-identified subsets are available to authorised reviewers via the documented reviewer-access protocol.</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evaluation in a related population;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candidate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0.068 vs 0.228) and calibration-in-the-large near zero, though predictions remained under-dispersed (recalibration slope &gt;1) given the narrow probability range at 48 events. Eleven model classes converged on an AUC ceiling near 0.68 consistent with 2022–2025 meta-evidence. In external evaluation on a related (mixed-acuity ICU) population, AUC was 0.750 (0.711–0.774); random-effects pooled AUC across 42 hospitals was 0.684 (95% CI 0.651–0.714; logit-scale I²=0%, raw-scale 95% prediction interval 0.53–0.95). Class-conditional conformal prediction at α=0.10 gave confident singleton predictions in 22% of patients (rule-out 11%; rule-in 11%). ML-guided allocation beat watchful observation and, at a matched treated fraction, beat random allocation (discrimination premium ≈$1,000–1,600/patient), confirming the model, not the treated fraction, added value. The choice between universal AED and ML-guided allocation depended on AED efficacy and harm in cSDH (both uncertain): under cSDH-plausible values ML-guided allocation had the highest expected net benefit, whereas universal AED was preferable only under optimistic, imported efficacy assumptions. Population value of perfect information at $100k/QALY was approximately $23M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the most commonly used agent,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risk score, computable at the intended decision point, for postoperative seizure after cSDH evacuation. The work integrates (i) an eleven-method modelling battery to characterise the discrimination ceiling, (ii) Firth penalized logistic regression as the candidate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[IRB number to be inserted]);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evaluation, the eICU Collaborative Research Database was screened in stages: 5,376 ICU stays with any subdural haematoma diagnosis across 139 hospitals were identified, from which the pre-specified primary stratum, non-traumatic SDH stays at hospitals contributing ≥10 such stays,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the end of haematoma evacuation, before the antiepileptic-drug/EEG decision. The leakage-safe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leakage-safe postoperative-B set was the pre-specified candidate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no randomised trial exists and pooled observational estimates show no significant seizure reduction,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candidate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evaluation in the eICU non-traumatic cohort, a related, mixed-acuity ICU population rather than operatively-evacuated cSDH, gave AUC 0.750 (0.711–0.774), but discrimination fell to 0.57–0.61 in the strata most resembling surgical cSDH (Supplementary Table S2), so this figure reflects transportability to a broader population than the target indication;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compressed toward the base rate,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0.068 (Firth, the candidate model) to 0.228 (BalancedRandomForest), a more-than-threefold difference (Figure 3). Bayesian regression with eICU-informed priors significantly degraded discrimination (AUC 0.515, DeLong p = 0.001) because the eICU age coefficient is negative in mixed-acuity ICU SDH while pure post-craniotomy cSDH shows a positive age effect,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On the candidate Firth postoperative-B model, class-conditional (Mondrian) conformal prediction achieved class-conditional coverage close to target at α = 0.10 (90.3% for the no-seizure class, 93.8% for the seizure class). At this level the procedure produced a confident singleton prediction in 22% of patients: rule-out of seizure in 11% (AED-avoidance candidates) and rule-in in 11% (intensive-monitoring candidates). The remaining 78% were explicitly deferred to clinical judgment with a two-class prediction set (Figure 4). The candidate model abstains more often than the BalancedRandomForest reference because its calibrated probabilities occupy a narrow range, a conservative, honest behaviour for a weak-signal rare outcome.</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candidate operating point, the calibrated base-rate threshold of 7.3%, the postoperative-B model had sensitivity 0.50 (95% CI 0.36–0.64), specificity 0.70 (0.66–0.74), positive predictive value 0.12 (0.07–0.16) and negative predictive value 0.95 (0.93–0.97). The optimal strategy depended on AED efficacy and AED harm in cSDH, both of which the evidence leaves uncertain. Under the optimistic, externally-imported reference (AED relative-risk reduction 0.45, negligible disutility) universal AED had the highest expected net benefit by a small margin (≈$1k on a ≈$641k base). When AED efficacy was set to the cSDH-plausible range (no study demonstrates a significant protective effect), the ranking changed: ML-guided allocation had the highest expected net benefit once the relative-risk reduction fell to ≤0.30 or AED disutility reached ≥0.10. The advantage of ML-guided allocation was not merely a consequence of treating fewer patients: against a no-information policy that treated the same fraction at random, the model retained a positive discrimination premium of ≈$1,000–1,600 per patient across all efficacy scenarios, confirming that the model's discrimination, not its treated fraction, created the value. ML-guided allocation also exceeded watchful observation at every efficacy value (universal AED, by contrast, fell below observation once AED efficacy approached zero, because a harmful, ineffective drug given to everyone is worse than treating no-one). The ordering was stable across the three conformal-to-action mappings and across US, UK (NICE) and Eurozone cost perspectives (Figure 5; Supplementary Appendix S6). In a value-of-information analysis recomputed under the deployable model and cSDH-grounded AED priors, to our knowledge the first applied to this question, ML-guided allocation was preferred in expectation and the population expected value of perfect information at $100k/QALY was approximately $23M over 10 years; no single parameter individually reversed the decision within its prior range, while the deterministic sensitivity analysis identified AED efficacy and AED harm as the parameters governing the universal-versus-selective comparison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rather than discrimination,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spanning six SMOTE-family oversamplers, Optuna-tuned gradient boosting, diverse-base stacking, and Bayesian regression with multiple prior specifications,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consistent with a sample-size and measured-feature limit rather than an algorithmic one, whether a higher ceiling exists cannot be settled from 48 events without the imaging covariates the structured record lacks.</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The choice among strategies is not settled by the model alone: it depends on two cSDH-specific parameters that the evidence leaves genuinely uncertain, the efficacy of AED prophylaxis (no randomised trial exists, and pooled observational estimates, including our own, show no significant seizure reduction)</w:t>
      </w:r>
      <w:r>
        <w:rPr>
          <w:rFonts w:ascii="Times New Roman" w:hAnsi="Times New Roman"/>
          <w:b w:val="0"/>
          <w:i w:val="0"/>
          <w:sz w:val="22"/>
          <w:vertAlign w:val="superscript"/>
        </w:rPr>
        <w:t>⁴³⁻⁴⁶</w:t>
      </w:r>
      <w:r>
        <w:rPr>
          <w:rFonts w:ascii="Times New Roman" w:hAnsi="Times New Roman"/>
          <w:b w:val="0"/>
          <w:i w:val="0"/>
          <w:sz w:val="22"/>
        </w:rPr>
        <w:t xml:space="preserve"> and its disutility in elderly patients (falls, sedation, cognition). Under cSDH-plausible values (relative-risk reduction ≤0.30 or non-trivial disutility) ML-guided allocation had the highest expected net benefit; universal AED was preferable only under optimistic imported assumptions of strong efficacy and negligible harm, and indeed fell below watchful observation once AED efficacy approached zero (a harmful, ineffective drug given to all is worse than treating none). The value of ML-guided allocation did not reduce to treating fewer patients: against a no-information rule treating the same fraction at random, the model retained a positive discrimination premium (≈$1,000–1,600/patient), so the gain reflects the model's discrimination rather than its treated fraction. Value-of-information recomputed under the deployable model and cSDH-grounded priors, the first applied to this question, found ML-guided allocation preferred in expectation with a modest population expected value of perfect information (~$23M over 10 years), and identified AED efficacy and AED harm as the parameters governing the universal-versus-selective choice and thus the priorities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w:t>
      </w:r>
      <w:r>
        <w:rPr>
          <w:rFonts w:ascii="Times New Roman" w:hAnsi="Times New Roman"/>
          <w:b w:val="0"/>
          <w:i w:val="0"/>
          <w:sz w:val="22"/>
          <w:vertAlign w:val="superscript"/>
        </w:rPr>
        <w:t>¹⁴,¹⁵</w:t>
      </w:r>
      <w:r>
        <w:rPr>
          <w:rFonts w:ascii="Times New Roman" w:hAnsi="Times New Roman"/>
          <w:b w:val="0"/>
          <w:i w:val="0"/>
          <w:sz w:val="22"/>
        </w:rPr>
        <w:t xml:space="preserve"> radiomic seizure models with reported discrimination (e.g. AUC 0.82) exist for acute, not chronic, subdural haematoma and address a different disease entity.</w:t>
      </w:r>
      <w:r>
        <w:rPr>
          <w:rFonts w:ascii="Times New Roman" w:hAnsi="Times New Roman"/>
          <w:b w:val="0"/>
          <w:i w:val="0"/>
          <w:sz w:val="22"/>
          <w:vertAlign w:val="superscript"/>
        </w:rPr>
        <w:t>¹⁶</w:t>
      </w:r>
      <w:r>
        <w:rPr>
          <w:rFonts w:ascii="Times New Roman" w:hAnsi="Times New Roman"/>
          <w:b w:val="0"/>
          <w:i w:val="0"/>
          <w:sz w:val="22"/>
        </w:rPr>
        <w:t xml:space="preserve">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candidate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for the minority of patients in whom the conformal procedure yields a confident prediction, with formal coverage guarantees. ML-guided allocation exceeds watchful observation; whether to allocate prophylaxis selectively with the model rather than treat all or none depends on AED efficacy and harm in cSDH, which current evidence leaves uncertain. Consistent with this, the value-of-information analysis shows the model's discrimination carries modest decision value relative to AED efficacy and per-day cEEG cost; the methodological contribution is the calibration-and-conformal decision framework, and the priority for prospective work is resolving the AED and monitoring parameters.</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Hamou HA, Alzaiyani M, Pjontek R, et al. Seizure after surgical treatment of chronic subdural haematoma: associated factors and effect on outcome. Front Neurol. 2022;13:977329.</w:t>
      </w:r>
    </w:p>
    <w:p>
      <w:pPr>
        <w:ind w:hanging="432" w:left="432"/>
      </w:pPr>
      <w:r>
        <w:rPr>
          <w:rFonts w:ascii="Times New Roman" w:hAnsi="Times New Roman"/>
          <w:sz w:val="20"/>
        </w:rPr>
        <w:t>15. Goertz L, Speier J, Schulte AP, et al. Independent risk factors for postoperative seizures in chronic subdural haematoma identified by multiple logistic regression analysis. World Neurosurg. 2019;132:e716–e721.</w:t>
      </w:r>
    </w:p>
    <w:p>
      <w:pPr>
        <w:ind w:hanging="432" w:left="432"/>
      </w:pPr>
      <w:r>
        <w:rPr>
          <w:rFonts w:ascii="Times New Roman" w:hAnsi="Times New Roman"/>
          <w:sz w:val="20"/>
        </w:rPr>
        <w:t>16. Guranda A, Richter A, Wach J, et al. Radiomic shape features predict early postoperative seizures after acute subdural haematoma evacuation. Brain Sci. 2025;15(2):204.</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pPr>
        <w:ind w:hanging="432" w:left="432"/>
      </w:pPr>
      <w:r>
        <w:rPr>
          <w:rFonts w:ascii="Times New Roman" w:hAnsi="Times New Roman"/>
          <w:sz w:val="20"/>
        </w:rPr>
        <w:t>43. Pacheco-Barrios N, Pacheco-Barrios K, et al. Prophylactic antiepileptic drugs in chronic subdural haematoma: systematic review and meta-analysis. Neurosurgery. 2024; doi:10.1227/neu.0000000000003183.</w:t>
      </w:r>
    </w:p>
    <w:p>
      <w:pPr>
        <w:ind w:hanging="432" w:left="432"/>
      </w:pPr>
      <w:r>
        <w:rPr>
          <w:rFonts w:ascii="Times New Roman" w:hAnsi="Times New Roman"/>
          <w:sz w:val="20"/>
        </w:rPr>
        <w:t>44. Nachiappan DS, Garg K. Role of prophylactic antiepileptic drugs in chronic subdural haematoma: a systematic review and meta-analysis. Neurosurg Rev. 2021;44(4):2069–77.</w:t>
      </w:r>
    </w:p>
    <w:p>
      <w:pPr>
        <w:ind w:hanging="432" w:left="432"/>
      </w:pPr>
      <w:r>
        <w:rPr>
          <w:rFonts w:ascii="Times New Roman" w:hAnsi="Times New Roman"/>
          <w:sz w:val="20"/>
        </w:rPr>
        <w:t>45. Ratilal BO, Pappamikail L, Costa J, Sampaio C. Anticonvulsants for preventing seizures in patients with chronic subdural haematoma. Cochrane Database Syst Rev. 2013;(6):CD004893.</w:t>
      </w:r>
    </w:p>
    <w:p>
      <w:pPr>
        <w:ind w:hanging="432" w:left="432"/>
      </w:pPr>
      <w:r>
        <w:rPr>
          <w:rFonts w:ascii="Times New Roman" w:hAnsi="Times New Roman"/>
          <w:sz w:val="20"/>
        </w:rPr>
        <w:t>46. Lavergne P, Labidi M, Brunette-Clément T, et al. Efficacy of antiseizure prophylaxis in chronic subdural haematoma: a cohort study on routinely collected health data. J Neurosurg. 2019;132(1):284–91.</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external-evaluation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 xml:space="preserve">, </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BIDMC primary cohort: Firth penalized logistic regression and BalancedRandomForest with bootstrap 95% CIs. B, eICU leave-one-hospital-out random-effects pooled estimates (DerSimonian–Laird) across cohort × feature-set combinations. C,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Calibration after Platt scaling, with bootstrap 95% CIs on per-bin observed event rates. B,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Brier score across the same models. The Firth penalized logistic regression candidate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6295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62954"/>
                    </a:xfrm>
                    <a:prstGeom prst="rect"/>
                  </pic:spPr>
                </pic:pic>
              </a:graphicData>
            </a:graphic>
          </wp:inline>
        </w:drawing>
      </w:r>
    </w:p>
    <w:p>
      <w:pPr>
        <w:jc w:val="left"/>
      </w:pPr>
      <w:r>
        <w:rPr>
          <w:rFonts w:ascii="Times New Roman" w:hAnsi="Times New Roman"/>
          <w:i/>
          <w:sz w:val="20"/>
        </w:rPr>
        <w:t>Figure 4.  Class-conditional conformal prediction on the candidate Firth postoperative-B model. A, Empirical class-conditional coverage near the target 1−α across α ∈ {0.05, 0.10, 0.20}. B, Rule-out and rule-in singleton fractions versus α; at α = 0.10 the procedure delivers confident decisions for 22% of patients (rule-out 11%,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Decision tree with base-case rollback per strategy. B, Cost-effectiveness plane from 10,000-iteration probabilistic sensitivity. C,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Per-parameter EVPPI tornado at WTP $100,000/QALY; the four highlighted parameters define the research-priority frontier. B,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