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multi-database evaluation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(prediction interval 0.53–0.95). Class-conditional conformal prediction at α=0.10 gave confident singleton predictions in 22% of patients (rule-out 11%; rule-in 11%). ML-guided allocation beat watchful observation and, at a matched treated fraction, beat random allocation (discrimination premium ≈$1,000–1,600/patient), confirming the model — not the treated fraction — added value. The choice between universal AED and ML-guided allocation depended on AED efficacy and harm in cSDH (both uncertain): under cSDH-plausible values ML-guided allocation had the highest expected net benefit, whereas universal AED was preferable only under optimistic, imported efficacy assumptions.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validation, the eICU Collaborative Research Database was screened in stages: 5,376 ICU stays with any subdural haematoma diagnosis across 139 hospitals were identified, from which the pre-specified primary stratum — non-traumatic SDH stays at hospitals contributing ≥10 such stays —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 no randomised trial exists and pooled observational estimates show no significant seizure reduction — the AED relative-risk reduction was anchored at an imported base case of 0.45 (post-traumatic/tumour literature) purely as an optimistic reference, with the cSDH-plausible range of 0–0.30 and the AED disutility (0.02–0.15)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 a related, mixed-acuity ICU population rather than operatively-evacuated cSDH —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 compressed toward the base rate —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deployed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deployed model abstains more often than the BalancedRandomForest reference because its calibrated probabilities occupy a narrow range —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 the calibrated base-rate threshold of 7.3% —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Crucially,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 not its treated fraction —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In a value-of-information analysis recomputed under the deployable model and cSDH-grounded AED priors — to our knowledge the first applied to this question —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 the efficacy of AED prophylaxis (no randomised trial exists, and pooled observational estimates, including our own, show no significant seizure reduction)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Importantly,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 the first applied to this question —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 radiomic seizure models with reported discrimination (e.g. AUC 0.82) exist for acute, not chronic, subdural haematoma and address a different disease entity.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with formal coverage guarantees. Active prophylaxis dominates watchful observation; whether to allocate it selectively with the model rather than treat all patients depends on AED efficacy and harm in cSDH, which current evidence leaves uncertain, and which value-of-information identifies as the priority targets for future research.</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external-validation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on the deployed Firth postoperative-B model. A — Empirical class-conditional coverage near the target 1−α across α ∈ {0.05, 0.10, 0.20}. B — Rule-out and rule-in singleton fractions versus α; at α = 0.10 the procedure delivers confident decisions for 22% of patients (rule-out 11%,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