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spacing w:line="360" w:lineRule="auto" w:after="120"/>
        <w:jc w:val="center"/>
      </w:pPr>
      <w:r>
        <w:rPr>
          <w:rFonts w:ascii="Times New Roman" w:hAnsi="Times New Roman"/>
          <w:b w:val="0"/>
          <w:i/>
          <w:sz w:val="22"/>
        </w:rPr>
        <w:t>JNNP submission · supplementary appendix</w:t>
      </w:r>
    </w:p>
    <w:p>
      <w:r>
        <w:br w:type="page"/>
      </w:r>
    </w:p>
    <w:p>
      <w:pPr>
        <w:pStyle w:val="Heading1"/>
      </w:pPr>
      <w:r>
        <w:rPr>
          <w:rFonts w:ascii="Times New Roman" w:hAnsi="Times New Roman"/>
          <w:color w:val="141F3A"/>
        </w:rPr>
        <w:t>Appendix S1.  TRIPOD-AI reporting checklist</w:t>
      </w:r>
    </w:p>
    <w:p>
      <w:r>
        <w:rPr>
          <w:rFonts w:ascii="Times New Roman" w:hAnsi="Times New Roman"/>
          <w:b/>
          <w:sz w:val="22"/>
        </w:rPr>
        <w:t>TRIPOD-AI checklist (Collins et al. BMJ 2024).</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Item</w:t>
            </w:r>
          </w:p>
        </w:tc>
        <w:tc>
          <w:tcPr>
            <w:tcW w:type="dxa" w:w="2340"/>
          </w:tcPr>
          <w:p>
            <w:r>
              <w:rPr>
                <w:rFonts w:ascii="Times New Roman" w:hAnsi="Times New Roman"/>
                <w:b/>
                <w:sz w:val="20"/>
              </w:rPr>
              <w:t>Topic</w:t>
            </w:r>
          </w:p>
        </w:tc>
        <w:tc>
          <w:tcPr>
            <w:tcW w:type="dxa" w:w="2340"/>
          </w:tcPr>
          <w:p>
            <w:r>
              <w:rPr>
                <w:rFonts w:ascii="Times New Roman" w:hAnsi="Times New Roman"/>
                <w:b/>
                <w:sz w:val="20"/>
              </w:rPr>
              <w:t>Description</w:t>
            </w:r>
          </w:p>
        </w:tc>
        <w:tc>
          <w:tcPr>
            <w:tcW w:type="dxa" w:w="2340"/>
          </w:tcPr>
          <w:p>
            <w:r>
              <w:rPr>
                <w:rFonts w:ascii="Times New Roman" w:hAnsi="Times New Roman"/>
                <w:b/>
                <w:sz w:val="20"/>
              </w:rPr>
              <w:t>Reported</w:t>
            </w:r>
          </w:p>
        </w:tc>
      </w:tr>
      <w:tr>
        <w:tc>
          <w:tcPr>
            <w:tcW w:type="dxa" w:w="2340"/>
          </w:tcPr>
          <w:p>
            <w:r>
              <w:rPr>
                <w:rFonts w:ascii="Times New Roman" w:hAnsi="Times New Roman"/>
                <w:sz w:val="20"/>
              </w:rPr>
              <w:t>1</w:t>
            </w:r>
          </w:p>
        </w:tc>
        <w:tc>
          <w:tcPr>
            <w:tcW w:type="dxa" w:w="2340"/>
          </w:tcPr>
          <w:p>
            <w:r>
              <w:rPr>
                <w:rFonts w:ascii="Times New Roman" w:hAnsi="Times New Roman"/>
                <w:sz w:val="20"/>
              </w:rPr>
              <w:t>Title</w:t>
            </w:r>
          </w:p>
        </w:tc>
        <w:tc>
          <w:tcPr>
            <w:tcW w:type="dxa" w:w="2340"/>
          </w:tcPr>
          <w:p>
            <w:r>
              <w:rPr>
                <w:rFonts w:ascii="Times New Roman" w:hAnsi="Times New Roman"/>
                <w:sz w:val="20"/>
              </w:rPr>
              <w:t>Identifies study as developing or evaluating an ML prediction model.</w:t>
            </w:r>
          </w:p>
        </w:tc>
        <w:tc>
          <w:tcPr>
            <w:tcW w:type="dxa" w:w="2340"/>
          </w:tcPr>
          <w:p>
            <w:r>
              <w:rPr>
                <w:rFonts w:ascii="Times New Roman" w:hAnsi="Times New Roman"/>
                <w:sz w:val="20"/>
              </w:rPr>
              <w:t>Yes</w:t>
            </w:r>
          </w:p>
        </w:tc>
      </w:tr>
      <w:tr>
        <w:tc>
          <w:tcPr>
            <w:tcW w:type="dxa" w:w="2340"/>
          </w:tcPr>
          <w:p>
            <w:r>
              <w:rPr>
                <w:rFonts w:ascii="Times New Roman" w:hAnsi="Times New Roman"/>
                <w:sz w:val="20"/>
              </w:rPr>
              <w:t>2</w:t>
            </w:r>
          </w:p>
        </w:tc>
        <w:tc>
          <w:tcPr>
            <w:tcW w:type="dxa" w:w="2340"/>
          </w:tcPr>
          <w:p>
            <w:r>
              <w:rPr>
                <w:rFonts w:ascii="Times New Roman" w:hAnsi="Times New Roman"/>
                <w:sz w:val="20"/>
              </w:rPr>
              <w:t>Abstract</w:t>
            </w:r>
          </w:p>
        </w:tc>
        <w:tc>
          <w:tcPr>
            <w:tcW w:type="dxa" w:w="2340"/>
          </w:tcPr>
          <w:p>
            <w:r>
              <w:rPr>
                <w:rFonts w:ascii="Times New Roman" w:hAnsi="Times New Roman"/>
                <w:sz w:val="20"/>
              </w:rPr>
              <w:t>Structured summary with sample size, outcome, performance metric.</w:t>
            </w:r>
          </w:p>
        </w:tc>
        <w:tc>
          <w:tcPr>
            <w:tcW w:type="dxa" w:w="2340"/>
          </w:tcPr>
          <w:p>
            <w:r>
              <w:rPr>
                <w:rFonts w:ascii="Times New Roman" w:hAnsi="Times New Roman"/>
                <w:sz w:val="20"/>
              </w:rPr>
              <w:t>Yes</w:t>
            </w:r>
          </w:p>
        </w:tc>
      </w:tr>
      <w:tr>
        <w:tc>
          <w:tcPr>
            <w:tcW w:type="dxa" w:w="2340"/>
          </w:tcPr>
          <w:p>
            <w:r>
              <w:rPr>
                <w:rFonts w:ascii="Times New Roman" w:hAnsi="Times New Roman"/>
                <w:sz w:val="20"/>
              </w:rPr>
              <w:t>3a–b</w:t>
            </w:r>
          </w:p>
        </w:tc>
        <w:tc>
          <w:tcPr>
            <w:tcW w:type="dxa" w:w="2340"/>
          </w:tcPr>
          <w:p>
            <w:r>
              <w:rPr>
                <w:rFonts w:ascii="Times New Roman" w:hAnsi="Times New Roman"/>
                <w:sz w:val="20"/>
              </w:rPr>
              <w:t>Background and objectives</w:t>
            </w:r>
          </w:p>
        </w:tc>
        <w:tc>
          <w:tcPr>
            <w:tcW w:type="dxa" w:w="2340"/>
          </w:tcPr>
          <w:p>
            <w:r>
              <w:rPr>
                <w:rFonts w:ascii="Times New Roman" w:hAnsi="Times New Roman"/>
                <w:sz w:val="20"/>
              </w:rPr>
              <w:t>Rationale, intended use, target population.</w:t>
            </w:r>
          </w:p>
        </w:tc>
        <w:tc>
          <w:tcPr>
            <w:tcW w:type="dxa" w:w="2340"/>
          </w:tcPr>
          <w:p>
            <w:r>
              <w:rPr>
                <w:rFonts w:ascii="Times New Roman" w:hAnsi="Times New Roman"/>
                <w:sz w:val="20"/>
              </w:rPr>
              <w:t>Yes — Introduction §1.</w:t>
            </w:r>
          </w:p>
        </w:tc>
      </w:tr>
      <w:tr>
        <w:tc>
          <w:tcPr>
            <w:tcW w:type="dxa" w:w="2340"/>
          </w:tcPr>
          <w:p>
            <w:r>
              <w:rPr>
                <w:rFonts w:ascii="Times New Roman" w:hAnsi="Times New Roman"/>
                <w:sz w:val="20"/>
              </w:rPr>
              <w:t>4–6</w:t>
            </w:r>
          </w:p>
        </w:tc>
        <w:tc>
          <w:tcPr>
            <w:tcW w:type="dxa" w:w="2340"/>
          </w:tcPr>
          <w:p>
            <w:r>
              <w:rPr>
                <w:rFonts w:ascii="Times New Roman" w:hAnsi="Times New Roman"/>
                <w:sz w:val="20"/>
              </w:rPr>
              <w:t>Source of data</w:t>
            </w:r>
          </w:p>
        </w:tc>
        <w:tc>
          <w:tcPr>
            <w:tcW w:type="dxa" w:w="2340"/>
          </w:tcPr>
          <w:p>
            <w:r>
              <w:rPr>
                <w:rFonts w:ascii="Times New Roman" w:hAnsi="Times New Roman"/>
                <w:sz w:val="20"/>
              </w:rPr>
              <w:t>Two databases (BIDMC, eICU); eligibility criteria. NIS analysis attempted but excluded — see Appendix S4.</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7</w:t>
            </w:r>
          </w:p>
        </w:tc>
        <w:tc>
          <w:tcPr>
            <w:tcW w:type="dxa" w:w="2340"/>
          </w:tcPr>
          <w:p>
            <w:r>
              <w:rPr>
                <w:rFonts w:ascii="Times New Roman" w:hAnsi="Times New Roman"/>
                <w:sz w:val="20"/>
              </w:rPr>
              <w:t>Outcome</w:t>
            </w:r>
          </w:p>
        </w:tc>
        <w:tc>
          <w:tcPr>
            <w:tcW w:type="dxa" w:w="2340"/>
          </w:tcPr>
          <w:p>
            <w:r>
              <w:rPr>
                <w:rFonts w:ascii="Times New Roman" w:hAnsi="Times New Roman"/>
                <w:sz w:val="20"/>
              </w:rPr>
              <w:t>Defined a priori; chart-documented seizure (BIDMC); structured seizure flag (eICU).</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8</w:t>
            </w:r>
          </w:p>
        </w:tc>
        <w:tc>
          <w:tcPr>
            <w:tcW w:type="dxa" w:w="2340"/>
          </w:tcPr>
          <w:p>
            <w:r>
              <w:rPr>
                <w:rFonts w:ascii="Times New Roman" w:hAnsi="Times New Roman"/>
                <w:sz w:val="20"/>
              </w:rPr>
              <w:t>Predictors</w:t>
            </w:r>
          </w:p>
        </w:tc>
        <w:tc>
          <w:tcPr>
            <w:tcW w:type="dxa" w:w="2340"/>
          </w:tcPr>
          <w:p>
            <w:r>
              <w:rPr>
                <w:rFonts w:ascii="Times New Roman" w:hAnsi="Times New Roman"/>
                <w:sz w:val="20"/>
              </w:rPr>
              <w:t>21 features (postop_A); 18 (postop_B); standardisation.</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9</w:t>
            </w:r>
          </w:p>
        </w:tc>
        <w:tc>
          <w:tcPr>
            <w:tcW w:type="dxa" w:w="2340"/>
          </w:tcPr>
          <w:p>
            <w:r>
              <w:rPr>
                <w:rFonts w:ascii="Times New Roman" w:hAnsi="Times New Roman"/>
                <w:sz w:val="20"/>
              </w:rPr>
              <w:t>Sample size</w:t>
            </w:r>
          </w:p>
        </w:tc>
        <w:tc>
          <w:tcPr>
            <w:tcW w:type="dxa" w:w="2340"/>
          </w:tcPr>
          <w:p>
            <w:r>
              <w:rPr>
                <w:rFonts w:ascii="Times New Roman" w:hAnsi="Times New Roman"/>
                <w:sz w:val="20"/>
              </w:rPr>
              <w:t>655 (BIDMC, 48 events); 3,297 (eICU primary, 300 events).</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10</w:t>
            </w:r>
          </w:p>
        </w:tc>
        <w:tc>
          <w:tcPr>
            <w:tcW w:type="dxa" w:w="2340"/>
          </w:tcPr>
          <w:p>
            <w:r>
              <w:rPr>
                <w:rFonts w:ascii="Times New Roman" w:hAnsi="Times New Roman"/>
                <w:sz w:val="20"/>
              </w:rPr>
              <w:t>Missing data</w:t>
            </w:r>
          </w:p>
        </w:tc>
        <w:tc>
          <w:tcPr>
            <w:tcW w:type="dxa" w:w="2340"/>
          </w:tcPr>
          <w:p>
            <w:r>
              <w:rPr>
                <w:rFonts w:ascii="Times New Roman" w:hAnsi="Times New Roman"/>
                <w:sz w:val="20"/>
              </w:rPr>
              <w:t>Median imputation + missing indicator; Little's MCAR test; Rubin's-rules pooling across 10 multiple imputations.</w:t>
            </w:r>
          </w:p>
        </w:tc>
        <w:tc>
          <w:tcPr>
            <w:tcW w:type="dxa" w:w="2340"/>
          </w:tcPr>
          <w:p>
            <w:r>
              <w:rPr>
                <w:rFonts w:ascii="Times New Roman" w:hAnsi="Times New Roman"/>
                <w:sz w:val="20"/>
              </w:rPr>
              <w:t>Yes — Appendix S5.</w:t>
            </w:r>
          </w:p>
        </w:tc>
      </w:tr>
      <w:tr>
        <w:tc>
          <w:tcPr>
            <w:tcW w:type="dxa" w:w="2340"/>
          </w:tcPr>
          <w:p>
            <w:r>
              <w:rPr>
                <w:rFonts w:ascii="Times New Roman" w:hAnsi="Times New Roman"/>
                <w:sz w:val="20"/>
              </w:rPr>
              <w:t>11</w:t>
            </w:r>
          </w:p>
        </w:tc>
        <w:tc>
          <w:tcPr>
            <w:tcW w:type="dxa" w:w="2340"/>
          </w:tcPr>
          <w:p>
            <w:r>
              <w:rPr>
                <w:rFonts w:ascii="Times New Roman" w:hAnsi="Times New Roman"/>
                <w:sz w:val="20"/>
              </w:rPr>
              <w:t>Statistical methods</w:t>
            </w:r>
          </w:p>
        </w:tc>
        <w:tc>
          <w:tcPr>
            <w:tcW w:type="dxa" w:w="2340"/>
          </w:tcPr>
          <w:p>
            <w:r>
              <w:rPr>
                <w:rFonts w:ascii="Times New Roman" w:hAnsi="Times New Roman"/>
                <w:sz w:val="20"/>
              </w:rPr>
              <w:t>11-method battery; repeated stratified CV; bootstrap.</w:t>
            </w:r>
          </w:p>
        </w:tc>
        <w:tc>
          <w:tcPr>
            <w:tcW w:type="dxa" w:w="2340"/>
          </w:tcPr>
          <w:p>
            <w:r>
              <w:rPr>
                <w:rFonts w:ascii="Times New Roman" w:hAnsi="Times New Roman"/>
                <w:sz w:val="20"/>
              </w:rPr>
              <w:t>Yes — Methods §2.5.</w:t>
            </w:r>
          </w:p>
        </w:tc>
      </w:tr>
      <w:tr>
        <w:tc>
          <w:tcPr>
            <w:tcW w:type="dxa" w:w="2340"/>
          </w:tcPr>
          <w:p>
            <w:r>
              <w:rPr>
                <w:rFonts w:ascii="Times New Roman" w:hAnsi="Times New Roman"/>
                <w:sz w:val="20"/>
              </w:rPr>
              <w:t>12</w:t>
            </w:r>
          </w:p>
        </w:tc>
        <w:tc>
          <w:tcPr>
            <w:tcW w:type="dxa" w:w="2340"/>
          </w:tcPr>
          <w:p>
            <w:r>
              <w:rPr>
                <w:rFonts w:ascii="Times New Roman" w:hAnsi="Times New Roman"/>
                <w:sz w:val="20"/>
              </w:rPr>
              <w:t>Risk groups</w:t>
            </w:r>
          </w:p>
        </w:tc>
        <w:tc>
          <w:tcPr>
            <w:tcW w:type="dxa" w:w="2340"/>
          </w:tcPr>
          <w:p>
            <w:r>
              <w:rPr>
                <w:rFonts w:ascii="Times New Roman" w:hAnsi="Times New Roman"/>
                <w:sz w:val="20"/>
              </w:rPr>
              <w:t>Class-conditional conformal sets (rule-out, rule-in).</w:t>
            </w:r>
          </w:p>
        </w:tc>
        <w:tc>
          <w:tcPr>
            <w:tcW w:type="dxa" w:w="2340"/>
          </w:tcPr>
          <w:p>
            <w:r>
              <w:rPr>
                <w:rFonts w:ascii="Times New Roman" w:hAnsi="Times New Roman"/>
                <w:sz w:val="20"/>
              </w:rPr>
              <w:t>Yes — Results §3.4.</w:t>
            </w:r>
          </w:p>
        </w:tc>
      </w:tr>
      <w:tr>
        <w:tc>
          <w:tcPr>
            <w:tcW w:type="dxa" w:w="2340"/>
          </w:tcPr>
          <w:p>
            <w:r>
              <w:rPr>
                <w:rFonts w:ascii="Times New Roman" w:hAnsi="Times New Roman"/>
                <w:sz w:val="20"/>
              </w:rPr>
              <w:t>13</w:t>
            </w:r>
          </w:p>
        </w:tc>
        <w:tc>
          <w:tcPr>
            <w:tcW w:type="dxa" w:w="2340"/>
          </w:tcPr>
          <w:p>
            <w:r>
              <w:rPr>
                <w:rFonts w:ascii="Times New Roman" w:hAnsi="Times New Roman"/>
                <w:sz w:val="20"/>
              </w:rPr>
              <w:t>Development vs validation</w:t>
            </w:r>
          </w:p>
        </w:tc>
        <w:tc>
          <w:tcPr>
            <w:tcW w:type="dxa" w:w="2340"/>
          </w:tcPr>
          <w:p>
            <w:r>
              <w:rPr>
                <w:rFonts w:ascii="Times New Roman" w:hAnsi="Times New Roman"/>
                <w:sz w:val="20"/>
              </w:rPr>
              <w:t>BIDMC development; eICU external; LOHO meta-analytic pooling.</w:t>
            </w:r>
          </w:p>
        </w:tc>
        <w:tc>
          <w:tcPr>
            <w:tcW w:type="dxa" w:w="2340"/>
          </w:tcPr>
          <w:p>
            <w:r>
              <w:rPr>
                <w:rFonts w:ascii="Times New Roman" w:hAnsi="Times New Roman"/>
                <w:sz w:val="20"/>
              </w:rPr>
              <w:t>Yes — Results §3.1.</w:t>
            </w:r>
          </w:p>
        </w:tc>
      </w:tr>
      <w:tr>
        <w:tc>
          <w:tcPr>
            <w:tcW w:type="dxa" w:w="2340"/>
          </w:tcPr>
          <w:p>
            <w:r>
              <w:rPr>
                <w:rFonts w:ascii="Times New Roman" w:hAnsi="Times New Roman"/>
                <w:sz w:val="20"/>
              </w:rPr>
              <w:t>14</w:t>
            </w:r>
          </w:p>
        </w:tc>
        <w:tc>
          <w:tcPr>
            <w:tcW w:type="dxa" w:w="2340"/>
          </w:tcPr>
          <w:p>
            <w:r>
              <w:rPr>
                <w:rFonts w:ascii="Times New Roman" w:hAnsi="Times New Roman"/>
                <w:sz w:val="20"/>
              </w:rPr>
              <w:t>Model performance</w:t>
            </w:r>
          </w:p>
        </w:tc>
        <w:tc>
          <w:tcPr>
            <w:tcW w:type="dxa" w:w="2340"/>
          </w:tcPr>
          <w:p>
            <w:r>
              <w:rPr>
                <w:rFonts w:ascii="Times New Roman" w:hAnsi="Times New Roman"/>
                <w:sz w:val="20"/>
              </w:rPr>
              <w:t>AUC, Brier, calibration slope/intercept, net benefit.</w:t>
            </w:r>
          </w:p>
        </w:tc>
        <w:tc>
          <w:tcPr>
            <w:tcW w:type="dxa" w:w="2340"/>
          </w:tcPr>
          <w:p>
            <w:r>
              <w:rPr>
                <w:rFonts w:ascii="Times New Roman" w:hAnsi="Times New Roman"/>
                <w:sz w:val="20"/>
              </w:rPr>
              <w:t>Yes — Results §3.1–3.3.</w:t>
            </w:r>
          </w:p>
        </w:tc>
      </w:tr>
      <w:tr>
        <w:tc>
          <w:tcPr>
            <w:tcW w:type="dxa" w:w="2340"/>
          </w:tcPr>
          <w:p>
            <w:r>
              <w:rPr>
                <w:rFonts w:ascii="Times New Roman" w:hAnsi="Times New Roman"/>
                <w:sz w:val="20"/>
              </w:rPr>
              <w:t>15</w:t>
            </w:r>
          </w:p>
        </w:tc>
        <w:tc>
          <w:tcPr>
            <w:tcW w:type="dxa" w:w="2340"/>
          </w:tcPr>
          <w:p>
            <w:r>
              <w:rPr>
                <w:rFonts w:ascii="Times New Roman" w:hAnsi="Times New Roman"/>
                <w:sz w:val="20"/>
              </w:rPr>
              <w:t>Model presentation</w:t>
            </w:r>
          </w:p>
        </w:tc>
        <w:tc>
          <w:tcPr>
            <w:tcW w:type="dxa" w:w="2340"/>
          </w:tcPr>
          <w:p>
            <w:r>
              <w:rPr>
                <w:rFonts w:ascii="Times New Roman" w:hAnsi="Times New Roman"/>
                <w:sz w:val="20"/>
              </w:rPr>
              <w:t>Firth coefficient table released on GitHub.</w:t>
            </w:r>
          </w:p>
        </w:tc>
        <w:tc>
          <w:tcPr>
            <w:tcW w:type="dxa" w:w="2340"/>
          </w:tcPr>
          <w:p>
            <w:r>
              <w:rPr>
                <w:rFonts w:ascii="Times New Roman" w:hAnsi="Times New Roman"/>
                <w:sz w:val="20"/>
              </w:rPr>
              <w:t>Yes — see code repo.</w:t>
            </w:r>
          </w:p>
        </w:tc>
      </w:tr>
      <w:tr>
        <w:tc>
          <w:tcPr>
            <w:tcW w:type="dxa" w:w="2340"/>
          </w:tcPr>
          <w:p>
            <w:r>
              <w:rPr>
                <w:rFonts w:ascii="Times New Roman" w:hAnsi="Times New Roman"/>
                <w:sz w:val="20"/>
              </w:rPr>
              <w:t>16</w:t>
            </w:r>
          </w:p>
        </w:tc>
        <w:tc>
          <w:tcPr>
            <w:tcW w:type="dxa" w:w="2340"/>
          </w:tcPr>
          <w:p>
            <w:r>
              <w:rPr>
                <w:rFonts w:ascii="Times New Roman" w:hAnsi="Times New Roman"/>
                <w:sz w:val="20"/>
              </w:rPr>
              <w:t>Limitations</w:t>
            </w:r>
          </w:p>
        </w:tc>
        <w:tc>
          <w:tcPr>
            <w:tcW w:type="dxa" w:w="2340"/>
          </w:tcPr>
          <w:p>
            <w:r>
              <w:rPr>
                <w:rFonts w:ascii="Times New Roman" w:hAnsi="Times New Roman"/>
                <w:sz w:val="20"/>
              </w:rPr>
              <w:t>Single-institution dev; admin outcomes; ceiling at 48 events.</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17</w:t>
            </w:r>
          </w:p>
        </w:tc>
        <w:tc>
          <w:tcPr>
            <w:tcW w:type="dxa" w:w="2340"/>
          </w:tcPr>
          <w:p>
            <w:r>
              <w:rPr>
                <w:rFonts w:ascii="Times New Roman" w:hAnsi="Times New Roman"/>
                <w:sz w:val="20"/>
              </w:rPr>
              <w:t>Interpretation</w:t>
            </w:r>
          </w:p>
        </w:tc>
        <w:tc>
          <w:tcPr>
            <w:tcW w:type="dxa" w:w="2340"/>
          </w:tcPr>
          <w:p>
            <w:r>
              <w:rPr>
                <w:rFonts w:ascii="Times New Roman" w:hAnsi="Times New Roman"/>
                <w:sz w:val="20"/>
              </w:rPr>
              <w:t>Proof-of-concept; calibration &amp; conformal deployment; CEA + VOI.</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18–22</w:t>
            </w:r>
          </w:p>
        </w:tc>
        <w:tc>
          <w:tcPr>
            <w:tcW w:type="dxa" w:w="2340"/>
          </w:tcPr>
          <w:p>
            <w:r>
              <w:rPr>
                <w:rFonts w:ascii="Times New Roman" w:hAnsi="Times New Roman"/>
                <w:sz w:val="20"/>
              </w:rPr>
              <w:t>Reproducibility</w:t>
            </w:r>
          </w:p>
        </w:tc>
        <w:tc>
          <w:tcPr>
            <w:tcW w:type="dxa" w:w="2340"/>
          </w:tcPr>
          <w:p>
            <w:r>
              <w:rPr>
                <w:rFonts w:ascii="Times New Roman" w:hAnsi="Times New Roman"/>
                <w:sz w:val="20"/>
              </w:rPr>
              <w:t>Code, seed, package versions on GitHub.</w:t>
            </w:r>
          </w:p>
        </w:tc>
        <w:tc>
          <w:tcPr>
            <w:tcW w:type="dxa" w:w="2340"/>
          </w:tcPr>
          <w:p>
            <w:r>
              <w:rPr>
                <w:rFonts w:ascii="Times New Roman" w:hAnsi="Times New Roman"/>
                <w:sz w:val="20"/>
              </w:rPr>
              <w:t>Yes — Appendix S2.</w:t>
            </w:r>
          </w:p>
        </w:tc>
      </w:tr>
    </w:tbl>
    <w:p>
      <w:r>
        <w:br w:type="page"/>
      </w:r>
    </w:p>
    <w:p>
      <w:pPr>
        <w:pStyle w:val="Heading1"/>
      </w:pPr>
      <w:r>
        <w:rPr>
          <w:rFonts w:ascii="Times New Roman" w:hAnsi="Times New Roman"/>
          <w:color w:val="141F3A"/>
        </w:rPr>
        <w:t>Appendix S2.  Reproducibility statement</w:t>
      </w:r>
    </w:p>
    <w:p>
      <w:pPr>
        <w:spacing w:line="360" w:lineRule="auto" w:after="120"/>
        <w:jc w:val="both"/>
      </w:pPr>
      <w:r>
        <w:rPr>
          <w:rFonts w:ascii="Times New Roman" w:hAnsi="Times New Roman"/>
          <w:b w:val="0"/>
          <w:i w:val="0"/>
          <w:sz w:val="22"/>
        </w:rPr>
        <w:t>All scripts are released at github.com/nielspac177/csdh-postop-seizure-risk under a permissive license. Computational environment: Python 3.9.6, scikit-learn 1.5.2, pandas 2.3.3, lifelines 0.30.0, XGBoost 2.1.4, LightGBM 4.6.0, firthlogist 0.5.0, mapie 1.4.0, imbalanced-learn 0.12.4, python-docx 1.2.0. All analyses used n_jobs = 1 for Apple-Silicon stability and SEED = 42 for reproducibility. The commit hash of the analyses corresponding to this manuscript is tagged v1.0-submission.</w:t>
      </w:r>
    </w:p>
    <w:p>
      <w:pPr>
        <w:spacing w:line="360" w:lineRule="auto" w:after="120"/>
        <w:jc w:val="both"/>
      </w:pPr>
      <w:r>
        <w:rPr>
          <w:rFonts w:ascii="Times New Roman" w:hAnsi="Times New Roman"/>
          <w:b w:val="0"/>
          <w:i w:val="0"/>
          <w:sz w:val="22"/>
        </w:rPr>
        <w:t>Raw patient data are restricted by IRB / data-use agreements. The following derived assets are released: (a) the 21-variable BIDMC feature schema with categorical encoders; (b) the CEA decision-tree Python implementation and parameter file; and (c) Firth coefficient estimates with confidence intervals. The NIS ICD-10 reclassification codeset that motivated the exclusion (see Appendix S4) is also released alongside the codebase for replication.</w:t>
      </w:r>
    </w:p>
    <w:p>
      <w:r>
        <w:br w:type="page"/>
      </w:r>
    </w:p>
    <w:p>
      <w:pPr>
        <w:pStyle w:val="Heading1"/>
      </w:pPr>
      <w:r>
        <w:rPr>
          <w:rFonts w:ascii="Times New Roman" w:hAnsi="Times New Roman"/>
          <w:color w:val="141F3A"/>
        </w:rPr>
        <w:t>Appendix S3.  Feature dictionary for the BIDMC postoperative-A and postoperative-B sets</w:t>
      </w:r>
    </w:p>
    <w:p>
      <w:pPr>
        <w:spacing w:line="360" w:lineRule="auto" w:after="120"/>
        <w:jc w:val="both"/>
      </w:pPr>
      <w:r>
        <w:rPr>
          <w:rFonts w:ascii="Times New Roman" w:hAnsi="Times New Roman"/>
          <w:b w:val="0"/>
          <w:i w:val="0"/>
          <w:sz w:val="22"/>
        </w:rPr>
        <w:t>The 21 variables that constitute the BIDMC postoperative-A feature set are listed below. The leakage-safe postoperative-B set excludes the three variables marked with † (timing of antiepileptic drug administration, prophylactic antiepileptic drug use, and abnormal electroencephalography findings) because they could in principle be charted after seizure onset.</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w:t>
            </w:r>
          </w:p>
        </w:tc>
        <w:tc>
          <w:tcPr>
            <w:tcW w:type="dxa" w:w="2340"/>
          </w:tcPr>
          <w:p>
            <w:r>
              <w:rPr>
                <w:rFonts w:ascii="Times New Roman" w:hAnsi="Times New Roman"/>
                <w:b/>
                <w:sz w:val="20"/>
              </w:rPr>
              <w:t>Variable</w:t>
            </w:r>
          </w:p>
        </w:tc>
        <w:tc>
          <w:tcPr>
            <w:tcW w:type="dxa" w:w="2340"/>
          </w:tcPr>
          <w:p>
            <w:r>
              <w:rPr>
                <w:rFonts w:ascii="Times New Roman" w:hAnsi="Times New Roman"/>
                <w:b/>
                <w:sz w:val="20"/>
              </w:rPr>
              <w:t>Type</w:t>
            </w:r>
          </w:p>
        </w:tc>
        <w:tc>
          <w:tcPr>
            <w:tcW w:type="dxa" w:w="2340"/>
          </w:tcPr>
          <w:p>
            <w:r>
              <w:rPr>
                <w:rFonts w:ascii="Times New Roman" w:hAnsi="Times New Roman"/>
                <w:b/>
                <w:sz w:val="20"/>
              </w:rPr>
              <w:t>Description</w:t>
            </w:r>
          </w:p>
        </w:tc>
      </w:tr>
      <w:tr>
        <w:tc>
          <w:tcPr>
            <w:tcW w:type="dxa" w:w="2340"/>
          </w:tcPr>
          <w:p>
            <w:r>
              <w:rPr>
                <w:rFonts w:ascii="Times New Roman" w:hAnsi="Times New Roman"/>
                <w:sz w:val="20"/>
              </w:rPr>
              <w:t>1</w:t>
            </w:r>
          </w:p>
        </w:tc>
        <w:tc>
          <w:tcPr>
            <w:tcW w:type="dxa" w:w="2340"/>
          </w:tcPr>
          <w:p>
            <w:r>
              <w:rPr>
                <w:rFonts w:ascii="Times New Roman" w:hAnsi="Times New Roman"/>
                <w:sz w:val="20"/>
              </w:rPr>
              <w:t>sex</w:t>
            </w:r>
          </w:p>
        </w:tc>
        <w:tc>
          <w:tcPr>
            <w:tcW w:type="dxa" w:w="2340"/>
          </w:tcPr>
          <w:p>
            <w:r>
              <w:rPr>
                <w:rFonts w:ascii="Times New Roman" w:hAnsi="Times New Roman"/>
                <w:sz w:val="20"/>
              </w:rPr>
              <w:t>binary (0/1)</w:t>
            </w:r>
          </w:p>
        </w:tc>
        <w:tc>
          <w:tcPr>
            <w:tcW w:type="dxa" w:w="2340"/>
          </w:tcPr>
          <w:p>
            <w:r>
              <w:rPr>
                <w:rFonts w:ascii="Times New Roman" w:hAnsi="Times New Roman"/>
                <w:sz w:val="20"/>
              </w:rPr>
              <w:t>Sex (1 = male)</w:t>
            </w:r>
          </w:p>
        </w:tc>
      </w:tr>
      <w:tr>
        <w:tc>
          <w:tcPr>
            <w:tcW w:type="dxa" w:w="2340"/>
          </w:tcPr>
          <w:p>
            <w:r>
              <w:rPr>
                <w:rFonts w:ascii="Times New Roman" w:hAnsi="Times New Roman"/>
                <w:sz w:val="20"/>
              </w:rPr>
              <w:t>2</w:t>
            </w:r>
          </w:p>
        </w:tc>
        <w:tc>
          <w:tcPr>
            <w:tcW w:type="dxa" w:w="2340"/>
          </w:tcPr>
          <w:p>
            <w:r>
              <w:rPr>
                <w:rFonts w:ascii="Times New Roman" w:hAnsi="Times New Roman"/>
                <w:sz w:val="20"/>
              </w:rPr>
              <w:t>age</w:t>
            </w:r>
          </w:p>
        </w:tc>
        <w:tc>
          <w:tcPr>
            <w:tcW w:type="dxa" w:w="2340"/>
          </w:tcPr>
          <w:p>
            <w:r>
              <w:rPr>
                <w:rFonts w:ascii="Times New Roman" w:hAnsi="Times New Roman"/>
                <w:sz w:val="20"/>
              </w:rPr>
              <w:t>integer</w:t>
            </w:r>
          </w:p>
        </w:tc>
        <w:tc>
          <w:tcPr>
            <w:tcW w:type="dxa" w:w="2340"/>
          </w:tcPr>
          <w:p>
            <w:r>
              <w:rPr>
                <w:rFonts w:ascii="Times New Roman" w:hAnsi="Times New Roman"/>
                <w:sz w:val="20"/>
              </w:rPr>
              <w:t>Age at index admission, years</w:t>
            </w:r>
          </w:p>
        </w:tc>
      </w:tr>
      <w:tr>
        <w:tc>
          <w:tcPr>
            <w:tcW w:type="dxa" w:w="2340"/>
          </w:tcPr>
          <w:p>
            <w:r>
              <w:rPr>
                <w:rFonts w:ascii="Times New Roman" w:hAnsi="Times New Roman"/>
                <w:sz w:val="20"/>
              </w:rPr>
              <w:t>3</w:t>
            </w:r>
          </w:p>
        </w:tc>
        <w:tc>
          <w:tcPr>
            <w:tcW w:type="dxa" w:w="2340"/>
          </w:tcPr>
          <w:p>
            <w:r>
              <w:rPr>
                <w:rFonts w:ascii="Times New Roman" w:hAnsi="Times New Roman"/>
                <w:sz w:val="20"/>
              </w:rPr>
              <w:t>blood_type</w:t>
            </w:r>
          </w:p>
        </w:tc>
        <w:tc>
          <w:tcPr>
            <w:tcW w:type="dxa" w:w="2340"/>
          </w:tcPr>
          <w:p>
            <w:r>
              <w:rPr>
                <w:rFonts w:ascii="Times New Roman" w:hAnsi="Times New Roman"/>
                <w:sz w:val="20"/>
              </w:rPr>
              <w:t>ordinal (0–8)</w:t>
            </w:r>
          </w:p>
        </w:tc>
        <w:tc>
          <w:tcPr>
            <w:tcW w:type="dxa" w:w="2340"/>
          </w:tcPr>
          <w:p>
            <w:r>
              <w:rPr>
                <w:rFonts w:ascii="Times New Roman" w:hAnsi="Times New Roman"/>
                <w:sz w:val="20"/>
              </w:rPr>
              <w:t>ABO + Rh blood group, ordinal-encoded</w:t>
            </w:r>
          </w:p>
        </w:tc>
      </w:tr>
      <w:tr>
        <w:tc>
          <w:tcPr>
            <w:tcW w:type="dxa" w:w="2340"/>
          </w:tcPr>
          <w:p>
            <w:r>
              <w:rPr>
                <w:rFonts w:ascii="Times New Roman" w:hAnsi="Times New Roman"/>
                <w:sz w:val="20"/>
              </w:rPr>
              <w:t>4</w:t>
            </w:r>
          </w:p>
        </w:tc>
        <w:tc>
          <w:tcPr>
            <w:tcW w:type="dxa" w:w="2340"/>
          </w:tcPr>
          <w:p>
            <w:r>
              <w:rPr>
                <w:rFonts w:ascii="Times New Roman" w:hAnsi="Times New Roman"/>
                <w:sz w:val="20"/>
              </w:rPr>
              <w:t>sdh_type</w:t>
            </w:r>
          </w:p>
        </w:tc>
        <w:tc>
          <w:tcPr>
            <w:tcW w:type="dxa" w:w="2340"/>
          </w:tcPr>
          <w:p>
            <w:r>
              <w:rPr>
                <w:rFonts w:ascii="Times New Roman" w:hAnsi="Times New Roman"/>
                <w:sz w:val="20"/>
              </w:rPr>
              <w:t>categorical (0–3)</w:t>
            </w:r>
          </w:p>
        </w:tc>
        <w:tc>
          <w:tcPr>
            <w:tcW w:type="dxa" w:w="2340"/>
          </w:tcPr>
          <w:p>
            <w:r>
              <w:rPr>
                <w:rFonts w:ascii="Times New Roman" w:hAnsi="Times New Roman"/>
                <w:sz w:val="20"/>
              </w:rPr>
              <w:t>Subdural haematoma classification: chronic / acute / mixed / unknown</w:t>
            </w:r>
          </w:p>
        </w:tc>
      </w:tr>
      <w:tr>
        <w:tc>
          <w:tcPr>
            <w:tcW w:type="dxa" w:w="2340"/>
          </w:tcPr>
          <w:p>
            <w:r>
              <w:rPr>
                <w:rFonts w:ascii="Times New Roman" w:hAnsi="Times New Roman"/>
                <w:sz w:val="20"/>
              </w:rPr>
              <w:t>5</w:t>
            </w:r>
          </w:p>
        </w:tc>
        <w:tc>
          <w:tcPr>
            <w:tcW w:type="dxa" w:w="2340"/>
          </w:tcPr>
          <w:p>
            <w:r>
              <w:rPr>
                <w:rFonts w:ascii="Times New Roman" w:hAnsi="Times New Roman"/>
                <w:sz w:val="20"/>
              </w:rPr>
              <w:t>sdh_thickness</w:t>
            </w:r>
          </w:p>
        </w:tc>
        <w:tc>
          <w:tcPr>
            <w:tcW w:type="dxa" w:w="2340"/>
          </w:tcPr>
          <w:p>
            <w:r>
              <w:rPr>
                <w:rFonts w:ascii="Times New Roman" w:hAnsi="Times New Roman"/>
                <w:sz w:val="20"/>
              </w:rPr>
              <w:t>continuous</w:t>
            </w:r>
          </w:p>
        </w:tc>
        <w:tc>
          <w:tcPr>
            <w:tcW w:type="dxa" w:w="2340"/>
          </w:tcPr>
          <w:p>
            <w:r>
              <w:rPr>
                <w:rFonts w:ascii="Times New Roman" w:hAnsi="Times New Roman"/>
                <w:sz w:val="20"/>
              </w:rPr>
              <w:t>Maximum hematoma thickness, mm (imaging)</w:t>
            </w:r>
          </w:p>
        </w:tc>
      </w:tr>
      <w:tr>
        <w:tc>
          <w:tcPr>
            <w:tcW w:type="dxa" w:w="2340"/>
          </w:tcPr>
          <w:p>
            <w:r>
              <w:rPr>
                <w:rFonts w:ascii="Times New Roman" w:hAnsi="Times New Roman"/>
                <w:sz w:val="20"/>
              </w:rPr>
              <w:t>6</w:t>
            </w:r>
          </w:p>
        </w:tc>
        <w:tc>
          <w:tcPr>
            <w:tcW w:type="dxa" w:w="2340"/>
          </w:tcPr>
          <w:p>
            <w:r>
              <w:rPr>
                <w:rFonts w:ascii="Times New Roman" w:hAnsi="Times New Roman"/>
                <w:sz w:val="20"/>
              </w:rPr>
              <w:t>csdh_size_change</w:t>
            </w:r>
          </w:p>
        </w:tc>
        <w:tc>
          <w:tcPr>
            <w:tcW w:type="dxa" w:w="2340"/>
          </w:tcPr>
          <w:p>
            <w:r>
              <w:rPr>
                <w:rFonts w:ascii="Times New Roman" w:hAnsi="Times New Roman"/>
                <w:sz w:val="20"/>
              </w:rPr>
              <w:t>ordinal (−1/0/+1)</w:t>
            </w:r>
          </w:p>
        </w:tc>
        <w:tc>
          <w:tcPr>
            <w:tcW w:type="dxa" w:w="2340"/>
          </w:tcPr>
          <w:p>
            <w:r>
              <w:rPr>
                <w:rFonts w:ascii="Times New Roman" w:hAnsi="Times New Roman"/>
                <w:sz w:val="20"/>
              </w:rPr>
              <w:t>Pre→post hematoma size change (smaller / equal / larger)</w:t>
            </w:r>
          </w:p>
        </w:tc>
      </w:tr>
      <w:tr>
        <w:tc>
          <w:tcPr>
            <w:tcW w:type="dxa" w:w="2340"/>
          </w:tcPr>
          <w:p>
            <w:r>
              <w:rPr>
                <w:rFonts w:ascii="Times New Roman" w:hAnsi="Times New Roman"/>
                <w:sz w:val="20"/>
              </w:rPr>
              <w:t>7</w:t>
            </w:r>
          </w:p>
        </w:tc>
        <w:tc>
          <w:tcPr>
            <w:tcW w:type="dxa" w:w="2340"/>
          </w:tcPr>
          <w:p>
            <w:r>
              <w:rPr>
                <w:rFonts w:ascii="Times New Roman" w:hAnsi="Times New Roman"/>
                <w:sz w:val="20"/>
              </w:rPr>
              <w:t>mid_shift</w:t>
            </w:r>
          </w:p>
        </w:tc>
        <w:tc>
          <w:tcPr>
            <w:tcW w:type="dxa" w:w="2340"/>
          </w:tcPr>
          <w:p>
            <w:r>
              <w:rPr>
                <w:rFonts w:ascii="Times New Roman" w:hAnsi="Times New Roman"/>
                <w:sz w:val="20"/>
              </w:rPr>
              <w:t>continuous</w:t>
            </w:r>
          </w:p>
        </w:tc>
        <w:tc>
          <w:tcPr>
            <w:tcW w:type="dxa" w:w="2340"/>
          </w:tcPr>
          <w:p>
            <w:r>
              <w:rPr>
                <w:rFonts w:ascii="Times New Roman" w:hAnsi="Times New Roman"/>
                <w:sz w:val="20"/>
              </w:rPr>
              <w:t>Midline shift, mm (imaging)</w:t>
            </w:r>
          </w:p>
        </w:tc>
      </w:tr>
      <w:tr>
        <w:tc>
          <w:tcPr>
            <w:tcW w:type="dxa" w:w="2340"/>
          </w:tcPr>
          <w:p>
            <w:r>
              <w:rPr>
                <w:rFonts w:ascii="Times New Roman" w:hAnsi="Times New Roman"/>
                <w:sz w:val="20"/>
              </w:rPr>
              <w:t>8</w:t>
            </w:r>
          </w:p>
        </w:tc>
        <w:tc>
          <w:tcPr>
            <w:tcW w:type="dxa" w:w="2340"/>
          </w:tcPr>
          <w:p>
            <w:r>
              <w:rPr>
                <w:rFonts w:ascii="Times New Roman" w:hAnsi="Times New Roman"/>
                <w:sz w:val="20"/>
              </w:rPr>
              <w:t>hematoma_lat</w:t>
            </w:r>
          </w:p>
        </w:tc>
        <w:tc>
          <w:tcPr>
            <w:tcW w:type="dxa" w:w="2340"/>
          </w:tcPr>
          <w:p>
            <w:r>
              <w:rPr>
                <w:rFonts w:ascii="Times New Roman" w:hAnsi="Times New Roman"/>
                <w:sz w:val="20"/>
              </w:rPr>
              <w:t>categorical (1–3)</w:t>
            </w:r>
          </w:p>
        </w:tc>
        <w:tc>
          <w:tcPr>
            <w:tcW w:type="dxa" w:w="2340"/>
          </w:tcPr>
          <w:p>
            <w:r>
              <w:rPr>
                <w:rFonts w:ascii="Times New Roman" w:hAnsi="Times New Roman"/>
                <w:sz w:val="20"/>
              </w:rPr>
              <w:t>Laterality — left / right / bilateral</w:t>
            </w:r>
          </w:p>
        </w:tc>
      </w:tr>
      <w:tr>
        <w:tc>
          <w:tcPr>
            <w:tcW w:type="dxa" w:w="2340"/>
          </w:tcPr>
          <w:p>
            <w:r>
              <w:rPr>
                <w:rFonts w:ascii="Times New Roman" w:hAnsi="Times New Roman"/>
                <w:sz w:val="20"/>
              </w:rPr>
              <w:t>9</w:t>
            </w:r>
          </w:p>
        </w:tc>
        <w:tc>
          <w:tcPr>
            <w:tcW w:type="dxa" w:w="2340"/>
          </w:tcPr>
          <w:p>
            <w:r>
              <w:rPr>
                <w:rFonts w:ascii="Times New Roman" w:hAnsi="Times New Roman"/>
                <w:sz w:val="20"/>
              </w:rPr>
              <w:t>collection_density</w:t>
            </w:r>
          </w:p>
        </w:tc>
        <w:tc>
          <w:tcPr>
            <w:tcW w:type="dxa" w:w="2340"/>
          </w:tcPr>
          <w:p>
            <w:r>
              <w:rPr>
                <w:rFonts w:ascii="Times New Roman" w:hAnsi="Times New Roman"/>
                <w:sz w:val="20"/>
              </w:rPr>
              <w:t>categorical (0–3)</w:t>
            </w:r>
          </w:p>
        </w:tc>
        <w:tc>
          <w:tcPr>
            <w:tcW w:type="dxa" w:w="2340"/>
          </w:tcPr>
          <w:p>
            <w:r>
              <w:rPr>
                <w:rFonts w:ascii="Times New Roman" w:hAnsi="Times New Roman"/>
                <w:sz w:val="20"/>
              </w:rPr>
              <w:t>Hounsfield density classification — hypo / iso / hyper / mixed</w:t>
            </w:r>
          </w:p>
        </w:tc>
      </w:tr>
      <w:tr>
        <w:tc>
          <w:tcPr>
            <w:tcW w:type="dxa" w:w="2340"/>
          </w:tcPr>
          <w:p>
            <w:r>
              <w:rPr>
                <w:rFonts w:ascii="Times New Roman" w:hAnsi="Times New Roman"/>
                <w:sz w:val="20"/>
              </w:rPr>
              <w:t>10</w:t>
            </w:r>
          </w:p>
        </w:tc>
        <w:tc>
          <w:tcPr>
            <w:tcW w:type="dxa" w:w="2340"/>
          </w:tcPr>
          <w:p>
            <w:r>
              <w:rPr>
                <w:rFonts w:ascii="Times New Roman" w:hAnsi="Times New Roman"/>
                <w:sz w:val="20"/>
              </w:rPr>
              <w:t>preop_gcs</w:t>
            </w:r>
          </w:p>
        </w:tc>
        <w:tc>
          <w:tcPr>
            <w:tcW w:type="dxa" w:w="2340"/>
          </w:tcPr>
          <w:p>
            <w:r>
              <w:rPr>
                <w:rFonts w:ascii="Times New Roman" w:hAnsi="Times New Roman"/>
                <w:sz w:val="20"/>
              </w:rPr>
              <w:t>integer (3–15)</w:t>
            </w:r>
          </w:p>
        </w:tc>
        <w:tc>
          <w:tcPr>
            <w:tcW w:type="dxa" w:w="2340"/>
          </w:tcPr>
          <w:p>
            <w:r>
              <w:rPr>
                <w:rFonts w:ascii="Times New Roman" w:hAnsi="Times New Roman"/>
                <w:sz w:val="20"/>
              </w:rPr>
              <w:t>Preoperative Glasgow Coma Scale total</w:t>
            </w:r>
          </w:p>
        </w:tc>
      </w:tr>
      <w:tr>
        <w:tc>
          <w:tcPr>
            <w:tcW w:type="dxa" w:w="2340"/>
          </w:tcPr>
          <w:p>
            <w:r>
              <w:rPr>
                <w:rFonts w:ascii="Times New Roman" w:hAnsi="Times New Roman"/>
                <w:sz w:val="20"/>
              </w:rPr>
              <w:t>11</w:t>
            </w:r>
          </w:p>
        </w:tc>
        <w:tc>
          <w:tcPr>
            <w:tcW w:type="dxa" w:w="2340"/>
          </w:tcPr>
          <w:p>
            <w:r>
              <w:rPr>
                <w:rFonts w:ascii="Times New Roman" w:hAnsi="Times New Roman"/>
                <w:sz w:val="20"/>
              </w:rPr>
              <w:t>epilepsy_hx</w:t>
            </w:r>
          </w:p>
        </w:tc>
        <w:tc>
          <w:tcPr>
            <w:tcW w:type="dxa" w:w="2340"/>
          </w:tcPr>
          <w:p>
            <w:r>
              <w:rPr>
                <w:rFonts w:ascii="Times New Roman" w:hAnsi="Times New Roman"/>
                <w:sz w:val="20"/>
              </w:rPr>
              <w:t>binary (0/1)</w:t>
            </w:r>
          </w:p>
        </w:tc>
        <w:tc>
          <w:tcPr>
            <w:tcW w:type="dxa" w:w="2340"/>
          </w:tcPr>
          <w:p>
            <w:r>
              <w:rPr>
                <w:rFonts w:ascii="Times New Roman" w:hAnsi="Times New Roman"/>
                <w:sz w:val="20"/>
              </w:rPr>
              <w:t>Prior history of epilepsy</w:t>
            </w:r>
          </w:p>
        </w:tc>
      </w:tr>
      <w:tr>
        <w:tc>
          <w:tcPr>
            <w:tcW w:type="dxa" w:w="2340"/>
          </w:tcPr>
          <w:p>
            <w:r>
              <w:rPr>
                <w:rFonts w:ascii="Times New Roman" w:hAnsi="Times New Roman"/>
                <w:sz w:val="20"/>
              </w:rPr>
              <w:t>12</w:t>
            </w:r>
          </w:p>
        </w:tc>
        <w:tc>
          <w:tcPr>
            <w:tcW w:type="dxa" w:w="2340"/>
          </w:tcPr>
          <w:p>
            <w:r>
              <w:rPr>
                <w:rFonts w:ascii="Times New Roman" w:hAnsi="Times New Roman"/>
                <w:sz w:val="20"/>
              </w:rPr>
              <w:t>num_prev_sdh</w:t>
            </w:r>
          </w:p>
        </w:tc>
        <w:tc>
          <w:tcPr>
            <w:tcW w:type="dxa" w:w="2340"/>
          </w:tcPr>
          <w:p>
            <w:r>
              <w:rPr>
                <w:rFonts w:ascii="Times New Roman" w:hAnsi="Times New Roman"/>
                <w:sz w:val="20"/>
              </w:rPr>
              <w:t>integer</w:t>
            </w:r>
          </w:p>
        </w:tc>
        <w:tc>
          <w:tcPr>
            <w:tcW w:type="dxa" w:w="2340"/>
          </w:tcPr>
          <w:p>
            <w:r>
              <w:rPr>
                <w:rFonts w:ascii="Times New Roman" w:hAnsi="Times New Roman"/>
                <w:sz w:val="20"/>
              </w:rPr>
              <w:t>Number of previous SDH episodes</w:t>
            </w:r>
          </w:p>
        </w:tc>
      </w:tr>
      <w:tr>
        <w:tc>
          <w:tcPr>
            <w:tcW w:type="dxa" w:w="2340"/>
          </w:tcPr>
          <w:p>
            <w:r>
              <w:rPr>
                <w:rFonts w:ascii="Times New Roman" w:hAnsi="Times New Roman"/>
                <w:sz w:val="20"/>
              </w:rPr>
              <w:t>13</w:t>
            </w:r>
          </w:p>
        </w:tc>
        <w:tc>
          <w:tcPr>
            <w:tcW w:type="dxa" w:w="2340"/>
          </w:tcPr>
          <w:p>
            <w:r>
              <w:rPr>
                <w:rFonts w:ascii="Times New Roman" w:hAnsi="Times New Roman"/>
                <w:sz w:val="20"/>
              </w:rPr>
              <w:t>demographic</w:t>
            </w:r>
          </w:p>
        </w:tc>
        <w:tc>
          <w:tcPr>
            <w:tcW w:type="dxa" w:w="2340"/>
          </w:tcPr>
          <w:p>
            <w:r>
              <w:rPr>
                <w:rFonts w:ascii="Times New Roman" w:hAnsi="Times New Roman"/>
                <w:sz w:val="20"/>
              </w:rPr>
              <w:t>categorical (0–4)</w:t>
            </w:r>
          </w:p>
        </w:tc>
        <w:tc>
          <w:tcPr>
            <w:tcW w:type="dxa" w:w="2340"/>
          </w:tcPr>
          <w:p>
            <w:r>
              <w:rPr>
                <w:rFonts w:ascii="Times New Roman" w:hAnsi="Times New Roman"/>
                <w:sz w:val="20"/>
              </w:rPr>
              <w:t>Demographic stratum (institutional encoding)</w:t>
            </w:r>
          </w:p>
        </w:tc>
      </w:tr>
      <w:tr>
        <w:tc>
          <w:tcPr>
            <w:tcW w:type="dxa" w:w="2340"/>
          </w:tcPr>
          <w:p>
            <w:r>
              <w:rPr>
                <w:rFonts w:ascii="Times New Roman" w:hAnsi="Times New Roman"/>
                <w:sz w:val="20"/>
              </w:rPr>
              <w:t>14</w:t>
            </w:r>
          </w:p>
        </w:tc>
        <w:tc>
          <w:tcPr>
            <w:tcW w:type="dxa" w:w="2340"/>
          </w:tcPr>
          <w:p>
            <w:r>
              <w:rPr>
                <w:rFonts w:ascii="Times New Roman" w:hAnsi="Times New Roman"/>
                <w:sz w:val="20"/>
              </w:rPr>
              <w:t>procedures</w:t>
            </w:r>
          </w:p>
        </w:tc>
        <w:tc>
          <w:tcPr>
            <w:tcW w:type="dxa" w:w="2340"/>
          </w:tcPr>
          <w:p>
            <w:r>
              <w:rPr>
                <w:rFonts w:ascii="Times New Roman" w:hAnsi="Times New Roman"/>
                <w:sz w:val="20"/>
              </w:rPr>
              <w:t>categorical (0–4)</w:t>
            </w:r>
          </w:p>
        </w:tc>
        <w:tc>
          <w:tcPr>
            <w:tcW w:type="dxa" w:w="2340"/>
          </w:tcPr>
          <w:p>
            <w:r>
              <w:rPr>
                <w:rFonts w:ascii="Times New Roman" w:hAnsi="Times New Roman"/>
                <w:sz w:val="20"/>
              </w:rPr>
              <w:t>Procedure-class encoding</w:t>
            </w:r>
          </w:p>
        </w:tc>
      </w:tr>
      <w:tr>
        <w:tc>
          <w:tcPr>
            <w:tcW w:type="dxa" w:w="2340"/>
          </w:tcPr>
          <w:p>
            <w:r>
              <w:rPr>
                <w:rFonts w:ascii="Times New Roman" w:hAnsi="Times New Roman"/>
                <w:sz w:val="20"/>
              </w:rPr>
              <w:t>15</w:t>
            </w:r>
          </w:p>
        </w:tc>
        <w:tc>
          <w:tcPr>
            <w:tcW w:type="dxa" w:w="2340"/>
          </w:tcPr>
          <w:p>
            <w:r>
              <w:rPr>
                <w:rFonts w:ascii="Times New Roman" w:hAnsi="Times New Roman"/>
                <w:sz w:val="20"/>
              </w:rPr>
              <w:t>surg_decompression</w:t>
            </w:r>
          </w:p>
        </w:tc>
        <w:tc>
          <w:tcPr>
            <w:tcW w:type="dxa" w:w="2340"/>
          </w:tcPr>
          <w:p>
            <w:r>
              <w:rPr>
                <w:rFonts w:ascii="Times New Roman" w:hAnsi="Times New Roman"/>
                <w:sz w:val="20"/>
              </w:rPr>
              <w:t>binary (0/1)</w:t>
            </w:r>
          </w:p>
        </w:tc>
        <w:tc>
          <w:tcPr>
            <w:tcW w:type="dxa" w:w="2340"/>
          </w:tcPr>
          <w:p>
            <w:r>
              <w:rPr>
                <w:rFonts w:ascii="Times New Roman" w:hAnsi="Times New Roman"/>
                <w:sz w:val="20"/>
              </w:rPr>
              <w:t>Decompressive craniectomy performed</w:t>
            </w:r>
          </w:p>
        </w:tc>
      </w:tr>
      <w:tr>
        <w:tc>
          <w:tcPr>
            <w:tcW w:type="dxa" w:w="2340"/>
          </w:tcPr>
          <w:p>
            <w:r>
              <w:rPr>
                <w:rFonts w:ascii="Times New Roman" w:hAnsi="Times New Roman"/>
                <w:sz w:val="20"/>
              </w:rPr>
              <w:t>16</w:t>
            </w:r>
          </w:p>
        </w:tc>
        <w:tc>
          <w:tcPr>
            <w:tcW w:type="dxa" w:w="2340"/>
          </w:tcPr>
          <w:p>
            <w:r>
              <w:rPr>
                <w:rFonts w:ascii="Times New Roman" w:hAnsi="Times New Roman"/>
                <w:sz w:val="20"/>
              </w:rPr>
              <w:t>mma_embo</w:t>
            </w:r>
          </w:p>
        </w:tc>
        <w:tc>
          <w:tcPr>
            <w:tcW w:type="dxa" w:w="2340"/>
          </w:tcPr>
          <w:p>
            <w:r>
              <w:rPr>
                <w:rFonts w:ascii="Times New Roman" w:hAnsi="Times New Roman"/>
                <w:sz w:val="20"/>
              </w:rPr>
              <w:t>binary (0/1)</w:t>
            </w:r>
          </w:p>
        </w:tc>
        <w:tc>
          <w:tcPr>
            <w:tcW w:type="dxa" w:w="2340"/>
          </w:tcPr>
          <w:p>
            <w:r>
              <w:rPr>
                <w:rFonts w:ascii="Times New Roman" w:hAnsi="Times New Roman"/>
                <w:sz w:val="20"/>
              </w:rPr>
              <w:t>Middle meningeal artery embolisation</w:t>
            </w:r>
          </w:p>
        </w:tc>
      </w:tr>
      <w:tr>
        <w:tc>
          <w:tcPr>
            <w:tcW w:type="dxa" w:w="2340"/>
          </w:tcPr>
          <w:p>
            <w:r>
              <w:rPr>
                <w:rFonts w:ascii="Times New Roman" w:hAnsi="Times New Roman"/>
                <w:sz w:val="20"/>
              </w:rPr>
              <w:t>17</w:t>
            </w:r>
          </w:p>
        </w:tc>
        <w:tc>
          <w:tcPr>
            <w:tcW w:type="dxa" w:w="2340"/>
          </w:tcPr>
          <w:p>
            <w:r>
              <w:rPr>
                <w:rFonts w:ascii="Times New Roman" w:hAnsi="Times New Roman"/>
                <w:sz w:val="20"/>
              </w:rPr>
              <w:t>drainage</w:t>
            </w:r>
          </w:p>
        </w:tc>
        <w:tc>
          <w:tcPr>
            <w:tcW w:type="dxa" w:w="2340"/>
          </w:tcPr>
          <w:p>
            <w:r>
              <w:rPr>
                <w:rFonts w:ascii="Times New Roman" w:hAnsi="Times New Roman"/>
                <w:sz w:val="20"/>
              </w:rPr>
              <w:t>binary (0/1)</w:t>
            </w:r>
          </w:p>
        </w:tc>
        <w:tc>
          <w:tcPr>
            <w:tcW w:type="dxa" w:w="2340"/>
          </w:tcPr>
          <w:p>
            <w:r>
              <w:rPr>
                <w:rFonts w:ascii="Times New Roman" w:hAnsi="Times New Roman"/>
                <w:sz w:val="20"/>
              </w:rPr>
              <w:t>Subdural drain placed at evacuation</w:t>
            </w:r>
          </w:p>
        </w:tc>
      </w:tr>
      <w:tr>
        <w:tc>
          <w:tcPr>
            <w:tcW w:type="dxa" w:w="2340"/>
          </w:tcPr>
          <w:p>
            <w:r>
              <w:rPr>
                <w:rFonts w:ascii="Times New Roman" w:hAnsi="Times New Roman"/>
                <w:sz w:val="20"/>
              </w:rPr>
              <w:t>18</w:t>
            </w:r>
          </w:p>
        </w:tc>
        <w:tc>
          <w:tcPr>
            <w:tcW w:type="dxa" w:w="2340"/>
          </w:tcPr>
          <w:p>
            <w:r>
              <w:rPr>
                <w:rFonts w:ascii="Times New Roman" w:hAnsi="Times New Roman"/>
                <w:sz w:val="20"/>
              </w:rPr>
              <w:t>postop_gcs</w:t>
            </w:r>
          </w:p>
        </w:tc>
        <w:tc>
          <w:tcPr>
            <w:tcW w:type="dxa" w:w="2340"/>
          </w:tcPr>
          <w:p>
            <w:r>
              <w:rPr>
                <w:rFonts w:ascii="Times New Roman" w:hAnsi="Times New Roman"/>
                <w:sz w:val="20"/>
              </w:rPr>
              <w:t>integer (3–15)</w:t>
            </w:r>
          </w:p>
        </w:tc>
        <w:tc>
          <w:tcPr>
            <w:tcW w:type="dxa" w:w="2340"/>
          </w:tcPr>
          <w:p>
            <w:r>
              <w:rPr>
                <w:rFonts w:ascii="Times New Roman" w:hAnsi="Times New Roman"/>
                <w:sz w:val="20"/>
              </w:rPr>
              <w:t>OR-exit Glasgow Coma Scale total</w:t>
            </w:r>
          </w:p>
        </w:tc>
      </w:tr>
      <w:tr>
        <w:tc>
          <w:tcPr>
            <w:tcW w:type="dxa" w:w="2340"/>
          </w:tcPr>
          <w:p>
            <w:r>
              <w:rPr>
                <w:rFonts w:ascii="Times New Roman" w:hAnsi="Times New Roman"/>
                <w:sz w:val="20"/>
              </w:rPr>
              <w:t>19</w:t>
            </w:r>
          </w:p>
        </w:tc>
        <w:tc>
          <w:tcPr>
            <w:tcW w:type="dxa" w:w="2340"/>
          </w:tcPr>
          <w:p>
            <w:r>
              <w:rPr>
                <w:rFonts w:ascii="Times New Roman" w:hAnsi="Times New Roman"/>
                <w:sz w:val="20"/>
              </w:rPr>
              <w:t>aed_timing_recoded †</w:t>
            </w:r>
          </w:p>
        </w:tc>
        <w:tc>
          <w:tcPr>
            <w:tcW w:type="dxa" w:w="2340"/>
          </w:tcPr>
          <w:p>
            <w:r>
              <w:rPr>
                <w:rFonts w:ascii="Times New Roman" w:hAnsi="Times New Roman"/>
                <w:sz w:val="20"/>
              </w:rPr>
              <w:t>categorical (0/1)</w:t>
            </w:r>
          </w:p>
        </w:tc>
        <w:tc>
          <w:tcPr>
            <w:tcW w:type="dxa" w:w="2340"/>
          </w:tcPr>
          <w:p>
            <w:r>
              <w:rPr>
                <w:rFonts w:ascii="Times New Roman" w:hAnsi="Times New Roman"/>
                <w:sz w:val="20"/>
              </w:rPr>
              <w:t>When the antiepileptic drug was administered (pre/post/not given) — leakage-suspect; excluded from postop-B</w:t>
            </w:r>
          </w:p>
        </w:tc>
      </w:tr>
      <w:tr>
        <w:tc>
          <w:tcPr>
            <w:tcW w:type="dxa" w:w="2340"/>
          </w:tcPr>
          <w:p>
            <w:r>
              <w:rPr>
                <w:rFonts w:ascii="Times New Roman" w:hAnsi="Times New Roman"/>
                <w:sz w:val="20"/>
              </w:rPr>
              <w:t>20</w:t>
            </w:r>
          </w:p>
        </w:tc>
        <w:tc>
          <w:tcPr>
            <w:tcW w:type="dxa" w:w="2340"/>
          </w:tcPr>
          <w:p>
            <w:r>
              <w:rPr>
                <w:rFonts w:ascii="Times New Roman" w:hAnsi="Times New Roman"/>
                <w:sz w:val="20"/>
              </w:rPr>
              <w:t>prop_aed †</w:t>
            </w:r>
          </w:p>
        </w:tc>
        <w:tc>
          <w:tcPr>
            <w:tcW w:type="dxa" w:w="2340"/>
          </w:tcPr>
          <w:p>
            <w:r>
              <w:rPr>
                <w:rFonts w:ascii="Times New Roman" w:hAnsi="Times New Roman"/>
                <w:sz w:val="20"/>
              </w:rPr>
              <w:t>binary (0/1)</w:t>
            </w:r>
          </w:p>
        </w:tc>
        <w:tc>
          <w:tcPr>
            <w:tcW w:type="dxa" w:w="2340"/>
          </w:tcPr>
          <w:p>
            <w:r>
              <w:rPr>
                <w:rFonts w:ascii="Times New Roman" w:hAnsi="Times New Roman"/>
                <w:sz w:val="20"/>
              </w:rPr>
              <w:t>Prophylactic antiepileptic drug administered — leakage-suspect; excluded from postop-B</w:t>
            </w:r>
          </w:p>
        </w:tc>
      </w:tr>
      <w:tr>
        <w:tc>
          <w:tcPr>
            <w:tcW w:type="dxa" w:w="2340"/>
          </w:tcPr>
          <w:p>
            <w:r>
              <w:rPr>
                <w:rFonts w:ascii="Times New Roman" w:hAnsi="Times New Roman"/>
                <w:sz w:val="20"/>
              </w:rPr>
              <w:t>21</w:t>
            </w:r>
          </w:p>
        </w:tc>
        <w:tc>
          <w:tcPr>
            <w:tcW w:type="dxa" w:w="2340"/>
          </w:tcPr>
          <w:p>
            <w:r>
              <w:rPr>
                <w:rFonts w:ascii="Times New Roman" w:hAnsi="Times New Roman"/>
                <w:sz w:val="20"/>
              </w:rPr>
              <w:t>ab_eeg †</w:t>
            </w:r>
          </w:p>
        </w:tc>
        <w:tc>
          <w:tcPr>
            <w:tcW w:type="dxa" w:w="2340"/>
          </w:tcPr>
          <w:p>
            <w:r>
              <w:rPr>
                <w:rFonts w:ascii="Times New Roman" w:hAnsi="Times New Roman"/>
                <w:sz w:val="20"/>
              </w:rPr>
              <w:t>binary (0/1)</w:t>
            </w:r>
          </w:p>
        </w:tc>
        <w:tc>
          <w:tcPr>
            <w:tcW w:type="dxa" w:w="2340"/>
          </w:tcPr>
          <w:p>
            <w:r>
              <w:rPr>
                <w:rFonts w:ascii="Times New Roman" w:hAnsi="Times New Roman"/>
                <w:sz w:val="20"/>
              </w:rPr>
              <w:t>Abnormal electroencephalography findings documented during admission — leakage-suspect; excluded from postop-B</w:t>
            </w:r>
          </w:p>
        </w:tc>
      </w:tr>
    </w:tbl>
    <w:p>
      <w:pPr>
        <w:spacing w:line="360" w:lineRule="auto" w:after="120"/>
        <w:jc w:val="both"/>
      </w:pPr>
      <w:r>
        <w:rPr>
          <w:rFonts w:ascii="Times New Roman" w:hAnsi="Times New Roman"/>
          <w:b w:val="0"/>
          <w:i w:val="0"/>
          <w:sz w:val="22"/>
        </w:rPr>
        <w:t>† Excluded from postoperative-B (the leakage-safe sensitivity feature set, n = 18 variables). The comparison of postop-A (AUC 0.681, 95% CI 0.609–0.753) against postop-B (AUC 0.645, 95% CI 0.562–0.729) is reported in Results §3.2 and Figure 1A as the temporal-leakage robustness check; the modest AUC drop (≈0.04) is well within the Bernoulli sampling-noise floor at n = 48 events (±0.06 at AUC = 0.70; Hanley &amp; McNeil 1982), indicating the primary discrimination signal is not driven by post-event information.</w:t>
      </w:r>
    </w:p>
    <w:p>
      <w:r>
        <w:br w:type="page"/>
      </w:r>
    </w:p>
    <w:p>
      <w:pPr>
        <w:pStyle w:val="Heading1"/>
      </w:pPr>
      <w:r>
        <w:rPr>
          <w:rFonts w:ascii="Times New Roman" w:hAnsi="Times New Roman"/>
          <w:color w:val="141F3A"/>
        </w:rPr>
        <w:t>Appendix S4.  Nationwide Inpatient Sample (NIS) — excluded from the primary analysis</w:t>
      </w:r>
    </w:p>
    <w:p>
      <w:pPr>
        <w:spacing w:line="360" w:lineRule="auto" w:after="120"/>
        <w:jc w:val="both"/>
      </w:pPr>
      <w:r>
        <w:rPr>
          <w:rFonts w:ascii="Times New Roman" w:hAnsi="Times New Roman"/>
          <w:b w:val="0"/>
          <w:i w:val="0"/>
          <w:sz w:val="22"/>
        </w:rPr>
        <w:t>A preliminary analysis attempted to extend external validation to the HCUP Nationwide Inpatient Sample (NIS, 2016–2019), restricted to admissions with chronic-SDH coding and a craniotomy or burr-hole procedure in the same admission (n = 2,518). On methodological review the cohort was excluded from the primary analysis because the available administrative coding for the postoperative-seizure outcome is unreliable in this setting.</w:t>
      </w:r>
    </w:p>
    <w:p>
      <w:pPr>
        <w:spacing w:line="360" w:lineRule="auto" w:after="120"/>
        <w:jc w:val="both"/>
      </w:pPr>
      <w:r>
        <w:rPr>
          <w:rFonts w:ascii="Times New Roman" w:hAnsi="Times New Roman"/>
          <w:b w:val="0"/>
          <w:i w:val="0"/>
          <w:sz w:val="22"/>
        </w:rPr>
        <w:t>Two coding limitations drive the exclusion. First, the ICD-10-CM code families historically used for postoperative seizure in NIS analyses combine acute symptomatic seizure codes (R56.x, 780.39, G41.x) with codes for pre-existing epilepsy (G40.x, 345.x). The two phenotypes are mechanistically distinct: acute symptomatic seizure is the in-admission event of interest, while pre-existing epilepsy reflects chronic disease coded for billing on every admission. Conflating them inflates the apparent population seizure signal and produces an outcome variable that does not match the BIDMC/eICU phenotype. Second, NIS does not carry a structured timestamp on the seizure code, so we cannot distinguish in-admission events from prevalent epilepsy after the procedure date. Together these properties make NIS incompatible with the chart-documented (BIDMC) and timestamped structured-flag (eICU) outcome ascertainment used in the primary analysis.</w:t>
      </w:r>
    </w:p>
    <w:p>
      <w:pPr>
        <w:spacing w:line="360" w:lineRule="auto" w:after="120"/>
        <w:jc w:val="both"/>
      </w:pPr>
      <w:r>
        <w:rPr>
          <w:rFonts w:ascii="Times New Roman" w:hAnsi="Times New Roman"/>
          <w:b w:val="0"/>
          <w:i w:val="0"/>
          <w:sz w:val="22"/>
        </w:rPr>
        <w:t>Supplementary Figure S5 illustrates the empirical effect: discrimination on the originally-reported combined outcome (AUC 0.617) collapses to chance (AUC 0.498) when the outcome is restricted to acute symptomatic seizure alone. Supplementary Figure S7 shows that group-LASSO under the corrected outcome selects no stable predictors. We release the cleaned ICD-10 codeset alongside the codebase (see Appendix S2) so that future nationwide analyses with timestamped coding can re-attempt this validation step on a coding substrate that supports it.</w:t>
      </w:r>
    </w:p>
    <w:p>
      <w:r>
        <w:br w:type="page"/>
      </w:r>
    </w:p>
    <w:p>
      <w:pPr>
        <w:pStyle w:val="Heading1"/>
      </w:pPr>
      <w:r>
        <w:rPr>
          <w:rFonts w:ascii="Times New Roman" w:hAnsi="Times New Roman"/>
          <w:color w:val="141F3A"/>
        </w:rPr>
        <w:t>Appendix S5.  Missing-data sensitivity</w:t>
      </w:r>
    </w:p>
    <w:p>
      <w:pPr>
        <w:spacing w:line="360" w:lineRule="auto" w:after="120"/>
        <w:jc w:val="both"/>
      </w:pPr>
      <w:r>
        <w:rPr>
          <w:rFonts w:ascii="Times New Roman" w:hAnsi="Times New Roman"/>
          <w:b w:val="0"/>
          <w:i w:val="0"/>
          <w:sz w:val="22"/>
        </w:rPr>
        <w:t>Background.  We evaluated whether the discrimination of the deployment pipeline depends on the missing-data assumption. The deployment pipeline imputes each feature by its median and appends a per-feature binary missing-indicator covariate; sensitivity to this choice is reported below.</w:t>
      </w:r>
    </w:p>
    <w:p>
      <w:pPr>
        <w:spacing w:line="360" w:lineRule="auto" w:after="120"/>
        <w:jc w:val="both"/>
      </w:pPr>
      <w:r>
        <w:rPr>
          <w:rFonts w:ascii="Times New Roman" w:hAnsi="Times New Roman"/>
          <w:b w:val="0"/>
          <w:i w:val="0"/>
          <w:sz w:val="22"/>
        </w:rPr>
        <w:t>Missingness patterns.  In the BIDMC development cohort, two of the 21 postoperative-A variables carried administrative-category missingness: 'demographic' (63/655 = 9.6%) and 'procedures' (56/655 = 8.5%); the remaining 19 variables were complete. The eICU non-traumatic stratum had additional feature-specific missingness concentrated in structured-record physiological variables; per-feature rates are visualised in Supplementary Figure S4.</w:t>
      </w:r>
    </w:p>
    <w:p>
      <w:pPr>
        <w:spacing w:line="360" w:lineRule="auto" w:after="120"/>
        <w:jc w:val="both"/>
      </w:pPr>
      <w:r>
        <w:rPr>
          <w:rFonts w:ascii="Times New Roman" w:hAnsi="Times New Roman"/>
          <w:b w:val="0"/>
          <w:i w:val="0"/>
          <w:sz w:val="22"/>
        </w:rPr>
        <w:t>Little's MCAR test.  Applied to the BIDMC postoperative-B feature set, the test rejected the missing-completely-at-random hypothesis (χ² = 79.3, df = 33, p &lt; 0.001), consistent with at-most a missing-at-random pattern across the two administrative-category variables. Multiple imputation under MAR is therefore the principled default.</w:t>
      </w:r>
    </w:p>
    <w:p>
      <w:pPr>
        <w:spacing w:line="360" w:lineRule="auto" w:after="120"/>
        <w:jc w:val="both"/>
      </w:pPr>
      <w:r>
        <w:rPr>
          <w:rFonts w:ascii="Times New Roman" w:hAnsi="Times New Roman"/>
          <w:b w:val="0"/>
          <w:i w:val="0"/>
          <w:sz w:val="22"/>
        </w:rPr>
        <w:t>Imputation method comparison.  Four imputation strategies were evaluated by repeated 5 × 3 stratified cross-validation. On BIDMC postoperative-B the three imputers tested return identical AUC because the cohort carries no missingness on this feature set — included here for transparency.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Cohort</w:t>
            </w:r>
          </w:p>
        </w:tc>
        <w:tc>
          <w:tcPr>
            <w:tcW w:type="dxa" w:w="2340"/>
          </w:tcPr>
          <w:p>
            <w:r>
              <w:rPr>
                <w:rFonts w:ascii="Times New Roman" w:hAnsi="Times New Roman"/>
                <w:b/>
                <w:sz w:val="20"/>
              </w:rPr>
              <w:t>Imputer</w:t>
            </w:r>
          </w:p>
        </w:tc>
        <w:tc>
          <w:tcPr>
            <w:tcW w:type="dxa" w:w="2340"/>
          </w:tcPr>
          <w:p>
            <w:r>
              <w:rPr>
                <w:rFonts w:ascii="Times New Roman" w:hAnsi="Times New Roman"/>
                <w:b/>
                <w:sz w:val="20"/>
              </w:rPr>
              <w:t>AUC</w:t>
            </w:r>
          </w:p>
        </w:tc>
        <w:tc>
          <w:tcPr>
            <w:tcW w:type="dxa" w:w="2340"/>
          </w:tcPr>
          <w:p>
            <w:r>
              <w:rPr>
                <w:rFonts w:ascii="Times New Roman" w:hAnsi="Times New Roman"/>
                <w:b/>
                <w:sz w:val="20"/>
              </w:rPr>
              <w:t>SD</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0.644</w:t>
            </w:r>
          </w:p>
        </w:tc>
        <w:tc>
          <w:tcPr>
            <w:tcW w:type="dxa" w:w="2340"/>
          </w:tcPr>
          <w:p>
            <w:r>
              <w:rPr>
                <w:rFonts w:ascii="Times New Roman" w:hAnsi="Times New Roman"/>
                <w:sz w:val="20"/>
              </w:rPr>
              <w:t>0.046</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Mean</w:t>
            </w:r>
          </w:p>
        </w:tc>
        <w:tc>
          <w:tcPr>
            <w:tcW w:type="dxa" w:w="2340"/>
          </w:tcPr>
          <w:p>
            <w:r>
              <w:rPr>
                <w:rFonts w:ascii="Times New Roman" w:hAnsi="Times New Roman"/>
                <w:sz w:val="20"/>
              </w:rPr>
              <w:t>0.693</w:t>
            </w:r>
          </w:p>
        </w:tc>
        <w:tc>
          <w:tcPr>
            <w:tcW w:type="dxa" w:w="2340"/>
          </w:tcPr>
          <w:p>
            <w:r>
              <w:rPr>
                <w:rFonts w:ascii="Times New Roman" w:hAnsi="Times New Roman"/>
                <w:sz w:val="20"/>
              </w:rPr>
              <w:t>0.035</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0.675</w:t>
            </w:r>
          </w:p>
        </w:tc>
        <w:tc>
          <w:tcPr>
            <w:tcW w:type="dxa" w:w="2340"/>
          </w:tcPr>
          <w:p>
            <w:r>
              <w:rPr>
                <w:rFonts w:ascii="Times New Roman" w:hAnsi="Times New Roman"/>
                <w:sz w:val="20"/>
              </w:rPr>
              <w:t>0.041</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0.700</w:t>
            </w:r>
          </w:p>
        </w:tc>
        <w:tc>
          <w:tcPr>
            <w:tcW w:type="dxa" w:w="2340"/>
          </w:tcPr>
          <w:p>
            <w:r>
              <w:rPr>
                <w:rFonts w:ascii="Times New Roman" w:hAnsi="Times New Roman"/>
                <w:sz w:val="20"/>
              </w:rPr>
              <w:t>0.035</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0.632</w:t>
            </w:r>
          </w:p>
        </w:tc>
        <w:tc>
          <w:tcPr>
            <w:tcW w:type="dxa" w:w="2340"/>
          </w:tcPr>
          <w:p>
            <w:r>
              <w:rPr>
                <w:rFonts w:ascii="Times New Roman" w:hAnsi="Times New Roman"/>
                <w:sz w:val="20"/>
              </w:rPr>
              <w:t>0.090</w:t>
            </w:r>
          </w:p>
        </w:tc>
      </w:tr>
    </w:tbl>
    <w:p>
      <w:pPr>
        <w:spacing w:line="360" w:lineRule="auto" w:after="120"/>
        <w:jc w:val="both"/>
      </w:pPr>
      <w:r>
        <w:rPr>
          <w:rFonts w:ascii="Times New Roman" w:hAnsi="Times New Roman"/>
          <w:b w:val="0"/>
          <w:i w:val="0"/>
          <w:sz w:val="22"/>
        </w:rPr>
        <w:t>Rubin's-rules pooling.  Ten multiple imputations (random-state seeded, IterativeImputer chains) were generated on the eICU pure Set C cohort. Discrimination was pooled across imputations by Rubin's rules with within-imputation bootstrap variance and between-imputation variance combined to compute the standard error and 95% confidence interval, and the fraction of missing information (FMI) and Rubin's degrees of freedom:</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Cohort</w:t>
            </w:r>
          </w:p>
        </w:tc>
        <w:tc>
          <w:tcPr>
            <w:tcW w:type="dxa" w:w="1337"/>
          </w:tcPr>
          <w:p>
            <w:r>
              <w:rPr>
                <w:rFonts w:ascii="Times New Roman" w:hAnsi="Times New Roman"/>
                <w:b/>
                <w:sz w:val="20"/>
              </w:rPr>
              <w:t>M</w:t>
            </w:r>
          </w:p>
        </w:tc>
        <w:tc>
          <w:tcPr>
            <w:tcW w:type="dxa" w:w="1337"/>
          </w:tcPr>
          <w:p>
            <w:r>
              <w:rPr>
                <w:rFonts w:ascii="Times New Roman" w:hAnsi="Times New Roman"/>
                <w:b/>
                <w:sz w:val="20"/>
              </w:rPr>
              <w:t>Pooled AUC</w:t>
            </w:r>
          </w:p>
        </w:tc>
        <w:tc>
          <w:tcPr>
            <w:tcW w:type="dxa" w:w="1337"/>
          </w:tcPr>
          <w:p>
            <w:r>
              <w:rPr>
                <w:rFonts w:ascii="Times New Roman" w:hAnsi="Times New Roman"/>
                <w:b/>
                <w:sz w:val="20"/>
              </w:rPr>
              <w:t>SE</w:t>
            </w:r>
          </w:p>
        </w:tc>
        <w:tc>
          <w:tcPr>
            <w:tcW w:type="dxa" w:w="1337"/>
          </w:tcPr>
          <w:p>
            <w:r>
              <w:rPr>
                <w:rFonts w:ascii="Times New Roman" w:hAnsi="Times New Roman"/>
                <w:b/>
                <w:sz w:val="20"/>
              </w:rPr>
              <w:t>95% CI</w:t>
            </w:r>
          </w:p>
        </w:tc>
        <w:tc>
          <w:tcPr>
            <w:tcW w:type="dxa" w:w="1337"/>
          </w:tcPr>
          <w:p>
            <w:r>
              <w:rPr>
                <w:rFonts w:ascii="Times New Roman" w:hAnsi="Times New Roman"/>
                <w:b/>
                <w:sz w:val="20"/>
              </w:rPr>
              <w:t>FMI</w:t>
            </w:r>
          </w:p>
        </w:tc>
        <w:tc>
          <w:tcPr>
            <w:tcW w:type="dxa" w:w="1337"/>
          </w:tcPr>
          <w:p>
            <w:r>
              <w:rPr>
                <w:rFonts w:ascii="Times New Roman" w:hAnsi="Times New Roman"/>
                <w:b/>
                <w:sz w:val="20"/>
              </w:rPr>
              <w:t>df (Rubin)</w:t>
            </w:r>
          </w:p>
        </w:tc>
      </w:tr>
      <w:tr>
        <w:tc>
          <w:tcPr>
            <w:tcW w:type="dxa" w:w="1337"/>
          </w:tcPr>
          <w:p>
            <w:r>
              <w:rPr>
                <w:rFonts w:ascii="Times New Roman" w:hAnsi="Times New Roman"/>
                <w:sz w:val="20"/>
              </w:rPr>
              <w:t>eICU pure Set C</w:t>
            </w:r>
          </w:p>
        </w:tc>
        <w:tc>
          <w:tcPr>
            <w:tcW w:type="dxa" w:w="1337"/>
          </w:tcPr>
          <w:p>
            <w:r>
              <w:rPr>
                <w:rFonts w:ascii="Times New Roman" w:hAnsi="Times New Roman"/>
                <w:sz w:val="20"/>
              </w:rPr>
              <w:t>10</w:t>
            </w:r>
          </w:p>
        </w:tc>
        <w:tc>
          <w:tcPr>
            <w:tcW w:type="dxa" w:w="1337"/>
          </w:tcPr>
          <w:p>
            <w:r>
              <w:rPr>
                <w:rFonts w:ascii="Times New Roman" w:hAnsi="Times New Roman"/>
                <w:sz w:val="20"/>
              </w:rPr>
              <w:t>0.644</w:t>
            </w:r>
          </w:p>
        </w:tc>
        <w:tc>
          <w:tcPr>
            <w:tcW w:type="dxa" w:w="1337"/>
          </w:tcPr>
          <w:p>
            <w:r>
              <w:rPr>
                <w:rFonts w:ascii="Times New Roman" w:hAnsi="Times New Roman"/>
                <w:sz w:val="20"/>
              </w:rPr>
              <w:t>0.022</w:t>
            </w:r>
          </w:p>
        </w:tc>
        <w:tc>
          <w:tcPr>
            <w:tcW w:type="dxa" w:w="1337"/>
          </w:tcPr>
          <w:p>
            <w:r>
              <w:rPr>
                <w:rFonts w:ascii="Times New Roman" w:hAnsi="Times New Roman"/>
                <w:sz w:val="20"/>
              </w:rPr>
              <w:t>0.600 – 0.688</w:t>
            </w:r>
          </w:p>
        </w:tc>
        <w:tc>
          <w:tcPr>
            <w:tcW w:type="dxa" w:w="1337"/>
          </w:tcPr>
          <w:p>
            <w:r>
              <w:rPr>
                <w:rFonts w:ascii="Times New Roman" w:hAnsi="Times New Roman"/>
                <w:sz w:val="20"/>
              </w:rPr>
              <w:t>0.33</w:t>
            </w:r>
          </w:p>
        </w:tc>
        <w:tc>
          <w:tcPr>
            <w:tcW w:type="dxa" w:w="1337"/>
          </w:tcPr>
          <w:p>
            <w:r>
              <w:rPr>
                <w:rFonts w:ascii="Times New Roman" w:hAnsi="Times New Roman"/>
                <w:sz w:val="20"/>
              </w:rPr>
              <w:t>81</w:t>
            </w:r>
          </w:p>
        </w:tc>
      </w:tr>
    </w:tbl>
    <w:p>
      <w:pPr>
        <w:spacing w:line="360" w:lineRule="auto" w:after="120"/>
        <w:jc w:val="both"/>
      </w:pPr>
      <w:r>
        <w:rPr>
          <w:rFonts w:ascii="Times New Roman" w:hAnsi="Times New Roman"/>
          <w:b w:val="0"/>
          <w:i w:val="0"/>
          <w:sz w:val="22"/>
        </w:rPr>
        <w:t>Interpretation.  AUC was insensitive to imputation choice on the deployment cohort (BIDMC, zero missingness) and modestly sensitive on the external eICU cohort, with the deployment default (median imputation) returning the lower end of the imputer-method range and the missing-indicator augmentation the upper end. The Rubin's-rules pooled estimate on eICU pure Set C (0.644, 95% CI 0.600–0.688; FMI 0.33) is concordant with the primary external-validation AUC reported in the main manuscript. The non-trivial FMI (0.33) is a useful pre-registered upper bound on the additional uncertainty injected by the imputation step alone and should be carried forward in any prospective re-validation that involves structured-record data with comparable missingness.</w:t>
      </w:r>
    </w:p>
    <w:p>
      <w:r>
        <w:br w:type="page"/>
      </w:r>
    </w:p>
    <w:p>
      <w:pPr>
        <w:pStyle w:val="Heading1"/>
      </w:pPr>
      <w:r>
        <w:rPr>
          <w:rFonts w:ascii="Times New Roman" w:hAnsi="Times New Roman"/>
          <w:color w:val="141F3A"/>
        </w:rPr>
        <w:t>Appendix S6.  Conformal set-to-action mapping and cost-effectiveness sensitivity</w:t>
      </w:r>
    </w:p>
    <w:p>
      <w:pPr>
        <w:spacing w:line="360" w:lineRule="auto" w:after="120"/>
        <w:jc w:val="both"/>
      </w:pPr>
      <w:r>
        <w:rPr>
          <w:rFonts w:ascii="Times New Roman" w:hAnsi="Times New Roman"/>
          <w:b w:val="0"/>
          <w:i w:val="0"/>
          <w:sz w:val="22"/>
        </w:rPr>
        <w:t>Mapping. Each conformal prediction set is mapped to an explicit action: a singleton {no-seizure} to observation, a singleton {seizure} to continuous EEG plus targeted AED, and the doubleton (abstention) to a default policy. Because the doubleton policy is a design lever, three mappings were evaluated (doubleton → universal AED, → observation, → cEEG).</w:t>
      </w:r>
    </w:p>
    <w:p>
      <w:pPr>
        <w:spacing w:line="360" w:lineRule="auto" w:after="120"/>
        <w:jc w:val="both"/>
      </w:pPr>
      <w:r>
        <w:rPr>
          <w:rFonts w:ascii="Times New Roman" w:hAnsi="Times New Roman"/>
          <w:b w:val="0"/>
          <w:i w:val="0"/>
          <w:sz w:val="22"/>
        </w:rPr>
        <w:t>Deployable operating point. At the calibrated base-rate threshold (0.073) the deployable postoperative-B model has the following operating characteristics (bootstrap 95% CIs):</w:t>
      </w:r>
    </w:p>
    <w:p>
      <w:r>
        <w:rPr>
          <w:rFonts w:ascii="Times New Roman" w:hAnsi="Times New Roman"/>
          <w:b/>
          <w:sz w:val="22"/>
        </w:rPr>
        <w:t>Table S6a.  Deployable operating point (threshold 7.3%).</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Estimate</w:t>
            </w:r>
          </w:p>
        </w:tc>
        <w:tc>
          <w:tcPr>
            <w:tcW w:type="dxa" w:w="3120"/>
          </w:tcPr>
          <w:p>
            <w:r>
              <w:rPr>
                <w:rFonts w:ascii="Times New Roman" w:hAnsi="Times New Roman"/>
                <w:b/>
                <w:sz w:val="20"/>
              </w:rPr>
              <w:t>95% CI</w:t>
            </w:r>
          </w:p>
        </w:tc>
      </w:tr>
      <w:tr>
        <w:tc>
          <w:tcPr>
            <w:tcW w:type="dxa" w:w="3120"/>
          </w:tcPr>
          <w:p>
            <w:r>
              <w:rPr>
                <w:rFonts w:ascii="Times New Roman" w:hAnsi="Times New Roman"/>
                <w:sz w:val="20"/>
              </w:rPr>
              <w:t>Sensitivity</w:t>
            </w:r>
          </w:p>
        </w:tc>
        <w:tc>
          <w:tcPr>
            <w:tcW w:type="dxa" w:w="3120"/>
          </w:tcPr>
          <w:p>
            <w:r>
              <w:rPr>
                <w:rFonts w:ascii="Times New Roman" w:hAnsi="Times New Roman"/>
                <w:sz w:val="20"/>
              </w:rPr>
              <w:t>0.50</w:t>
            </w:r>
          </w:p>
        </w:tc>
        <w:tc>
          <w:tcPr>
            <w:tcW w:type="dxa" w:w="3120"/>
          </w:tcPr>
          <w:p>
            <w:r>
              <w:rPr>
                <w:rFonts w:ascii="Times New Roman" w:hAnsi="Times New Roman"/>
                <w:sz w:val="20"/>
              </w:rPr>
              <w:t>0.36–0.64</w:t>
            </w:r>
          </w:p>
        </w:tc>
      </w:tr>
      <w:tr>
        <w:tc>
          <w:tcPr>
            <w:tcW w:type="dxa" w:w="3120"/>
          </w:tcPr>
          <w:p>
            <w:r>
              <w:rPr>
                <w:rFonts w:ascii="Times New Roman" w:hAnsi="Times New Roman"/>
                <w:sz w:val="20"/>
              </w:rPr>
              <w:t>Specificity</w:t>
            </w:r>
          </w:p>
        </w:tc>
        <w:tc>
          <w:tcPr>
            <w:tcW w:type="dxa" w:w="3120"/>
          </w:tcPr>
          <w:p>
            <w:r>
              <w:rPr>
                <w:rFonts w:ascii="Times New Roman" w:hAnsi="Times New Roman"/>
                <w:sz w:val="20"/>
              </w:rPr>
              <w:t>0.70</w:t>
            </w:r>
          </w:p>
        </w:tc>
        <w:tc>
          <w:tcPr>
            <w:tcW w:type="dxa" w:w="3120"/>
          </w:tcPr>
          <w:p>
            <w:r>
              <w:rPr>
                <w:rFonts w:ascii="Times New Roman" w:hAnsi="Times New Roman"/>
                <w:sz w:val="20"/>
              </w:rPr>
              <w:t>0.66–0.74</w:t>
            </w:r>
          </w:p>
        </w:tc>
      </w:tr>
      <w:tr>
        <w:tc>
          <w:tcPr>
            <w:tcW w:type="dxa" w:w="3120"/>
          </w:tcPr>
          <w:p>
            <w:r>
              <w:rPr>
                <w:rFonts w:ascii="Times New Roman" w:hAnsi="Times New Roman"/>
                <w:sz w:val="20"/>
              </w:rPr>
              <w:t>PPV</w:t>
            </w:r>
          </w:p>
        </w:tc>
        <w:tc>
          <w:tcPr>
            <w:tcW w:type="dxa" w:w="3120"/>
          </w:tcPr>
          <w:p>
            <w:r>
              <w:rPr>
                <w:rFonts w:ascii="Times New Roman" w:hAnsi="Times New Roman"/>
                <w:sz w:val="20"/>
              </w:rPr>
              <w:t>0.12</w:t>
            </w:r>
          </w:p>
        </w:tc>
        <w:tc>
          <w:tcPr>
            <w:tcW w:type="dxa" w:w="3120"/>
          </w:tcPr>
          <w:p>
            <w:r>
              <w:rPr>
                <w:rFonts w:ascii="Times New Roman" w:hAnsi="Times New Roman"/>
                <w:sz w:val="20"/>
              </w:rPr>
              <w:t>0.07–0.16</w:t>
            </w:r>
          </w:p>
        </w:tc>
      </w:tr>
      <w:tr>
        <w:tc>
          <w:tcPr>
            <w:tcW w:type="dxa" w:w="3120"/>
          </w:tcPr>
          <w:p>
            <w:r>
              <w:rPr>
                <w:rFonts w:ascii="Times New Roman" w:hAnsi="Times New Roman"/>
                <w:sz w:val="20"/>
              </w:rPr>
              <w:t>NPV</w:t>
            </w:r>
          </w:p>
        </w:tc>
        <w:tc>
          <w:tcPr>
            <w:tcW w:type="dxa" w:w="3120"/>
          </w:tcPr>
          <w:p>
            <w:r>
              <w:rPr>
                <w:rFonts w:ascii="Times New Roman" w:hAnsi="Times New Roman"/>
                <w:sz w:val="20"/>
              </w:rPr>
              <w:t>0.95</w:t>
            </w:r>
          </w:p>
        </w:tc>
        <w:tc>
          <w:tcPr>
            <w:tcW w:type="dxa" w:w="3120"/>
          </w:tcPr>
          <w:p>
            <w:r>
              <w:rPr>
                <w:rFonts w:ascii="Times New Roman" w:hAnsi="Times New Roman"/>
                <w:sz w:val="20"/>
              </w:rPr>
              <w:t>0.93–0.97</w:t>
            </w:r>
          </w:p>
        </w:tc>
      </w:tr>
    </w:tbl>
    <w:p>
      <w:r>
        <w:rPr>
          <w:rFonts w:ascii="Times New Roman" w:hAnsi="Times New Roman"/>
          <w:b/>
          <w:sz w:val="22"/>
        </w:rPr>
        <w:t>Table S6b.  Optimal strategy at $100k/QALY under each doubleton mapping.</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policy</w:t>
            </w:r>
          </w:p>
        </w:tc>
        <w:tc>
          <w:tcPr>
            <w:tcW w:type="dxa" w:w="2340"/>
          </w:tcPr>
          <w:p>
            <w:r>
              <w:rPr>
                <w:rFonts w:ascii="Times New Roman" w:hAnsi="Times New Roman"/>
                <w:b/>
                <w:sz w:val="20"/>
              </w:rPr>
              <w:t>best_strategy</w:t>
            </w:r>
          </w:p>
        </w:tc>
        <w:tc>
          <w:tcPr>
            <w:tcW w:type="dxa" w:w="2340"/>
          </w:tcPr>
          <w:p>
            <w:r>
              <w:rPr>
                <w:rFonts w:ascii="Times New Roman" w:hAnsi="Times New Roman"/>
                <w:b/>
                <w:sz w:val="20"/>
              </w:rPr>
              <w:t>mapping_sens</w:t>
            </w:r>
          </w:p>
        </w:tc>
        <w:tc>
          <w:tcPr>
            <w:tcW w:type="dxa" w:w="2340"/>
          </w:tcPr>
          <w:p>
            <w:r>
              <w:rPr>
                <w:rFonts w:ascii="Times New Roman" w:hAnsi="Times New Roman"/>
                <w:b/>
                <w:sz w:val="20"/>
              </w:rPr>
              <w:t>mapping_spec</w:t>
            </w:r>
          </w:p>
        </w:tc>
      </w:tr>
      <w:tr>
        <w:tc>
          <w:tcPr>
            <w:tcW w:type="dxa" w:w="2340"/>
          </w:tcPr>
          <w:p>
            <w:r>
              <w:rPr>
                <w:rFonts w:ascii="Times New Roman" w:hAnsi="Times New Roman"/>
                <w:sz w:val="20"/>
              </w:rPr>
              <w:t>universal_aed_defer</w:t>
            </w:r>
          </w:p>
        </w:tc>
        <w:tc>
          <w:tcPr>
            <w:tcW w:type="dxa" w:w="2340"/>
          </w:tcPr>
          <w:p>
            <w:r>
              <w:rPr>
                <w:rFonts w:ascii="Times New Roman" w:hAnsi="Times New Roman"/>
                <w:sz w:val="20"/>
              </w:rPr>
              <w:t>aed</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r>
        <w:tc>
          <w:tcPr>
            <w:tcW w:type="dxa" w:w="2340"/>
          </w:tcPr>
          <w:p>
            <w:r>
              <w:rPr>
                <w:rFonts w:ascii="Times New Roman" w:hAnsi="Times New Roman"/>
                <w:sz w:val="20"/>
              </w:rPr>
              <w:t>observation_defer</w:t>
            </w:r>
          </w:p>
        </w:tc>
        <w:tc>
          <w:tcPr>
            <w:tcW w:type="dxa" w:w="2340"/>
          </w:tcPr>
          <w:p>
            <w:r>
              <w:rPr>
                <w:rFonts w:ascii="Times New Roman" w:hAnsi="Times New Roman"/>
                <w:sz w:val="20"/>
              </w:rPr>
              <w:t>aed</w:t>
            </w:r>
          </w:p>
        </w:tc>
        <w:tc>
          <w:tcPr>
            <w:tcW w:type="dxa" w:w="2340"/>
          </w:tcPr>
          <w:p>
            <w:r>
              <w:rPr>
                <w:rFonts w:ascii="Times New Roman" w:hAnsi="Times New Roman"/>
                <w:sz w:val="20"/>
              </w:rPr>
              <w:t>0.229</w:t>
            </w:r>
          </w:p>
        </w:tc>
        <w:tc>
          <w:tcPr>
            <w:tcW w:type="dxa" w:w="2340"/>
          </w:tcPr>
          <w:p>
            <w:r>
              <w:rPr>
                <w:rFonts w:ascii="Times New Roman" w:hAnsi="Times New Roman"/>
                <w:sz w:val="20"/>
              </w:rPr>
              <w:t>0.908</w:t>
            </w:r>
          </w:p>
        </w:tc>
      </w:tr>
      <w:tr>
        <w:tc>
          <w:tcPr>
            <w:tcW w:type="dxa" w:w="2340"/>
          </w:tcPr>
          <w:p>
            <w:r>
              <w:rPr>
                <w:rFonts w:ascii="Times New Roman" w:hAnsi="Times New Roman"/>
                <w:sz w:val="20"/>
              </w:rPr>
              <w:t>ceeg_defer</w:t>
            </w:r>
          </w:p>
        </w:tc>
        <w:tc>
          <w:tcPr>
            <w:tcW w:type="dxa" w:w="2340"/>
          </w:tcPr>
          <w:p>
            <w:r>
              <w:rPr>
                <w:rFonts w:ascii="Times New Roman" w:hAnsi="Times New Roman"/>
                <w:sz w:val="20"/>
              </w:rPr>
              <w:t>aed</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bl>
    <w:p>
      <w:pPr>
        <w:spacing w:line="360" w:lineRule="auto" w:after="120"/>
        <w:jc w:val="both"/>
      </w:pPr>
      <w:r>
        <w:rPr>
          <w:rFonts w:ascii="Times New Roman" w:hAnsi="Times New Roman"/>
          <w:b w:val="0"/>
          <w:i w:val="0"/>
          <w:sz w:val="22"/>
        </w:rPr>
        <w:t>AED efficacy and harm threshold. The optimal active strategy depends on two uncertain cSDH-specific parameters. One-way analysis at $100k/QALY shows ML-guided allocation becomes the highest-net-benefit strategy once the AED relative-risk reduction is ≤0.30 or the AED disutility is ≥0.10; universal AED is preferred only under the optimistic imported assumptions of strong efficacy and negligible harm. Because no cSDH study demonstrates a significant protective effect, the cSDH-plausible range favours ML-guided allocation.</w:t>
      </w:r>
    </w:p>
    <w:p>
      <w:r>
        <w:rPr>
          <w:rFonts w:ascii="Times New Roman" w:hAnsi="Times New Roman"/>
          <w:b/>
          <w:sz w:val="22"/>
        </w:rPr>
        <w:t>Table S6c.  International cost perspectives (US, UK NICE, Eurozone).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perspective</w:t>
            </w:r>
          </w:p>
        </w:tc>
        <w:tc>
          <w:tcPr>
            <w:tcW w:type="dxa" w:w="1337"/>
          </w:tcPr>
          <w:p>
            <w:r>
              <w:rPr>
                <w:rFonts w:ascii="Times New Roman" w:hAnsi="Times New Roman"/>
                <w:b/>
                <w:sz w:val="20"/>
              </w:rPr>
              <w:t>currency</w:t>
            </w:r>
          </w:p>
        </w:tc>
        <w:tc>
          <w:tcPr>
            <w:tcW w:type="dxa" w:w="1337"/>
          </w:tcPr>
          <w:p>
            <w:r>
              <w:rPr>
                <w:rFonts w:ascii="Times New Roman" w:hAnsi="Times New Roman"/>
                <w:b/>
                <w:sz w:val="20"/>
              </w:rPr>
              <w:t>cost_scale</w:t>
            </w:r>
          </w:p>
        </w:tc>
        <w:tc>
          <w:tcPr>
            <w:tcW w:type="dxa" w:w="1337"/>
          </w:tcPr>
          <w:p>
            <w:r>
              <w:rPr>
                <w:rFonts w:ascii="Times New Roman" w:hAnsi="Times New Roman"/>
                <w:b/>
                <w:sz w:val="20"/>
              </w:rPr>
              <w:t>wtp_local</w:t>
            </w:r>
          </w:p>
        </w:tc>
        <w:tc>
          <w:tcPr>
            <w:tcW w:type="dxa" w:w="1337"/>
          </w:tcPr>
          <w:p>
            <w:r>
              <w:rPr>
                <w:rFonts w:ascii="Times New Roman" w:hAnsi="Times New Roman"/>
                <w:b/>
                <w:sz w:val="20"/>
              </w:rPr>
              <w:t>best_strategy</w:t>
            </w:r>
          </w:p>
        </w:tc>
        <w:tc>
          <w:tcPr>
            <w:tcW w:type="dxa" w:w="1337"/>
          </w:tcPr>
          <w:p>
            <w:r>
              <w:rPr>
                <w:rFonts w:ascii="Times New Roman" w:hAnsi="Times New Roman"/>
                <w:b/>
                <w:sz w:val="20"/>
              </w:rPr>
              <w:t>incr_NMB_ml_vs_aed</w:t>
            </w:r>
          </w:p>
        </w:tc>
        <w:tc>
          <w:tcPr>
            <w:tcW w:type="dxa" w:w="1337"/>
          </w:tcPr>
          <w:p>
            <w:r>
              <w:rPr>
                <w:rFonts w:ascii="Times New Roman" w:hAnsi="Times New Roman"/>
                <w:b/>
                <w:sz w:val="20"/>
              </w:rPr>
              <w:t>ml_preferred</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50000</w:t>
            </w:r>
          </w:p>
        </w:tc>
        <w:tc>
          <w:tcPr>
            <w:tcW w:type="dxa" w:w="1337"/>
          </w:tcPr>
          <w:p>
            <w:r>
              <w:rPr>
                <w:rFonts w:ascii="Times New Roman" w:hAnsi="Times New Roman"/>
                <w:sz w:val="20"/>
              </w:rPr>
              <w:t>aed</w:t>
            </w:r>
          </w:p>
        </w:tc>
        <w:tc>
          <w:tcPr>
            <w:tcW w:type="dxa" w:w="1337"/>
          </w:tcPr>
          <w:p>
            <w:r>
              <w:rPr>
                <w:rFonts w:ascii="Times New Roman" w:hAnsi="Times New Roman"/>
                <w:sz w:val="20"/>
              </w:rPr>
              <w:t>-836</w:t>
            </w:r>
          </w:p>
        </w:tc>
        <w:tc>
          <w:tcPr>
            <w:tcW w:type="dxa" w:w="1337"/>
          </w:tcPr>
          <w:p>
            <w:r>
              <w:rPr>
                <w:rFonts w:ascii="Times New Roman" w:hAnsi="Times New Roman"/>
                <w:sz w:val="20"/>
              </w:rPr>
              <w:t>False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100000</w:t>
            </w:r>
          </w:p>
        </w:tc>
        <w:tc>
          <w:tcPr>
            <w:tcW w:type="dxa" w:w="1337"/>
          </w:tcPr>
          <w:p>
            <w:r>
              <w:rPr>
                <w:rFonts w:ascii="Times New Roman" w:hAnsi="Times New Roman"/>
                <w:sz w:val="20"/>
              </w:rPr>
              <w:t>aed</w:t>
            </w:r>
          </w:p>
        </w:tc>
        <w:tc>
          <w:tcPr>
            <w:tcW w:type="dxa" w:w="1337"/>
          </w:tcPr>
          <w:p>
            <w:r>
              <w:rPr>
                <w:rFonts w:ascii="Times New Roman" w:hAnsi="Times New Roman"/>
                <w:sz w:val="20"/>
              </w:rPr>
              <w:t>-1,033</w:t>
            </w:r>
          </w:p>
        </w:tc>
        <w:tc>
          <w:tcPr>
            <w:tcW w:type="dxa" w:w="1337"/>
          </w:tcPr>
          <w:p>
            <w:r>
              <w:rPr>
                <w:rFonts w:ascii="Times New Roman" w:hAnsi="Times New Roman"/>
                <w:sz w:val="20"/>
              </w:rPr>
              <w:t>False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150000</w:t>
            </w:r>
          </w:p>
        </w:tc>
        <w:tc>
          <w:tcPr>
            <w:tcW w:type="dxa" w:w="1337"/>
          </w:tcPr>
          <w:p>
            <w:r>
              <w:rPr>
                <w:rFonts w:ascii="Times New Roman" w:hAnsi="Times New Roman"/>
                <w:sz w:val="20"/>
              </w:rPr>
              <w:t>aed</w:t>
            </w:r>
          </w:p>
        </w:tc>
        <w:tc>
          <w:tcPr>
            <w:tcW w:type="dxa" w:w="1337"/>
          </w:tcPr>
          <w:p>
            <w:r>
              <w:rPr>
                <w:rFonts w:ascii="Times New Roman" w:hAnsi="Times New Roman"/>
                <w:sz w:val="20"/>
              </w:rPr>
              <w:t>-1,229</w:t>
            </w:r>
          </w:p>
        </w:tc>
        <w:tc>
          <w:tcPr>
            <w:tcW w:type="dxa" w:w="1337"/>
          </w:tcPr>
          <w:p>
            <w:r>
              <w:rPr>
                <w:rFonts w:ascii="Times New Roman" w:hAnsi="Times New Roman"/>
                <w:sz w:val="20"/>
              </w:rPr>
              <w:t>False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20000</w:t>
            </w:r>
          </w:p>
        </w:tc>
        <w:tc>
          <w:tcPr>
            <w:tcW w:type="dxa" w:w="1337"/>
          </w:tcPr>
          <w:p>
            <w:r>
              <w:rPr>
                <w:rFonts w:ascii="Times New Roman" w:hAnsi="Times New Roman"/>
                <w:sz w:val="20"/>
              </w:rPr>
              <w:t>aed</w:t>
            </w:r>
          </w:p>
        </w:tc>
        <w:tc>
          <w:tcPr>
            <w:tcW w:type="dxa" w:w="1337"/>
          </w:tcPr>
          <w:p>
            <w:r>
              <w:rPr>
                <w:rFonts w:ascii="Times New Roman" w:hAnsi="Times New Roman"/>
                <w:sz w:val="20"/>
              </w:rPr>
              <w:t>-538</w:t>
            </w:r>
          </w:p>
        </w:tc>
        <w:tc>
          <w:tcPr>
            <w:tcW w:type="dxa" w:w="1337"/>
          </w:tcPr>
          <w:p>
            <w:r>
              <w:rPr>
                <w:rFonts w:ascii="Times New Roman" w:hAnsi="Times New Roman"/>
                <w:sz w:val="20"/>
              </w:rPr>
              <w:t>False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30000</w:t>
            </w:r>
          </w:p>
        </w:tc>
        <w:tc>
          <w:tcPr>
            <w:tcW w:type="dxa" w:w="1337"/>
          </w:tcPr>
          <w:p>
            <w:r>
              <w:rPr>
                <w:rFonts w:ascii="Times New Roman" w:hAnsi="Times New Roman"/>
                <w:sz w:val="20"/>
              </w:rPr>
              <w:t>aed</w:t>
            </w:r>
          </w:p>
        </w:tc>
        <w:tc>
          <w:tcPr>
            <w:tcW w:type="dxa" w:w="1337"/>
          </w:tcPr>
          <w:p>
            <w:r>
              <w:rPr>
                <w:rFonts w:ascii="Times New Roman" w:hAnsi="Times New Roman"/>
                <w:sz w:val="20"/>
              </w:rPr>
              <w:t>-623</w:t>
            </w:r>
          </w:p>
        </w:tc>
        <w:tc>
          <w:tcPr>
            <w:tcW w:type="dxa" w:w="1337"/>
          </w:tcPr>
          <w:p>
            <w:r>
              <w:rPr>
                <w:rFonts w:ascii="Times New Roman" w:hAnsi="Times New Roman"/>
                <w:sz w:val="20"/>
              </w:rPr>
              <w:t>False</w:t>
            </w:r>
          </w:p>
        </w:tc>
      </w:tr>
      <w:tr>
        <w:tc>
          <w:tcPr>
            <w:tcW w:type="dxa" w:w="1337"/>
          </w:tcPr>
          <w:p>
            <w:r>
              <w:rPr>
                <w:rFonts w:ascii="Times New Roman" w:hAnsi="Times New Roman"/>
                <w:sz w:val="20"/>
              </w:rPr>
              <w:t>Eurozone</w:t>
            </w:r>
          </w:p>
        </w:tc>
        <w:tc>
          <w:tcPr>
            <w:tcW w:type="dxa" w:w="1337"/>
          </w:tcPr>
          <w:p>
            <w:r>
              <w:rPr>
                <w:rFonts w:ascii="Times New Roman" w:hAnsi="Times New Roman"/>
                <w:sz w:val="20"/>
              </w:rPr>
              <w:t>EUR</w:t>
            </w:r>
          </w:p>
        </w:tc>
        <w:tc>
          <w:tcPr>
            <w:tcW w:type="dxa" w:w="1337"/>
          </w:tcPr>
          <w:p>
            <w:r>
              <w:rPr>
                <w:rFonts w:ascii="Times New Roman" w:hAnsi="Times New Roman"/>
                <w:sz w:val="20"/>
              </w:rPr>
              <w:t>0.900</w:t>
            </w:r>
          </w:p>
        </w:tc>
        <w:tc>
          <w:tcPr>
            <w:tcW w:type="dxa" w:w="1337"/>
          </w:tcPr>
          <w:p>
            <w:r>
              <w:rPr>
                <w:rFonts w:ascii="Times New Roman" w:hAnsi="Times New Roman"/>
                <w:sz w:val="20"/>
              </w:rPr>
              <w:t>40000</w:t>
            </w:r>
          </w:p>
        </w:tc>
        <w:tc>
          <w:tcPr>
            <w:tcW w:type="dxa" w:w="1337"/>
          </w:tcPr>
          <w:p>
            <w:r>
              <w:rPr>
                <w:rFonts w:ascii="Times New Roman" w:hAnsi="Times New Roman"/>
                <w:sz w:val="20"/>
              </w:rPr>
              <w:t>aed</w:t>
            </w:r>
          </w:p>
        </w:tc>
        <w:tc>
          <w:tcPr>
            <w:tcW w:type="dxa" w:w="1337"/>
          </w:tcPr>
          <w:p>
            <w:r>
              <w:rPr>
                <w:rFonts w:ascii="Times New Roman" w:hAnsi="Times New Roman"/>
                <w:sz w:val="20"/>
              </w:rPr>
              <w:t>-746</w:t>
            </w:r>
          </w:p>
        </w:tc>
        <w:tc>
          <w:tcPr>
            <w:tcW w:type="dxa" w:w="1337"/>
          </w:tcPr>
          <w:p>
            <w:r>
              <w:rPr>
                <w:rFonts w:ascii="Times New Roman" w:hAnsi="Times New Roman"/>
                <w:sz w:val="20"/>
              </w:rPr>
              <w:t>False</w:t>
            </w:r>
          </w:p>
        </w:tc>
      </w:tr>
    </w:tbl>
    <w:p>
      <w:r>
        <w:br w:type="page"/>
      </w:r>
    </w:p>
    <w:p>
      <w:pPr>
        <w:pStyle w:val="Heading1"/>
      </w:pPr>
      <w:r>
        <w:rPr>
          <w:rFonts w:ascii="Times New Roman" w:hAnsi="Times New Roman"/>
          <w:color w:val="141F3A"/>
        </w:rPr>
        <w:t>Appendix S7.  Leave-one-hospital-out heterogeneity</w:t>
      </w:r>
    </w:p>
    <w:p>
      <w:pPr>
        <w:spacing w:line="360" w:lineRule="auto" w:after="120"/>
        <w:jc w:val="both"/>
      </w:pPr>
      <w:r>
        <w:rPr>
          <w:rFonts w:ascii="Times New Roman" w:hAnsi="Times New Roman"/>
          <w:b w:val="0"/>
          <w:i w:val="0"/>
          <w:sz w:val="22"/>
        </w:rPr>
        <w:t>Random-effects pooling of per-hospital AUCs used Hanley–McNeil within-study variance and three τ² estimators (DerSimonian–Laird, Paule–Mandel, REML/iterated). Heterogeneity is scale-sensitive: on the variance-stabilising logit scale (the primary analysis) between-hospital heterogeneity is negligible (I² = 0% for the non-traumatic Set C; 2.8% for Set A), whereas a raw-AUC sensitivity analysis gives higher estimates (I² up to ~56%). The 95% prediction interval is the most honest summary of cross-site transportability.</w:t>
      </w:r>
    </w:p>
    <w:p>
      <w:r>
        <w:rPr>
          <w:rFonts w:ascii="Times New Roman" w:hAnsi="Times New Roman"/>
          <w:b/>
          <w:sz w:val="22"/>
        </w:rPr>
        <w:t>Table S7.  LOHO random-effects pooling under three τ² estimators and two scales, with prediction intervals.</w:t>
      </w:r>
    </w:p>
    <w:tbl>
      <w:tblPr>
        <w:tblStyle w:val="LightList-Accent1"/>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rFonts w:ascii="Times New Roman" w:hAnsi="Times New Roman"/>
                <w:b/>
                <w:sz w:val="20"/>
              </w:rPr>
              <w:t>cohort</w:t>
            </w:r>
          </w:p>
        </w:tc>
        <w:tc>
          <w:tcPr>
            <w:tcW w:type="dxa" w:w="851"/>
          </w:tcPr>
          <w:p>
            <w:r>
              <w:rPr>
                <w:rFonts w:ascii="Times New Roman" w:hAnsi="Times New Roman"/>
                <w:b/>
                <w:sz w:val="20"/>
              </w:rPr>
              <w:t>set</w:t>
            </w:r>
          </w:p>
        </w:tc>
        <w:tc>
          <w:tcPr>
            <w:tcW w:type="dxa" w:w="851"/>
          </w:tcPr>
          <w:p>
            <w:r>
              <w:rPr>
                <w:rFonts w:ascii="Times New Roman" w:hAnsi="Times New Roman"/>
                <w:b/>
                <w:sz w:val="20"/>
              </w:rPr>
              <w:t>scale</w:t>
            </w:r>
          </w:p>
        </w:tc>
        <w:tc>
          <w:tcPr>
            <w:tcW w:type="dxa" w:w="851"/>
          </w:tcPr>
          <w:p>
            <w:r>
              <w:rPr>
                <w:rFonts w:ascii="Times New Roman" w:hAnsi="Times New Roman"/>
                <w:b/>
                <w:sz w:val="20"/>
              </w:rPr>
              <w:t>estimator</w:t>
            </w:r>
          </w:p>
        </w:tc>
        <w:tc>
          <w:tcPr>
            <w:tcW w:type="dxa" w:w="851"/>
          </w:tcPr>
          <w:p>
            <w:r>
              <w:rPr>
                <w:rFonts w:ascii="Times New Roman" w:hAnsi="Times New Roman"/>
                <w:b/>
                <w:sz w:val="20"/>
              </w:rPr>
              <w:t>pooled_auc</w:t>
            </w:r>
          </w:p>
        </w:tc>
        <w:tc>
          <w:tcPr>
            <w:tcW w:type="dxa" w:w="851"/>
          </w:tcPr>
          <w:p>
            <w:r>
              <w:rPr>
                <w:rFonts w:ascii="Times New Roman" w:hAnsi="Times New Roman"/>
                <w:b/>
                <w:sz w:val="20"/>
              </w:rPr>
              <w:t>ci_lo</w:t>
            </w:r>
          </w:p>
        </w:tc>
        <w:tc>
          <w:tcPr>
            <w:tcW w:type="dxa" w:w="851"/>
          </w:tcPr>
          <w:p>
            <w:r>
              <w:rPr>
                <w:rFonts w:ascii="Times New Roman" w:hAnsi="Times New Roman"/>
                <w:b/>
                <w:sz w:val="20"/>
              </w:rPr>
              <w:t>ci_hi</w:t>
            </w:r>
          </w:p>
        </w:tc>
        <w:tc>
          <w:tcPr>
            <w:tcW w:type="dxa" w:w="851"/>
          </w:tcPr>
          <w:p>
            <w:r>
              <w:rPr>
                <w:rFonts w:ascii="Times New Roman" w:hAnsi="Times New Roman"/>
                <w:b/>
                <w:sz w:val="20"/>
              </w:rPr>
              <w:t>tau2</w:t>
            </w:r>
          </w:p>
        </w:tc>
        <w:tc>
          <w:tcPr>
            <w:tcW w:type="dxa" w:w="851"/>
          </w:tcPr>
          <w:p>
            <w:r>
              <w:rPr>
                <w:rFonts w:ascii="Times New Roman" w:hAnsi="Times New Roman"/>
                <w:b/>
                <w:sz w:val="20"/>
              </w:rPr>
              <w:t>I2_pct</w:t>
            </w:r>
          </w:p>
        </w:tc>
        <w:tc>
          <w:tcPr>
            <w:tcW w:type="dxa" w:w="851"/>
          </w:tcPr>
          <w:p>
            <w:r>
              <w:rPr>
                <w:rFonts w:ascii="Times New Roman" w:hAnsi="Times New Roman"/>
                <w:b/>
                <w:sz w:val="20"/>
              </w:rPr>
              <w:t>pred_int_lo</w:t>
            </w:r>
          </w:p>
        </w:tc>
        <w:tc>
          <w:tcPr>
            <w:tcW w:type="dxa" w:w="851"/>
          </w:tcPr>
          <w:p>
            <w:r>
              <w:rPr>
                <w:rFonts w:ascii="Times New Roman" w:hAnsi="Times New Roman"/>
                <w:b/>
                <w:sz w:val="20"/>
              </w:rPr>
              <w:t>pred_int_hi</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0.006</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0.739</w:t>
            </w:r>
          </w:p>
        </w:tc>
        <w:tc>
          <w:tcPr>
            <w:tcW w:type="dxa" w:w="851"/>
          </w:tcPr>
          <w:p>
            <w:r>
              <w:rPr>
                <w:rFonts w:ascii="Times New Roman" w:hAnsi="Times New Roman"/>
                <w:sz w:val="20"/>
              </w:rPr>
              <w:t>0.695</w:t>
            </w:r>
          </w:p>
        </w:tc>
        <w:tc>
          <w:tcPr>
            <w:tcW w:type="dxa" w:w="851"/>
          </w:tcPr>
          <w:p>
            <w:r>
              <w:rPr>
                <w:rFonts w:ascii="Times New Roman" w:hAnsi="Times New Roman"/>
                <w:sz w:val="20"/>
              </w:rPr>
              <w:t>0.783</w:t>
            </w:r>
          </w:p>
        </w:tc>
        <w:tc>
          <w:tcPr>
            <w:tcW w:type="dxa" w:w="851"/>
          </w:tcPr>
          <w:p>
            <w:r>
              <w:rPr>
                <w:rFonts w:ascii="Times New Roman" w:hAnsi="Times New Roman"/>
                <w:sz w:val="20"/>
              </w:rPr>
              <w:t>0.010</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0.677</w:t>
            </w:r>
          </w:p>
        </w:tc>
        <w:tc>
          <w:tcPr>
            <w:tcW w:type="dxa" w:w="851"/>
          </w:tcPr>
          <w:p>
            <w:r>
              <w:rPr>
                <w:rFonts w:ascii="Times New Roman" w:hAnsi="Times New Roman"/>
                <w:sz w:val="20"/>
              </w:rPr>
              <w:t>0.647</w:t>
            </w:r>
          </w:p>
        </w:tc>
        <w:tc>
          <w:tcPr>
            <w:tcW w:type="dxa" w:w="851"/>
          </w:tcPr>
          <w:p>
            <w:r>
              <w:rPr>
                <w:rFonts w:ascii="Times New Roman" w:hAnsi="Times New Roman"/>
                <w:sz w:val="20"/>
              </w:rPr>
              <w:t>0.706</w:t>
            </w:r>
          </w:p>
        </w:tc>
        <w:tc>
          <w:tcPr>
            <w:tcW w:type="dxa" w:w="851"/>
          </w:tcPr>
          <w:p>
            <w:r>
              <w:rPr>
                <w:rFonts w:ascii="Times New Roman" w:hAnsi="Times New Roman"/>
                <w:sz w:val="20"/>
              </w:rPr>
              <w:t>-0.008</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0.592</w:t>
            </w:r>
          </w:p>
        </w:tc>
        <w:tc>
          <w:tcPr>
            <w:tcW w:type="dxa" w:w="851"/>
          </w:tcPr>
          <w:p>
            <w:r>
              <w:rPr>
                <w:rFonts w:ascii="Times New Roman" w:hAnsi="Times New Roman"/>
                <w:sz w:val="20"/>
              </w:rPr>
              <w:t>0.534</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0.576</w:t>
            </w:r>
          </w:p>
        </w:tc>
        <w:tc>
          <w:tcPr>
            <w:tcW w:type="dxa" w:w="851"/>
          </w:tcPr>
          <w:p>
            <w:r>
              <w:rPr>
                <w:rFonts w:ascii="Times New Roman" w:hAnsi="Times New Roman"/>
                <w:sz w:val="20"/>
              </w:rPr>
              <w:t>0.532</w:t>
            </w:r>
          </w:p>
        </w:tc>
        <w:tc>
          <w:tcPr>
            <w:tcW w:type="dxa" w:w="851"/>
          </w:tcPr>
          <w:p>
            <w:r>
              <w:rPr>
                <w:rFonts w:ascii="Times New Roman" w:hAnsi="Times New Roman"/>
                <w:sz w:val="20"/>
              </w:rPr>
              <w:t>0.619</w:t>
            </w:r>
          </w:p>
        </w:tc>
        <w:tc>
          <w:tcPr>
            <w:tcW w:type="dxa" w:w="851"/>
          </w:tcPr>
          <w:p>
            <w:r>
              <w:rPr>
                <w:rFonts w:ascii="Times New Roman" w:hAnsi="Times New Roman"/>
                <w:sz w:val="20"/>
              </w:rPr>
              <w:t>-0.063</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bl>
    <w:p>
      <w:pPr>
        <w:spacing w:line="360" w:lineRule="auto" w:after="120"/>
        <w:jc w:val="both"/>
      </w:pPr>
      <w:r>
        <w:rPr>
          <w:rFonts w:ascii="Times New Roman" w:hAnsi="Times New Roman"/>
          <w:b w:val="0"/>
          <w:i w:val="0"/>
          <w:sz w:val="22"/>
        </w:rPr>
        <w:t>Per-site descriptive statistics (n, events, AUC, Brier per hospital) are released as results/41_loho_per_site.csv.</w:t>
      </w:r>
    </w:p>
    <w:p>
      <w:r>
        <w:br w:type="page"/>
      </w:r>
    </w:p>
    <w:p>
      <w:pPr>
        <w:pStyle w:val="Heading1"/>
      </w:pPr>
      <w:r>
        <w:rPr>
          <w:rFonts w:ascii="Times New Roman" w:hAnsi="Times New Roman"/>
          <w:color w:val="141F3A"/>
        </w:rPr>
        <w:t>Appendix S8.  Cohort inclusion flow and deployed-model coefficients and calibration</w:t>
      </w:r>
    </w:p>
    <w:p>
      <w:pPr>
        <w:spacing w:line="360" w:lineRule="auto" w:after="120"/>
        <w:jc w:val="both"/>
      </w:pPr>
      <w:r>
        <w:rPr>
          <w:rFonts w:ascii="Times New Roman" w:hAnsi="Times New Roman"/>
          <w:b w:val="0"/>
          <w:i w:val="0"/>
          <w:sz w:val="22"/>
        </w:rPr>
        <w:t>Cohort inclusion (eICU). 5,376 ICU stays with any subdural-haematoma diagnosis (139 hospitals) → restrict to non-traumatic SDH and to hospitals contributing ≥10 such stays → 3,297 stays (42 hospitals; 300 seizures), the primary external-validation stratum. The broader 5,376/139 screen and three alternative definitions are reported as sensitivity analyses (Table S2).</w:t>
      </w:r>
    </w:p>
    <w:p>
      <w:pPr>
        <w:spacing w:line="360" w:lineRule="auto" w:after="120"/>
        <w:jc w:val="both"/>
      </w:pPr>
      <w:r>
        <w:rPr>
          <w:rFonts w:ascii="Times New Roman" w:hAnsi="Times New Roman"/>
          <w:b w:val="0"/>
          <w:i w:val="0"/>
          <w:sz w:val="22"/>
        </w:rPr>
        <w:t>Deployed-model coefficients. Firth penalized logistic regression on the postoperative-B set; coefficients are on the per-standard-deviation scale, with odds ratios per 1-SD increase:</w:t>
      </w:r>
    </w:p>
    <w:p>
      <w:r>
        <w:rPr>
          <w:rFonts w:ascii="Times New Roman" w:hAnsi="Times New Roman"/>
          <w:b/>
          <w:sz w:val="22"/>
        </w:rPr>
        <w:t>Table S8.  Firth coefficients for the deployed postoperative-B model (per-SD scale; OR per 1-SD increase).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feature</w:t>
            </w:r>
          </w:p>
        </w:tc>
        <w:tc>
          <w:tcPr>
            <w:tcW w:type="dxa" w:w="1337"/>
          </w:tcPr>
          <w:p>
            <w:r>
              <w:rPr>
                <w:rFonts w:ascii="Times New Roman" w:hAnsi="Times New Roman"/>
                <w:b/>
                <w:sz w:val="20"/>
              </w:rPr>
              <w:t>coef</w:t>
            </w:r>
          </w:p>
        </w:tc>
        <w:tc>
          <w:tcPr>
            <w:tcW w:type="dxa" w:w="1337"/>
          </w:tcPr>
          <w:p>
            <w:r>
              <w:rPr>
                <w:rFonts w:ascii="Times New Roman" w:hAnsi="Times New Roman"/>
                <w:b/>
                <w:sz w:val="20"/>
              </w:rPr>
              <w:t>se</w:t>
            </w:r>
          </w:p>
        </w:tc>
        <w:tc>
          <w:tcPr>
            <w:tcW w:type="dxa" w:w="1337"/>
          </w:tcPr>
          <w:p>
            <w:r>
              <w:rPr>
                <w:rFonts w:ascii="Times New Roman" w:hAnsi="Times New Roman"/>
                <w:b/>
                <w:sz w:val="20"/>
              </w:rPr>
              <w:t>ci_lo</w:t>
            </w:r>
          </w:p>
        </w:tc>
        <w:tc>
          <w:tcPr>
            <w:tcW w:type="dxa" w:w="1337"/>
          </w:tcPr>
          <w:p>
            <w:r>
              <w:rPr>
                <w:rFonts w:ascii="Times New Roman" w:hAnsi="Times New Roman"/>
                <w:b/>
                <w:sz w:val="20"/>
              </w:rPr>
              <w:t>ci_hi</w:t>
            </w:r>
          </w:p>
        </w:tc>
        <w:tc>
          <w:tcPr>
            <w:tcW w:type="dxa" w:w="1337"/>
          </w:tcPr>
          <w:p>
            <w:r>
              <w:rPr>
                <w:rFonts w:ascii="Times New Roman" w:hAnsi="Times New Roman"/>
                <w:b/>
                <w:sz w:val="20"/>
              </w:rPr>
              <w:t>p_value</w:t>
            </w:r>
          </w:p>
        </w:tc>
        <w:tc>
          <w:tcPr>
            <w:tcW w:type="dxa" w:w="1337"/>
          </w:tcPr>
          <w:p>
            <w:r>
              <w:rPr>
                <w:rFonts w:ascii="Times New Roman" w:hAnsi="Times New Roman"/>
                <w:b/>
                <w:sz w:val="20"/>
              </w:rPr>
              <w:t>OR_per_SD</w:t>
            </w:r>
          </w:p>
        </w:tc>
      </w:tr>
      <w:tr>
        <w:tc>
          <w:tcPr>
            <w:tcW w:type="dxa" w:w="1337"/>
          </w:tcPr>
          <w:p>
            <w:r>
              <w:rPr>
                <w:rFonts w:ascii="Times New Roman" w:hAnsi="Times New Roman"/>
                <w:sz w:val="20"/>
              </w:rPr>
              <w:t>sex</w:t>
            </w:r>
          </w:p>
        </w:tc>
        <w:tc>
          <w:tcPr>
            <w:tcW w:type="dxa" w:w="1337"/>
          </w:tcPr>
          <w:p>
            <w:r>
              <w:rPr>
                <w:rFonts w:ascii="Times New Roman" w:hAnsi="Times New Roman"/>
                <w:sz w:val="20"/>
              </w:rPr>
              <w:t>0.219</w:t>
            </w:r>
          </w:p>
        </w:tc>
        <w:tc>
          <w:tcPr>
            <w:tcW w:type="dxa" w:w="1337"/>
          </w:tcPr>
          <w:p>
            <w:r>
              <w:rPr>
                <w:rFonts w:ascii="Times New Roman" w:hAnsi="Times New Roman"/>
                <w:sz w:val="20"/>
              </w:rPr>
              <w:t>0.163</w:t>
            </w:r>
          </w:p>
        </w:tc>
        <w:tc>
          <w:tcPr>
            <w:tcW w:type="dxa" w:w="1337"/>
          </w:tcPr>
          <w:p>
            <w:r>
              <w:rPr>
                <w:rFonts w:ascii="Times New Roman" w:hAnsi="Times New Roman"/>
                <w:sz w:val="20"/>
              </w:rPr>
              <w:t>-0.100</w:t>
            </w:r>
          </w:p>
        </w:tc>
        <w:tc>
          <w:tcPr>
            <w:tcW w:type="dxa" w:w="1337"/>
          </w:tcPr>
          <w:p>
            <w:r>
              <w:rPr>
                <w:rFonts w:ascii="Times New Roman" w:hAnsi="Times New Roman"/>
                <w:sz w:val="20"/>
              </w:rPr>
              <w:t>0.538</w:t>
            </w:r>
          </w:p>
        </w:tc>
        <w:tc>
          <w:tcPr>
            <w:tcW w:type="dxa" w:w="1337"/>
          </w:tcPr>
          <w:p>
            <w:r>
              <w:rPr>
                <w:rFonts w:ascii="Times New Roman" w:hAnsi="Times New Roman"/>
                <w:sz w:val="20"/>
              </w:rPr>
              <w:t>0.178</w:t>
            </w:r>
          </w:p>
        </w:tc>
        <w:tc>
          <w:tcPr>
            <w:tcW w:type="dxa" w:w="1337"/>
          </w:tcPr>
          <w:p>
            <w:r>
              <w:rPr>
                <w:rFonts w:ascii="Times New Roman" w:hAnsi="Times New Roman"/>
                <w:sz w:val="20"/>
              </w:rPr>
              <w:t>1.245</w:t>
            </w:r>
          </w:p>
        </w:tc>
      </w:tr>
      <w:tr>
        <w:tc>
          <w:tcPr>
            <w:tcW w:type="dxa" w:w="1337"/>
          </w:tcPr>
          <w:p>
            <w:r>
              <w:rPr>
                <w:rFonts w:ascii="Times New Roman" w:hAnsi="Times New Roman"/>
                <w:sz w:val="20"/>
              </w:rPr>
              <w:t>age</w:t>
            </w:r>
          </w:p>
        </w:tc>
        <w:tc>
          <w:tcPr>
            <w:tcW w:type="dxa" w:w="1337"/>
          </w:tcPr>
          <w:p>
            <w:r>
              <w:rPr>
                <w:rFonts w:ascii="Times New Roman" w:hAnsi="Times New Roman"/>
                <w:sz w:val="20"/>
              </w:rPr>
              <w:t>-0.022</w:t>
            </w:r>
          </w:p>
        </w:tc>
        <w:tc>
          <w:tcPr>
            <w:tcW w:type="dxa" w:w="1337"/>
          </w:tcPr>
          <w:p>
            <w:r>
              <w:rPr>
                <w:rFonts w:ascii="Times New Roman" w:hAnsi="Times New Roman"/>
                <w:sz w:val="20"/>
              </w:rPr>
              <w:t>0.153</w:t>
            </w:r>
          </w:p>
        </w:tc>
        <w:tc>
          <w:tcPr>
            <w:tcW w:type="dxa" w:w="1337"/>
          </w:tcPr>
          <w:p>
            <w:r>
              <w:rPr>
                <w:rFonts w:ascii="Times New Roman" w:hAnsi="Times New Roman"/>
                <w:sz w:val="20"/>
              </w:rPr>
              <w:t>-0.321</w:t>
            </w:r>
          </w:p>
        </w:tc>
        <w:tc>
          <w:tcPr>
            <w:tcW w:type="dxa" w:w="1337"/>
          </w:tcPr>
          <w:p>
            <w:r>
              <w:rPr>
                <w:rFonts w:ascii="Times New Roman" w:hAnsi="Times New Roman"/>
                <w:sz w:val="20"/>
              </w:rPr>
              <w:t>0.278</w:t>
            </w:r>
          </w:p>
        </w:tc>
        <w:tc>
          <w:tcPr>
            <w:tcW w:type="dxa" w:w="1337"/>
          </w:tcPr>
          <w:p>
            <w:r>
              <w:rPr>
                <w:rFonts w:ascii="Times New Roman" w:hAnsi="Times New Roman"/>
                <w:sz w:val="20"/>
              </w:rPr>
              <w:t>0.888</w:t>
            </w:r>
          </w:p>
        </w:tc>
        <w:tc>
          <w:tcPr>
            <w:tcW w:type="dxa" w:w="1337"/>
          </w:tcPr>
          <w:p>
            <w:r>
              <w:rPr>
                <w:rFonts w:ascii="Times New Roman" w:hAnsi="Times New Roman"/>
                <w:sz w:val="20"/>
              </w:rPr>
              <w:t>0.979</w:t>
            </w:r>
          </w:p>
        </w:tc>
      </w:tr>
      <w:tr>
        <w:tc>
          <w:tcPr>
            <w:tcW w:type="dxa" w:w="1337"/>
          </w:tcPr>
          <w:p>
            <w:r>
              <w:rPr>
                <w:rFonts w:ascii="Times New Roman" w:hAnsi="Times New Roman"/>
                <w:sz w:val="20"/>
              </w:rPr>
              <w:t>blood_type</w:t>
            </w:r>
          </w:p>
        </w:tc>
        <w:tc>
          <w:tcPr>
            <w:tcW w:type="dxa" w:w="1337"/>
          </w:tcPr>
          <w:p>
            <w:r>
              <w:rPr>
                <w:rFonts w:ascii="Times New Roman" w:hAnsi="Times New Roman"/>
                <w:sz w:val="20"/>
              </w:rPr>
              <w:t>0.037</w:t>
            </w:r>
          </w:p>
        </w:tc>
        <w:tc>
          <w:tcPr>
            <w:tcW w:type="dxa" w:w="1337"/>
          </w:tcPr>
          <w:p>
            <w:r>
              <w:rPr>
                <w:rFonts w:ascii="Times New Roman" w:hAnsi="Times New Roman"/>
                <w:sz w:val="20"/>
              </w:rPr>
              <w:t>0.155</w:t>
            </w:r>
          </w:p>
        </w:tc>
        <w:tc>
          <w:tcPr>
            <w:tcW w:type="dxa" w:w="1337"/>
          </w:tcPr>
          <w:p>
            <w:r>
              <w:rPr>
                <w:rFonts w:ascii="Times New Roman" w:hAnsi="Times New Roman"/>
                <w:sz w:val="20"/>
              </w:rPr>
              <w:t>-0.267</w:t>
            </w:r>
          </w:p>
        </w:tc>
        <w:tc>
          <w:tcPr>
            <w:tcW w:type="dxa" w:w="1337"/>
          </w:tcPr>
          <w:p>
            <w:r>
              <w:rPr>
                <w:rFonts w:ascii="Times New Roman" w:hAnsi="Times New Roman"/>
                <w:sz w:val="20"/>
              </w:rPr>
              <w:t>0.342</w:t>
            </w:r>
          </w:p>
        </w:tc>
        <w:tc>
          <w:tcPr>
            <w:tcW w:type="dxa" w:w="1337"/>
          </w:tcPr>
          <w:p>
            <w:r>
              <w:rPr>
                <w:rFonts w:ascii="Times New Roman" w:hAnsi="Times New Roman"/>
                <w:sz w:val="20"/>
              </w:rPr>
              <w:t>0.810</w:t>
            </w:r>
          </w:p>
        </w:tc>
        <w:tc>
          <w:tcPr>
            <w:tcW w:type="dxa" w:w="1337"/>
          </w:tcPr>
          <w:p>
            <w:r>
              <w:rPr>
                <w:rFonts w:ascii="Times New Roman" w:hAnsi="Times New Roman"/>
                <w:sz w:val="20"/>
              </w:rPr>
              <w:t>1.038</w:t>
            </w:r>
          </w:p>
        </w:tc>
      </w:tr>
      <w:tr>
        <w:tc>
          <w:tcPr>
            <w:tcW w:type="dxa" w:w="1337"/>
          </w:tcPr>
          <w:p>
            <w:r>
              <w:rPr>
                <w:rFonts w:ascii="Times New Roman" w:hAnsi="Times New Roman"/>
                <w:sz w:val="20"/>
              </w:rPr>
              <w:t>sdh_type</w:t>
            </w:r>
          </w:p>
        </w:tc>
        <w:tc>
          <w:tcPr>
            <w:tcW w:type="dxa" w:w="1337"/>
          </w:tcPr>
          <w:p>
            <w:r>
              <w:rPr>
                <w:rFonts w:ascii="Times New Roman" w:hAnsi="Times New Roman"/>
                <w:sz w:val="20"/>
              </w:rPr>
              <w:t>-0.073</w:t>
            </w:r>
          </w:p>
        </w:tc>
        <w:tc>
          <w:tcPr>
            <w:tcW w:type="dxa" w:w="1337"/>
          </w:tcPr>
          <w:p>
            <w:r>
              <w:rPr>
                <w:rFonts w:ascii="Times New Roman" w:hAnsi="Times New Roman"/>
                <w:sz w:val="20"/>
              </w:rPr>
              <w:t>0.186</w:t>
            </w:r>
          </w:p>
        </w:tc>
        <w:tc>
          <w:tcPr>
            <w:tcW w:type="dxa" w:w="1337"/>
          </w:tcPr>
          <w:p>
            <w:r>
              <w:rPr>
                <w:rFonts w:ascii="Times New Roman" w:hAnsi="Times New Roman"/>
                <w:sz w:val="20"/>
              </w:rPr>
              <w:t>-0.438</w:t>
            </w:r>
          </w:p>
        </w:tc>
        <w:tc>
          <w:tcPr>
            <w:tcW w:type="dxa" w:w="1337"/>
          </w:tcPr>
          <w:p>
            <w:r>
              <w:rPr>
                <w:rFonts w:ascii="Times New Roman" w:hAnsi="Times New Roman"/>
                <w:sz w:val="20"/>
              </w:rPr>
              <w:t>0.292</w:t>
            </w:r>
          </w:p>
        </w:tc>
        <w:tc>
          <w:tcPr>
            <w:tcW w:type="dxa" w:w="1337"/>
          </w:tcPr>
          <w:p>
            <w:r>
              <w:rPr>
                <w:rFonts w:ascii="Times New Roman" w:hAnsi="Times New Roman"/>
                <w:sz w:val="20"/>
              </w:rPr>
              <w:t>0.695</w:t>
            </w:r>
          </w:p>
        </w:tc>
        <w:tc>
          <w:tcPr>
            <w:tcW w:type="dxa" w:w="1337"/>
          </w:tcPr>
          <w:p>
            <w:r>
              <w:rPr>
                <w:rFonts w:ascii="Times New Roman" w:hAnsi="Times New Roman"/>
                <w:sz w:val="20"/>
              </w:rPr>
              <w:t>0.930</w:t>
            </w:r>
          </w:p>
        </w:tc>
      </w:tr>
      <w:tr>
        <w:tc>
          <w:tcPr>
            <w:tcW w:type="dxa" w:w="1337"/>
          </w:tcPr>
          <w:p>
            <w:r>
              <w:rPr>
                <w:rFonts w:ascii="Times New Roman" w:hAnsi="Times New Roman"/>
                <w:sz w:val="20"/>
              </w:rPr>
              <w:t>sdh_thickness</w:t>
            </w:r>
          </w:p>
        </w:tc>
        <w:tc>
          <w:tcPr>
            <w:tcW w:type="dxa" w:w="1337"/>
          </w:tcPr>
          <w:p>
            <w:r>
              <w:rPr>
                <w:rFonts w:ascii="Times New Roman" w:hAnsi="Times New Roman"/>
                <w:sz w:val="20"/>
              </w:rPr>
              <w:t>0.004</w:t>
            </w:r>
          </w:p>
        </w:tc>
        <w:tc>
          <w:tcPr>
            <w:tcW w:type="dxa" w:w="1337"/>
          </w:tcPr>
          <w:p>
            <w:r>
              <w:rPr>
                <w:rFonts w:ascii="Times New Roman" w:hAnsi="Times New Roman"/>
                <w:sz w:val="20"/>
              </w:rPr>
              <w:t>0.170</w:t>
            </w:r>
          </w:p>
        </w:tc>
        <w:tc>
          <w:tcPr>
            <w:tcW w:type="dxa" w:w="1337"/>
          </w:tcPr>
          <w:p>
            <w:r>
              <w:rPr>
                <w:rFonts w:ascii="Times New Roman" w:hAnsi="Times New Roman"/>
                <w:sz w:val="20"/>
              </w:rPr>
              <w:t>-0.330</w:t>
            </w:r>
          </w:p>
        </w:tc>
        <w:tc>
          <w:tcPr>
            <w:tcW w:type="dxa" w:w="1337"/>
          </w:tcPr>
          <w:p>
            <w:r>
              <w:rPr>
                <w:rFonts w:ascii="Times New Roman" w:hAnsi="Times New Roman"/>
                <w:sz w:val="20"/>
              </w:rPr>
              <w:t>0.337</w:t>
            </w:r>
          </w:p>
        </w:tc>
        <w:tc>
          <w:tcPr>
            <w:tcW w:type="dxa" w:w="1337"/>
          </w:tcPr>
          <w:p>
            <w:r>
              <w:rPr>
                <w:rFonts w:ascii="Times New Roman" w:hAnsi="Times New Roman"/>
                <w:sz w:val="20"/>
              </w:rPr>
              <w:t>0.984</w:t>
            </w:r>
          </w:p>
        </w:tc>
        <w:tc>
          <w:tcPr>
            <w:tcW w:type="dxa" w:w="1337"/>
          </w:tcPr>
          <w:p>
            <w:r>
              <w:rPr>
                <w:rFonts w:ascii="Times New Roman" w:hAnsi="Times New Roman"/>
                <w:sz w:val="20"/>
              </w:rPr>
              <w:t>1.003</w:t>
            </w:r>
          </w:p>
        </w:tc>
      </w:tr>
      <w:tr>
        <w:tc>
          <w:tcPr>
            <w:tcW w:type="dxa" w:w="1337"/>
          </w:tcPr>
          <w:p>
            <w:r>
              <w:rPr>
                <w:rFonts w:ascii="Times New Roman" w:hAnsi="Times New Roman"/>
                <w:sz w:val="20"/>
              </w:rPr>
              <w:t>csdh_size_change</w:t>
            </w:r>
          </w:p>
        </w:tc>
        <w:tc>
          <w:tcPr>
            <w:tcW w:type="dxa" w:w="1337"/>
          </w:tcPr>
          <w:p>
            <w:r>
              <w:rPr>
                <w:rFonts w:ascii="Times New Roman" w:hAnsi="Times New Roman"/>
                <w:sz w:val="20"/>
              </w:rPr>
              <w:t>-0.080</w:t>
            </w:r>
          </w:p>
        </w:tc>
        <w:tc>
          <w:tcPr>
            <w:tcW w:type="dxa" w:w="1337"/>
          </w:tcPr>
          <w:p>
            <w:r>
              <w:rPr>
                <w:rFonts w:ascii="Times New Roman" w:hAnsi="Times New Roman"/>
                <w:sz w:val="20"/>
              </w:rPr>
              <w:t>0.186</w:t>
            </w:r>
          </w:p>
        </w:tc>
        <w:tc>
          <w:tcPr>
            <w:tcW w:type="dxa" w:w="1337"/>
          </w:tcPr>
          <w:p>
            <w:r>
              <w:rPr>
                <w:rFonts w:ascii="Times New Roman" w:hAnsi="Times New Roman"/>
                <w:sz w:val="20"/>
              </w:rPr>
              <w:t>-0.445</w:t>
            </w:r>
          </w:p>
        </w:tc>
        <w:tc>
          <w:tcPr>
            <w:tcW w:type="dxa" w:w="1337"/>
          </w:tcPr>
          <w:p>
            <w:r>
              <w:rPr>
                <w:rFonts w:ascii="Times New Roman" w:hAnsi="Times New Roman"/>
                <w:sz w:val="20"/>
              </w:rPr>
              <w:t>0.286</w:t>
            </w:r>
          </w:p>
        </w:tc>
        <w:tc>
          <w:tcPr>
            <w:tcW w:type="dxa" w:w="1337"/>
          </w:tcPr>
          <w:p>
            <w:r>
              <w:rPr>
                <w:rFonts w:ascii="Times New Roman" w:hAnsi="Times New Roman"/>
                <w:sz w:val="20"/>
              </w:rPr>
              <w:t>0.669</w:t>
            </w:r>
          </w:p>
        </w:tc>
        <w:tc>
          <w:tcPr>
            <w:tcW w:type="dxa" w:w="1337"/>
          </w:tcPr>
          <w:p>
            <w:r>
              <w:rPr>
                <w:rFonts w:ascii="Times New Roman" w:hAnsi="Times New Roman"/>
                <w:sz w:val="20"/>
              </w:rPr>
              <w:t>0.923</w:t>
            </w:r>
          </w:p>
        </w:tc>
      </w:tr>
      <w:tr>
        <w:tc>
          <w:tcPr>
            <w:tcW w:type="dxa" w:w="1337"/>
          </w:tcPr>
          <w:p>
            <w:r>
              <w:rPr>
                <w:rFonts w:ascii="Times New Roman" w:hAnsi="Times New Roman"/>
                <w:sz w:val="20"/>
              </w:rPr>
              <w:t>mid_shift</w:t>
            </w:r>
          </w:p>
        </w:tc>
        <w:tc>
          <w:tcPr>
            <w:tcW w:type="dxa" w:w="1337"/>
          </w:tcPr>
          <w:p>
            <w:r>
              <w:rPr>
                <w:rFonts w:ascii="Times New Roman" w:hAnsi="Times New Roman"/>
                <w:sz w:val="20"/>
              </w:rPr>
              <w:t>0.240</w:t>
            </w:r>
          </w:p>
        </w:tc>
        <w:tc>
          <w:tcPr>
            <w:tcW w:type="dxa" w:w="1337"/>
          </w:tcPr>
          <w:p>
            <w:r>
              <w:rPr>
                <w:rFonts w:ascii="Times New Roman" w:hAnsi="Times New Roman"/>
                <w:sz w:val="20"/>
              </w:rPr>
              <w:t>0.164</w:t>
            </w:r>
          </w:p>
        </w:tc>
        <w:tc>
          <w:tcPr>
            <w:tcW w:type="dxa" w:w="1337"/>
          </w:tcPr>
          <w:p>
            <w:r>
              <w:rPr>
                <w:rFonts w:ascii="Times New Roman" w:hAnsi="Times New Roman"/>
                <w:sz w:val="20"/>
              </w:rPr>
              <w:t>-0.082</w:t>
            </w:r>
          </w:p>
        </w:tc>
        <w:tc>
          <w:tcPr>
            <w:tcW w:type="dxa" w:w="1337"/>
          </w:tcPr>
          <w:p>
            <w:r>
              <w:rPr>
                <w:rFonts w:ascii="Times New Roman" w:hAnsi="Times New Roman"/>
                <w:sz w:val="20"/>
              </w:rPr>
              <w:t>0.563</w:t>
            </w:r>
          </w:p>
        </w:tc>
        <w:tc>
          <w:tcPr>
            <w:tcW w:type="dxa" w:w="1337"/>
          </w:tcPr>
          <w:p>
            <w:r>
              <w:rPr>
                <w:rFonts w:ascii="Times New Roman" w:hAnsi="Times New Roman"/>
                <w:sz w:val="20"/>
              </w:rPr>
              <w:t>0.143</w:t>
            </w:r>
          </w:p>
        </w:tc>
        <w:tc>
          <w:tcPr>
            <w:tcW w:type="dxa" w:w="1337"/>
          </w:tcPr>
          <w:p>
            <w:r>
              <w:rPr>
                <w:rFonts w:ascii="Times New Roman" w:hAnsi="Times New Roman"/>
                <w:sz w:val="20"/>
              </w:rPr>
              <w:t>1.272</w:t>
            </w:r>
          </w:p>
        </w:tc>
      </w:tr>
      <w:tr>
        <w:tc>
          <w:tcPr>
            <w:tcW w:type="dxa" w:w="1337"/>
          </w:tcPr>
          <w:p>
            <w:r>
              <w:rPr>
                <w:rFonts w:ascii="Times New Roman" w:hAnsi="Times New Roman"/>
                <w:sz w:val="20"/>
              </w:rPr>
              <w:t>hematoma_lat</w:t>
            </w:r>
          </w:p>
        </w:tc>
        <w:tc>
          <w:tcPr>
            <w:tcW w:type="dxa" w:w="1337"/>
          </w:tcPr>
          <w:p>
            <w:r>
              <w:rPr>
                <w:rFonts w:ascii="Times New Roman" w:hAnsi="Times New Roman"/>
                <w:sz w:val="20"/>
              </w:rPr>
              <w:t>-0.135</w:t>
            </w:r>
          </w:p>
        </w:tc>
        <w:tc>
          <w:tcPr>
            <w:tcW w:type="dxa" w:w="1337"/>
          </w:tcPr>
          <w:p>
            <w:r>
              <w:rPr>
                <w:rFonts w:ascii="Times New Roman" w:hAnsi="Times New Roman"/>
                <w:sz w:val="20"/>
              </w:rPr>
              <w:t>0.150</w:t>
            </w:r>
          </w:p>
        </w:tc>
        <w:tc>
          <w:tcPr>
            <w:tcW w:type="dxa" w:w="1337"/>
          </w:tcPr>
          <w:p>
            <w:r>
              <w:rPr>
                <w:rFonts w:ascii="Times New Roman" w:hAnsi="Times New Roman"/>
                <w:sz w:val="20"/>
              </w:rPr>
              <w:t>-0.429</w:t>
            </w:r>
          </w:p>
        </w:tc>
        <w:tc>
          <w:tcPr>
            <w:tcW w:type="dxa" w:w="1337"/>
          </w:tcPr>
          <w:p>
            <w:r>
              <w:rPr>
                <w:rFonts w:ascii="Times New Roman" w:hAnsi="Times New Roman"/>
                <w:sz w:val="20"/>
              </w:rPr>
              <w:t>0.160</w:t>
            </w:r>
          </w:p>
        </w:tc>
        <w:tc>
          <w:tcPr>
            <w:tcW w:type="dxa" w:w="1337"/>
          </w:tcPr>
          <w:p>
            <w:r>
              <w:rPr>
                <w:rFonts w:ascii="Times New Roman" w:hAnsi="Times New Roman"/>
                <w:sz w:val="20"/>
              </w:rPr>
              <w:t>0.370</w:t>
            </w:r>
          </w:p>
        </w:tc>
        <w:tc>
          <w:tcPr>
            <w:tcW w:type="dxa" w:w="1337"/>
          </w:tcPr>
          <w:p>
            <w:r>
              <w:rPr>
                <w:rFonts w:ascii="Times New Roman" w:hAnsi="Times New Roman"/>
                <w:sz w:val="20"/>
              </w:rPr>
              <w:t>0.874</w:t>
            </w:r>
          </w:p>
        </w:tc>
      </w:tr>
      <w:tr>
        <w:tc>
          <w:tcPr>
            <w:tcW w:type="dxa" w:w="1337"/>
          </w:tcPr>
          <w:p>
            <w:r>
              <w:rPr>
                <w:rFonts w:ascii="Times New Roman" w:hAnsi="Times New Roman"/>
                <w:sz w:val="20"/>
              </w:rPr>
              <w:t>collection_density</w:t>
            </w:r>
          </w:p>
        </w:tc>
        <w:tc>
          <w:tcPr>
            <w:tcW w:type="dxa" w:w="1337"/>
          </w:tcPr>
          <w:p>
            <w:r>
              <w:rPr>
                <w:rFonts w:ascii="Times New Roman" w:hAnsi="Times New Roman"/>
                <w:sz w:val="20"/>
              </w:rPr>
              <w:t>0.234</w:t>
            </w:r>
          </w:p>
        </w:tc>
        <w:tc>
          <w:tcPr>
            <w:tcW w:type="dxa" w:w="1337"/>
          </w:tcPr>
          <w:p>
            <w:r>
              <w:rPr>
                <w:rFonts w:ascii="Times New Roman" w:hAnsi="Times New Roman"/>
                <w:sz w:val="20"/>
              </w:rPr>
              <w:t>0.183</w:t>
            </w:r>
          </w:p>
        </w:tc>
        <w:tc>
          <w:tcPr>
            <w:tcW w:type="dxa" w:w="1337"/>
          </w:tcPr>
          <w:p>
            <w:r>
              <w:rPr>
                <w:rFonts w:ascii="Times New Roman" w:hAnsi="Times New Roman"/>
                <w:sz w:val="20"/>
              </w:rPr>
              <w:t>-0.124</w:t>
            </w:r>
          </w:p>
        </w:tc>
        <w:tc>
          <w:tcPr>
            <w:tcW w:type="dxa" w:w="1337"/>
          </w:tcPr>
          <w:p>
            <w:r>
              <w:rPr>
                <w:rFonts w:ascii="Times New Roman" w:hAnsi="Times New Roman"/>
                <w:sz w:val="20"/>
              </w:rPr>
              <w:t>0.593</w:t>
            </w:r>
          </w:p>
        </w:tc>
        <w:tc>
          <w:tcPr>
            <w:tcW w:type="dxa" w:w="1337"/>
          </w:tcPr>
          <w:p>
            <w:r>
              <w:rPr>
                <w:rFonts w:ascii="Times New Roman" w:hAnsi="Times New Roman"/>
                <w:sz w:val="20"/>
              </w:rPr>
              <w:t>0.200</w:t>
            </w:r>
          </w:p>
        </w:tc>
        <w:tc>
          <w:tcPr>
            <w:tcW w:type="dxa" w:w="1337"/>
          </w:tcPr>
          <w:p>
            <w:r>
              <w:rPr>
                <w:rFonts w:ascii="Times New Roman" w:hAnsi="Times New Roman"/>
                <w:sz w:val="20"/>
              </w:rPr>
              <w:t>1.264</w:t>
            </w:r>
          </w:p>
        </w:tc>
      </w:tr>
      <w:tr>
        <w:tc>
          <w:tcPr>
            <w:tcW w:type="dxa" w:w="1337"/>
          </w:tcPr>
          <w:p>
            <w:r>
              <w:rPr>
                <w:rFonts w:ascii="Times New Roman" w:hAnsi="Times New Roman"/>
                <w:sz w:val="20"/>
              </w:rPr>
              <w:t>preop_gcs</w:t>
            </w:r>
          </w:p>
        </w:tc>
        <w:tc>
          <w:tcPr>
            <w:tcW w:type="dxa" w:w="1337"/>
          </w:tcPr>
          <w:p>
            <w:r>
              <w:rPr>
                <w:rFonts w:ascii="Times New Roman" w:hAnsi="Times New Roman"/>
                <w:sz w:val="20"/>
              </w:rPr>
              <w:t>-0.027</w:t>
            </w:r>
          </w:p>
        </w:tc>
        <w:tc>
          <w:tcPr>
            <w:tcW w:type="dxa" w:w="1337"/>
          </w:tcPr>
          <w:p>
            <w:r>
              <w:rPr>
                <w:rFonts w:ascii="Times New Roman" w:hAnsi="Times New Roman"/>
                <w:sz w:val="20"/>
              </w:rPr>
              <w:t>0.140</w:t>
            </w:r>
          </w:p>
        </w:tc>
        <w:tc>
          <w:tcPr>
            <w:tcW w:type="dxa" w:w="1337"/>
          </w:tcPr>
          <w:p>
            <w:r>
              <w:rPr>
                <w:rFonts w:ascii="Times New Roman" w:hAnsi="Times New Roman"/>
                <w:sz w:val="20"/>
              </w:rPr>
              <w:t>-0.302</w:t>
            </w:r>
          </w:p>
        </w:tc>
        <w:tc>
          <w:tcPr>
            <w:tcW w:type="dxa" w:w="1337"/>
          </w:tcPr>
          <w:p>
            <w:r>
              <w:rPr>
                <w:rFonts w:ascii="Times New Roman" w:hAnsi="Times New Roman"/>
                <w:sz w:val="20"/>
              </w:rPr>
              <w:t>0.248</w:t>
            </w:r>
          </w:p>
        </w:tc>
        <w:tc>
          <w:tcPr>
            <w:tcW w:type="dxa" w:w="1337"/>
          </w:tcPr>
          <w:p>
            <w:r>
              <w:rPr>
                <w:rFonts w:ascii="Times New Roman" w:hAnsi="Times New Roman"/>
                <w:sz w:val="20"/>
              </w:rPr>
              <w:t>0.846</w:t>
            </w:r>
          </w:p>
        </w:tc>
        <w:tc>
          <w:tcPr>
            <w:tcW w:type="dxa" w:w="1337"/>
          </w:tcPr>
          <w:p>
            <w:r>
              <w:rPr>
                <w:rFonts w:ascii="Times New Roman" w:hAnsi="Times New Roman"/>
                <w:sz w:val="20"/>
              </w:rPr>
              <w:t>0.973</w:t>
            </w:r>
          </w:p>
        </w:tc>
      </w:tr>
      <w:tr>
        <w:tc>
          <w:tcPr>
            <w:tcW w:type="dxa" w:w="1337"/>
          </w:tcPr>
          <w:p>
            <w:r>
              <w:rPr>
                <w:rFonts w:ascii="Times New Roman" w:hAnsi="Times New Roman"/>
                <w:sz w:val="20"/>
              </w:rPr>
              <w:t>epilepsy_hx</w:t>
            </w:r>
          </w:p>
        </w:tc>
        <w:tc>
          <w:tcPr>
            <w:tcW w:type="dxa" w:w="1337"/>
          </w:tcPr>
          <w:p>
            <w:r>
              <w:rPr>
                <w:rFonts w:ascii="Times New Roman" w:hAnsi="Times New Roman"/>
                <w:sz w:val="20"/>
              </w:rPr>
              <w:t>0.064</w:t>
            </w:r>
          </w:p>
        </w:tc>
        <w:tc>
          <w:tcPr>
            <w:tcW w:type="dxa" w:w="1337"/>
          </w:tcPr>
          <w:p>
            <w:r>
              <w:rPr>
                <w:rFonts w:ascii="Times New Roman" w:hAnsi="Times New Roman"/>
                <w:sz w:val="20"/>
              </w:rPr>
              <w:t>0.128</w:t>
            </w:r>
          </w:p>
        </w:tc>
        <w:tc>
          <w:tcPr>
            <w:tcW w:type="dxa" w:w="1337"/>
          </w:tcPr>
          <w:p>
            <w:r>
              <w:rPr>
                <w:rFonts w:ascii="Times New Roman" w:hAnsi="Times New Roman"/>
                <w:sz w:val="20"/>
              </w:rPr>
              <w:t>-0.187</w:t>
            </w:r>
          </w:p>
        </w:tc>
        <w:tc>
          <w:tcPr>
            <w:tcW w:type="dxa" w:w="1337"/>
          </w:tcPr>
          <w:p>
            <w:r>
              <w:rPr>
                <w:rFonts w:ascii="Times New Roman" w:hAnsi="Times New Roman"/>
                <w:sz w:val="20"/>
              </w:rPr>
              <w:t>0.314</w:t>
            </w:r>
          </w:p>
        </w:tc>
        <w:tc>
          <w:tcPr>
            <w:tcW w:type="dxa" w:w="1337"/>
          </w:tcPr>
          <w:p>
            <w:r>
              <w:rPr>
                <w:rFonts w:ascii="Times New Roman" w:hAnsi="Times New Roman"/>
                <w:sz w:val="20"/>
              </w:rPr>
              <w:t>0.618</w:t>
            </w:r>
          </w:p>
        </w:tc>
        <w:tc>
          <w:tcPr>
            <w:tcW w:type="dxa" w:w="1337"/>
          </w:tcPr>
          <w:p>
            <w:r>
              <w:rPr>
                <w:rFonts w:ascii="Times New Roman" w:hAnsi="Times New Roman"/>
                <w:sz w:val="20"/>
              </w:rPr>
              <w:t>1.066</w:t>
            </w:r>
          </w:p>
        </w:tc>
      </w:tr>
      <w:tr>
        <w:tc>
          <w:tcPr>
            <w:tcW w:type="dxa" w:w="1337"/>
          </w:tcPr>
          <w:p>
            <w:r>
              <w:rPr>
                <w:rFonts w:ascii="Times New Roman" w:hAnsi="Times New Roman"/>
                <w:sz w:val="20"/>
              </w:rPr>
              <w:t>num_prev_sdh</w:t>
            </w:r>
          </w:p>
        </w:tc>
        <w:tc>
          <w:tcPr>
            <w:tcW w:type="dxa" w:w="1337"/>
          </w:tcPr>
          <w:p>
            <w:r>
              <w:rPr>
                <w:rFonts w:ascii="Times New Roman" w:hAnsi="Times New Roman"/>
                <w:sz w:val="20"/>
              </w:rPr>
              <w:t>0.121</w:t>
            </w:r>
          </w:p>
        </w:tc>
        <w:tc>
          <w:tcPr>
            <w:tcW w:type="dxa" w:w="1337"/>
          </w:tcPr>
          <w:p>
            <w:r>
              <w:rPr>
                <w:rFonts w:ascii="Times New Roman" w:hAnsi="Times New Roman"/>
                <w:sz w:val="20"/>
              </w:rPr>
              <w:t>0.158</w:t>
            </w:r>
          </w:p>
        </w:tc>
        <w:tc>
          <w:tcPr>
            <w:tcW w:type="dxa" w:w="1337"/>
          </w:tcPr>
          <w:p>
            <w:r>
              <w:rPr>
                <w:rFonts w:ascii="Times New Roman" w:hAnsi="Times New Roman"/>
                <w:sz w:val="20"/>
              </w:rPr>
              <w:t>-0.188</w:t>
            </w:r>
          </w:p>
        </w:tc>
        <w:tc>
          <w:tcPr>
            <w:tcW w:type="dxa" w:w="1337"/>
          </w:tcPr>
          <w:p>
            <w:r>
              <w:rPr>
                <w:rFonts w:ascii="Times New Roman" w:hAnsi="Times New Roman"/>
                <w:sz w:val="20"/>
              </w:rPr>
              <w:t>0.431</w:t>
            </w:r>
          </w:p>
        </w:tc>
        <w:tc>
          <w:tcPr>
            <w:tcW w:type="dxa" w:w="1337"/>
          </w:tcPr>
          <w:p>
            <w:r>
              <w:rPr>
                <w:rFonts w:ascii="Times New Roman" w:hAnsi="Times New Roman"/>
                <w:sz w:val="20"/>
              </w:rPr>
              <w:t>0.443</w:t>
            </w:r>
          </w:p>
        </w:tc>
        <w:tc>
          <w:tcPr>
            <w:tcW w:type="dxa" w:w="1337"/>
          </w:tcPr>
          <w:p>
            <w:r>
              <w:rPr>
                <w:rFonts w:ascii="Times New Roman" w:hAnsi="Times New Roman"/>
                <w:sz w:val="20"/>
              </w:rPr>
              <w:t>1.129</w:t>
            </w:r>
          </w:p>
        </w:tc>
      </w:tr>
      <w:tr>
        <w:tc>
          <w:tcPr>
            <w:tcW w:type="dxa" w:w="1337"/>
          </w:tcPr>
          <w:p>
            <w:r>
              <w:rPr>
                <w:rFonts w:ascii="Times New Roman" w:hAnsi="Times New Roman"/>
                <w:sz w:val="20"/>
              </w:rPr>
              <w:t>demographic</w:t>
            </w:r>
          </w:p>
        </w:tc>
        <w:tc>
          <w:tcPr>
            <w:tcW w:type="dxa" w:w="1337"/>
          </w:tcPr>
          <w:p>
            <w:r>
              <w:rPr>
                <w:rFonts w:ascii="Times New Roman" w:hAnsi="Times New Roman"/>
                <w:sz w:val="20"/>
              </w:rPr>
              <w:t>0.000</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1.000</w:t>
            </w:r>
          </w:p>
        </w:tc>
      </w:tr>
      <w:tr>
        <w:tc>
          <w:tcPr>
            <w:tcW w:type="dxa" w:w="1337"/>
          </w:tcPr>
          <w:p>
            <w:r>
              <w:rPr>
                <w:rFonts w:ascii="Times New Roman" w:hAnsi="Times New Roman"/>
                <w:sz w:val="20"/>
              </w:rPr>
              <w:t>procedures</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0.002</w:t>
            </w:r>
          </w:p>
        </w:tc>
        <w:tc>
          <w:tcPr>
            <w:tcW w:type="dxa" w:w="1337"/>
          </w:tcPr>
          <w:p>
            <w:r>
              <w:rPr>
                <w:rFonts w:ascii="Times New Roman" w:hAnsi="Times New Roman"/>
                <w:sz w:val="20"/>
              </w:rPr>
              <w:t>1.000</w:t>
            </w:r>
          </w:p>
        </w:tc>
      </w:tr>
      <w:tr>
        <w:tc>
          <w:tcPr>
            <w:tcW w:type="dxa" w:w="1337"/>
          </w:tcPr>
          <w:p>
            <w:r>
              <w:rPr>
                <w:rFonts w:ascii="Times New Roman" w:hAnsi="Times New Roman"/>
                <w:sz w:val="20"/>
              </w:rPr>
              <w:t>surg_decompression</w:t>
            </w:r>
          </w:p>
        </w:tc>
        <w:tc>
          <w:tcPr>
            <w:tcW w:type="dxa" w:w="1337"/>
          </w:tcPr>
          <w:p>
            <w:r>
              <w:rPr>
                <w:rFonts w:ascii="Times New Roman" w:hAnsi="Times New Roman"/>
                <w:sz w:val="20"/>
              </w:rPr>
              <w:t>-0.683</w:t>
            </w:r>
          </w:p>
        </w:tc>
        <w:tc>
          <w:tcPr>
            <w:tcW w:type="dxa" w:w="1337"/>
          </w:tcPr>
          <w:p>
            <w:r>
              <w:rPr>
                <w:rFonts w:ascii="Times New Roman" w:hAnsi="Times New Roman"/>
                <w:sz w:val="20"/>
              </w:rPr>
              <w:t>0.213</w:t>
            </w:r>
          </w:p>
        </w:tc>
        <w:tc>
          <w:tcPr>
            <w:tcW w:type="dxa" w:w="1337"/>
          </w:tcPr>
          <w:p>
            <w:r>
              <w:rPr>
                <w:rFonts w:ascii="Times New Roman" w:hAnsi="Times New Roman"/>
                <w:sz w:val="20"/>
              </w:rPr>
              <w:t>-1.101</w:t>
            </w:r>
          </w:p>
        </w:tc>
        <w:tc>
          <w:tcPr>
            <w:tcW w:type="dxa" w:w="1337"/>
          </w:tcPr>
          <w:p>
            <w:r>
              <w:rPr>
                <w:rFonts w:ascii="Times New Roman" w:hAnsi="Times New Roman"/>
                <w:sz w:val="20"/>
              </w:rPr>
              <w:t>-0.266</w:t>
            </w:r>
          </w:p>
        </w:tc>
        <w:tc>
          <w:tcPr>
            <w:tcW w:type="dxa" w:w="1337"/>
          </w:tcPr>
          <w:p>
            <w:r>
              <w:rPr>
                <w:rFonts w:ascii="Times New Roman" w:hAnsi="Times New Roman"/>
                <w:sz w:val="20"/>
              </w:rPr>
              <w:t>0.001</w:t>
            </w:r>
          </w:p>
        </w:tc>
        <w:tc>
          <w:tcPr>
            <w:tcW w:type="dxa" w:w="1337"/>
          </w:tcPr>
          <w:p>
            <w:r>
              <w:rPr>
                <w:rFonts w:ascii="Times New Roman" w:hAnsi="Times New Roman"/>
                <w:sz w:val="20"/>
              </w:rPr>
              <w:t>0.505</w:t>
            </w:r>
          </w:p>
        </w:tc>
      </w:tr>
      <w:tr>
        <w:tc>
          <w:tcPr>
            <w:tcW w:type="dxa" w:w="1337"/>
          </w:tcPr>
          <w:p>
            <w:r>
              <w:rPr>
                <w:rFonts w:ascii="Times New Roman" w:hAnsi="Times New Roman"/>
                <w:sz w:val="20"/>
              </w:rPr>
              <w:t>mma_embo</w:t>
            </w:r>
          </w:p>
        </w:tc>
        <w:tc>
          <w:tcPr>
            <w:tcW w:type="dxa" w:w="1337"/>
          </w:tcPr>
          <w:p>
            <w:r>
              <w:rPr>
                <w:rFonts w:ascii="Times New Roman" w:hAnsi="Times New Roman"/>
                <w:sz w:val="20"/>
              </w:rPr>
              <w:t>-0.414</w:t>
            </w:r>
          </w:p>
        </w:tc>
        <w:tc>
          <w:tcPr>
            <w:tcW w:type="dxa" w:w="1337"/>
          </w:tcPr>
          <w:p>
            <w:r>
              <w:rPr>
                <w:rFonts w:ascii="Times New Roman" w:hAnsi="Times New Roman"/>
                <w:sz w:val="20"/>
              </w:rPr>
              <w:t>0.182</w:t>
            </w:r>
          </w:p>
        </w:tc>
        <w:tc>
          <w:tcPr>
            <w:tcW w:type="dxa" w:w="1337"/>
          </w:tcPr>
          <w:p>
            <w:r>
              <w:rPr>
                <w:rFonts w:ascii="Times New Roman" w:hAnsi="Times New Roman"/>
                <w:sz w:val="20"/>
              </w:rPr>
              <w:t>-0.771</w:t>
            </w:r>
          </w:p>
        </w:tc>
        <w:tc>
          <w:tcPr>
            <w:tcW w:type="dxa" w:w="1337"/>
          </w:tcPr>
          <w:p>
            <w:r>
              <w:rPr>
                <w:rFonts w:ascii="Times New Roman" w:hAnsi="Times New Roman"/>
                <w:sz w:val="20"/>
              </w:rPr>
              <w:t>-0.058</w:t>
            </w:r>
          </w:p>
        </w:tc>
        <w:tc>
          <w:tcPr>
            <w:tcW w:type="dxa" w:w="1337"/>
          </w:tcPr>
          <w:p>
            <w:r>
              <w:rPr>
                <w:rFonts w:ascii="Times New Roman" w:hAnsi="Times New Roman"/>
                <w:sz w:val="20"/>
              </w:rPr>
              <w:t>0.023</w:t>
            </w:r>
          </w:p>
        </w:tc>
        <w:tc>
          <w:tcPr>
            <w:tcW w:type="dxa" w:w="1337"/>
          </w:tcPr>
          <w:p>
            <w:r>
              <w:rPr>
                <w:rFonts w:ascii="Times New Roman" w:hAnsi="Times New Roman"/>
                <w:sz w:val="20"/>
              </w:rPr>
              <w:t>0.661</w:t>
            </w:r>
          </w:p>
        </w:tc>
      </w:tr>
      <w:tr>
        <w:tc>
          <w:tcPr>
            <w:tcW w:type="dxa" w:w="1337"/>
          </w:tcPr>
          <w:p>
            <w:r>
              <w:rPr>
                <w:rFonts w:ascii="Times New Roman" w:hAnsi="Times New Roman"/>
                <w:sz w:val="20"/>
              </w:rPr>
              <w:t>drainage</w:t>
            </w:r>
          </w:p>
        </w:tc>
        <w:tc>
          <w:tcPr>
            <w:tcW w:type="dxa" w:w="1337"/>
          </w:tcPr>
          <w:p>
            <w:r>
              <w:rPr>
                <w:rFonts w:ascii="Times New Roman" w:hAnsi="Times New Roman"/>
                <w:sz w:val="20"/>
              </w:rPr>
              <w:t>0.367</w:t>
            </w:r>
          </w:p>
        </w:tc>
        <w:tc>
          <w:tcPr>
            <w:tcW w:type="dxa" w:w="1337"/>
          </w:tcPr>
          <w:p>
            <w:r>
              <w:rPr>
                <w:rFonts w:ascii="Times New Roman" w:hAnsi="Times New Roman"/>
                <w:sz w:val="20"/>
              </w:rPr>
              <w:t>0.103</w:t>
            </w:r>
          </w:p>
        </w:tc>
        <w:tc>
          <w:tcPr>
            <w:tcW w:type="dxa" w:w="1337"/>
          </w:tcPr>
          <w:p>
            <w:r>
              <w:rPr>
                <w:rFonts w:ascii="Times New Roman" w:hAnsi="Times New Roman"/>
                <w:sz w:val="20"/>
              </w:rPr>
              <w:t>0.166</w:t>
            </w:r>
          </w:p>
        </w:tc>
        <w:tc>
          <w:tcPr>
            <w:tcW w:type="dxa" w:w="1337"/>
          </w:tcPr>
          <w:p>
            <w:r>
              <w:rPr>
                <w:rFonts w:ascii="Times New Roman" w:hAnsi="Times New Roman"/>
                <w:sz w:val="20"/>
              </w:rPr>
              <w:t>0.568</w:t>
            </w:r>
          </w:p>
        </w:tc>
        <w:tc>
          <w:tcPr>
            <w:tcW w:type="dxa" w:w="1337"/>
          </w:tcPr>
          <w:p>
            <w:r>
              <w:rPr>
                <w:rFonts w:ascii="Times New Roman" w:hAnsi="Times New Roman"/>
                <w:sz w:val="20"/>
              </w:rPr>
              <w:t>0.000</w:t>
            </w:r>
          </w:p>
        </w:tc>
        <w:tc>
          <w:tcPr>
            <w:tcW w:type="dxa" w:w="1337"/>
          </w:tcPr>
          <w:p>
            <w:r>
              <w:rPr>
                <w:rFonts w:ascii="Times New Roman" w:hAnsi="Times New Roman"/>
                <w:sz w:val="20"/>
              </w:rPr>
              <w:t>1.443</w:t>
            </w:r>
          </w:p>
        </w:tc>
      </w:tr>
      <w:tr>
        <w:tc>
          <w:tcPr>
            <w:tcW w:type="dxa" w:w="1337"/>
          </w:tcPr>
          <w:p>
            <w:r>
              <w:rPr>
                <w:rFonts w:ascii="Times New Roman" w:hAnsi="Times New Roman"/>
                <w:sz w:val="20"/>
              </w:rPr>
              <w:t>postop_gcs</w:t>
            </w:r>
          </w:p>
        </w:tc>
        <w:tc>
          <w:tcPr>
            <w:tcW w:type="dxa" w:w="1337"/>
          </w:tcPr>
          <w:p>
            <w:r>
              <w:rPr>
                <w:rFonts w:ascii="Times New Roman" w:hAnsi="Times New Roman"/>
                <w:sz w:val="20"/>
              </w:rPr>
              <w:t>-0.108</w:t>
            </w:r>
          </w:p>
        </w:tc>
        <w:tc>
          <w:tcPr>
            <w:tcW w:type="dxa" w:w="1337"/>
          </w:tcPr>
          <w:p>
            <w:r>
              <w:rPr>
                <w:rFonts w:ascii="Times New Roman" w:hAnsi="Times New Roman"/>
                <w:sz w:val="20"/>
              </w:rPr>
              <w:t>0.137</w:t>
            </w:r>
          </w:p>
        </w:tc>
        <w:tc>
          <w:tcPr>
            <w:tcW w:type="dxa" w:w="1337"/>
          </w:tcPr>
          <w:p>
            <w:r>
              <w:rPr>
                <w:rFonts w:ascii="Times New Roman" w:hAnsi="Times New Roman"/>
                <w:sz w:val="20"/>
              </w:rPr>
              <w:t>-0.376</w:t>
            </w:r>
          </w:p>
        </w:tc>
        <w:tc>
          <w:tcPr>
            <w:tcW w:type="dxa" w:w="1337"/>
          </w:tcPr>
          <w:p>
            <w:r>
              <w:rPr>
                <w:rFonts w:ascii="Times New Roman" w:hAnsi="Times New Roman"/>
                <w:sz w:val="20"/>
              </w:rPr>
              <w:t>0.160</w:t>
            </w:r>
          </w:p>
        </w:tc>
        <w:tc>
          <w:tcPr>
            <w:tcW w:type="dxa" w:w="1337"/>
          </w:tcPr>
          <w:p>
            <w:r>
              <w:rPr>
                <w:rFonts w:ascii="Times New Roman" w:hAnsi="Times New Roman"/>
                <w:sz w:val="20"/>
              </w:rPr>
              <w:t>0.430</w:t>
            </w:r>
          </w:p>
        </w:tc>
        <w:tc>
          <w:tcPr>
            <w:tcW w:type="dxa" w:w="1337"/>
          </w:tcPr>
          <w:p>
            <w:r>
              <w:rPr>
                <w:rFonts w:ascii="Times New Roman" w:hAnsi="Times New Roman"/>
                <w:sz w:val="20"/>
              </w:rPr>
              <w:t>0.898</w:t>
            </w:r>
          </w:p>
        </w:tc>
      </w:tr>
    </w:tbl>
    <w:p>
      <w:pPr>
        <w:spacing w:line="360" w:lineRule="auto" w:after="120"/>
        <w:jc w:val="both"/>
      </w:pPr>
      <w:r>
        <w:rPr>
          <w:rFonts w:ascii="Times New Roman" w:hAnsi="Times New Roman"/>
          <w:b w:val="0"/>
          <w:i w:val="0"/>
          <w:sz w:val="22"/>
        </w:rPr>
        <w:t>Deployed-model calibration. Out-of-fold, the deployed model achieves calibration-in-the-large near zero and low expected calibration error; the recalibration slope exceeds one (under-dispersion), reflecting weak discrimination over a narrow probability range rather than mean miscalibration. Calibration metrics are released as results/40_postopB_calibration_post_platt.csv.</w:t>
      </w:r>
    </w:p>
    <w:p>
      <w:pPr>
        <w:jc w:val="center"/>
      </w:pPr>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40_postopB_calibration.png"/>
                    <pic:cNvPicPr/>
                  </pic:nvPicPr>
                  <pic:blipFill>
                    <a:blip r:embed="rId9"/>
                    <a:stretch>
                      <a:fillRect/>
                    </a:stretch>
                  </pic:blipFill>
                  <pic:spPr>
                    <a:xfrm>
                      <a:off x="0" y="0"/>
                      <a:ext cx="5943600" cy="5943600"/>
                    </a:xfrm>
                    <a:prstGeom prst="rect"/>
                  </pic:spPr>
                </pic:pic>
              </a:graphicData>
            </a:graphic>
          </wp:inline>
        </w:drawing>
      </w:r>
    </w:p>
    <w:p>
      <w:pPr>
        <w:jc w:val="left"/>
      </w:pPr>
      <w:r>
        <w:rPr>
          <w:rFonts w:ascii="Times New Roman" w:hAnsi="Times New Roman"/>
          <w:i/>
          <w:sz w:val="20"/>
        </w:rPr>
        <w:t>Figure S8.  Reliability curve of the deployed postoperative-B model after Platt scaling.</w:t>
      </w:r>
    </w:p>
    <w:p>
      <w:r>
        <w:br w:type="page"/>
      </w:r>
    </w:p>
    <w:p>
      <w:pPr>
        <w:pStyle w:val="Heading1"/>
      </w:pPr>
      <w:r>
        <w:rPr>
          <w:rFonts w:ascii="Times New Roman" w:hAnsi="Times New Roman"/>
          <w:color w:val="141F3A"/>
        </w:rPr>
        <w:t>Supplementary Tables</w:t>
      </w:r>
    </w:p>
    <w:p>
      <w:r>
        <w:rPr>
          <w:rFonts w:ascii="Times New Roman" w:hAnsi="Times New Roman"/>
          <w:b/>
          <w:sz w:val="22"/>
        </w:rPr>
        <w:t>Table S1.  Eleven-method modelling battery — full numeric results.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feature_set</w:t>
            </w:r>
          </w:p>
        </w:tc>
        <w:tc>
          <w:tcPr>
            <w:tcW w:type="dxa" w:w="1040"/>
          </w:tcPr>
          <w:p>
            <w:r>
              <w:rPr>
                <w:rFonts w:ascii="Times New Roman" w:hAnsi="Times New Roman"/>
                <w:b/>
                <w:sz w:val="20"/>
              </w:rPr>
              <w:t>method</w:t>
            </w:r>
          </w:p>
        </w:tc>
        <w:tc>
          <w:tcPr>
            <w:tcW w:type="dxa" w:w="1040"/>
          </w:tcPr>
          <w:p>
            <w:r>
              <w:rPr>
                <w:rFonts w:ascii="Times New Roman" w:hAnsi="Times New Roman"/>
                <w:b/>
                <w:sz w:val="20"/>
              </w:rPr>
              <w:t>auc</w:t>
            </w:r>
          </w:p>
        </w:tc>
        <w:tc>
          <w:tcPr>
            <w:tcW w:type="dxa" w:w="1040"/>
          </w:tcPr>
          <w:p>
            <w:r>
              <w:rPr>
                <w:rFonts w:ascii="Times New Roman" w:hAnsi="Times New Roman"/>
                <w:b/>
                <w:sz w:val="20"/>
              </w:rPr>
              <w:t>ci_lo</w:t>
            </w:r>
          </w:p>
        </w:tc>
        <w:tc>
          <w:tcPr>
            <w:tcW w:type="dxa" w:w="1040"/>
          </w:tcPr>
          <w:p>
            <w:r>
              <w:rPr>
                <w:rFonts w:ascii="Times New Roman" w:hAnsi="Times New Roman"/>
                <w:b/>
                <w:sz w:val="20"/>
              </w:rPr>
              <w:t>ci_hi</w:t>
            </w:r>
          </w:p>
        </w:tc>
        <w:tc>
          <w:tcPr>
            <w:tcW w:type="dxa" w:w="1040"/>
          </w:tcPr>
          <w:p>
            <w:r>
              <w:rPr>
                <w:rFonts w:ascii="Times New Roman" w:hAnsi="Times New Roman"/>
                <w:b/>
                <w:sz w:val="20"/>
              </w:rPr>
              <w:t>prauc</w:t>
            </w:r>
          </w:p>
        </w:tc>
        <w:tc>
          <w:tcPr>
            <w:tcW w:type="dxa" w:w="1040"/>
          </w:tcPr>
          <w:p>
            <w:r>
              <w:rPr>
                <w:rFonts w:ascii="Times New Roman" w:hAnsi="Times New Roman"/>
                <w:b/>
                <w:sz w:val="20"/>
              </w:rPr>
              <w:t>brier</w:t>
            </w:r>
          </w:p>
        </w:tc>
        <w:tc>
          <w:tcPr>
            <w:tcW w:type="dxa" w:w="1040"/>
          </w:tcPr>
          <w:p>
            <w:r>
              <w:rPr>
                <w:rFonts w:ascii="Times New Roman" w:hAnsi="Times New Roman"/>
                <w:b/>
                <w:sz w:val="20"/>
              </w:rPr>
              <w:t>nb_5pct</w:t>
            </w:r>
          </w:p>
        </w:tc>
        <w:tc>
          <w:tcPr>
            <w:tcW w:type="dxa" w:w="1040"/>
          </w:tcPr>
          <w:p>
            <w:r>
              <w:rPr>
                <w:rFonts w:ascii="Times New Roman" w:hAnsi="Times New Roman"/>
                <w:b/>
                <w:sz w:val="20"/>
              </w:rPr>
              <w:t>nb_10pct</w:t>
            </w:r>
          </w:p>
        </w:tc>
      </w:tr>
      <w:tr>
        <w:tc>
          <w:tcPr>
            <w:tcW w:type="dxa" w:w="1040"/>
          </w:tcPr>
          <w:p>
            <w:r>
              <w:rPr>
                <w:rFonts w:ascii="Times New Roman" w:hAnsi="Times New Roman"/>
                <w:sz w:val="20"/>
              </w:rPr>
              <w:t>postop_A</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0.676</w:t>
            </w:r>
          </w:p>
        </w:tc>
        <w:tc>
          <w:tcPr>
            <w:tcW w:type="dxa" w:w="1040"/>
          </w:tcPr>
          <w:p>
            <w:r>
              <w:rPr>
                <w:rFonts w:ascii="Times New Roman" w:hAnsi="Times New Roman"/>
                <w:sz w:val="20"/>
              </w:rPr>
              <w:t>0.595</w:t>
            </w:r>
          </w:p>
        </w:tc>
        <w:tc>
          <w:tcPr>
            <w:tcW w:type="dxa" w:w="1040"/>
          </w:tcPr>
          <w:p>
            <w:r>
              <w:rPr>
                <w:rFonts w:ascii="Times New Roman" w:hAnsi="Times New Roman"/>
                <w:sz w:val="20"/>
              </w:rPr>
              <w:t>0.760</w:t>
            </w:r>
          </w:p>
        </w:tc>
        <w:tc>
          <w:tcPr>
            <w:tcW w:type="dxa" w:w="1040"/>
          </w:tcPr>
          <w:p>
            <w:r>
              <w:rPr>
                <w:rFonts w:ascii="Times New Roman" w:hAnsi="Times New Roman"/>
                <w:sz w:val="20"/>
              </w:rPr>
              <w:t>0.137</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postop_A</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0.690</w:t>
            </w:r>
          </w:p>
        </w:tc>
        <w:tc>
          <w:tcPr>
            <w:tcW w:type="dxa" w:w="1040"/>
          </w:tcPr>
          <w:p>
            <w:r>
              <w:rPr>
                <w:rFonts w:ascii="Times New Roman" w:hAnsi="Times New Roman"/>
                <w:sz w:val="20"/>
              </w:rPr>
              <w:t>0.607</w:t>
            </w:r>
          </w:p>
        </w:tc>
        <w:tc>
          <w:tcPr>
            <w:tcW w:type="dxa" w:w="1040"/>
          </w:tcPr>
          <w:p>
            <w:r>
              <w:rPr>
                <w:rFonts w:ascii="Times New Roman" w:hAnsi="Times New Roman"/>
                <w:sz w:val="20"/>
              </w:rPr>
              <w:t>0.774</w:t>
            </w:r>
          </w:p>
        </w:tc>
        <w:tc>
          <w:tcPr>
            <w:tcW w:type="dxa" w:w="1040"/>
          </w:tcPr>
          <w:p>
            <w:r>
              <w:rPr>
                <w:rFonts w:ascii="Times New Roman" w:hAnsi="Times New Roman"/>
                <w:sz w:val="20"/>
              </w:rPr>
              <w:t>0.159</w:t>
            </w:r>
          </w:p>
        </w:tc>
        <w:tc>
          <w:tcPr>
            <w:tcW w:type="dxa" w:w="1040"/>
          </w:tcPr>
          <w:p>
            <w:r>
              <w:rPr>
                <w:rFonts w:ascii="Times New Roman" w:hAnsi="Times New Roman"/>
                <w:sz w:val="20"/>
              </w:rPr>
              <w:t>0.072</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0.682</w:t>
            </w:r>
          </w:p>
        </w:tc>
        <w:tc>
          <w:tcPr>
            <w:tcW w:type="dxa" w:w="1040"/>
          </w:tcPr>
          <w:p>
            <w:r>
              <w:rPr>
                <w:rFonts w:ascii="Times New Roman" w:hAnsi="Times New Roman"/>
                <w:sz w:val="20"/>
              </w:rPr>
              <w:t>0.597</w:t>
            </w:r>
          </w:p>
        </w:tc>
        <w:tc>
          <w:tcPr>
            <w:tcW w:type="dxa" w:w="1040"/>
          </w:tcPr>
          <w:p>
            <w:r>
              <w:rPr>
                <w:rFonts w:ascii="Times New Roman" w:hAnsi="Times New Roman"/>
                <w:sz w:val="20"/>
              </w:rPr>
              <w:t>0.761</w:t>
            </w:r>
          </w:p>
        </w:tc>
        <w:tc>
          <w:tcPr>
            <w:tcW w:type="dxa" w:w="1040"/>
          </w:tcPr>
          <w:p>
            <w:r>
              <w:rPr>
                <w:rFonts w:ascii="Times New Roman" w:hAnsi="Times New Roman"/>
                <w:sz w:val="20"/>
              </w:rPr>
              <w:t>0.148</w:t>
            </w:r>
          </w:p>
        </w:tc>
        <w:tc>
          <w:tcPr>
            <w:tcW w:type="dxa" w:w="1040"/>
          </w:tcPr>
          <w:p>
            <w:r>
              <w:rPr>
                <w:rFonts w:ascii="Times New Roman" w:hAnsi="Times New Roman"/>
                <w:sz w:val="20"/>
              </w:rPr>
              <w:t>0.074</w:t>
            </w:r>
          </w:p>
        </w:tc>
        <w:tc>
          <w:tcPr>
            <w:tcW w:type="dxa" w:w="1040"/>
          </w:tcPr>
          <w:p>
            <w:r>
              <w:rPr>
                <w:rFonts w:ascii="Times New Roman" w:hAnsi="Times New Roman"/>
                <w:sz w:val="20"/>
              </w:rPr>
              <w:t>0.030</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postop_A</w:t>
            </w:r>
          </w:p>
        </w:tc>
        <w:tc>
          <w:tcPr>
            <w:tcW w:type="dxa" w:w="1040"/>
          </w:tcPr>
          <w:p>
            <w:r>
              <w:rPr>
                <w:rFonts w:ascii="Times New Roman" w:hAnsi="Times New Roman"/>
                <w:sz w:val="20"/>
              </w:rPr>
              <w:t>SVM-SMOTE + RF</w:t>
            </w:r>
          </w:p>
        </w:tc>
        <w:tc>
          <w:tcPr>
            <w:tcW w:type="dxa" w:w="1040"/>
          </w:tcPr>
          <w:p>
            <w:r>
              <w:rPr>
                <w:rFonts w:ascii="Times New Roman" w:hAnsi="Times New Roman"/>
                <w:sz w:val="20"/>
              </w:rPr>
              <w:t>0.678</w:t>
            </w:r>
          </w:p>
        </w:tc>
        <w:tc>
          <w:tcPr>
            <w:tcW w:type="dxa" w:w="1040"/>
          </w:tcPr>
          <w:p>
            <w:r>
              <w:rPr>
                <w:rFonts w:ascii="Times New Roman" w:hAnsi="Times New Roman"/>
                <w:sz w:val="20"/>
              </w:rPr>
              <w:t>0.593</w:t>
            </w:r>
          </w:p>
        </w:tc>
        <w:tc>
          <w:tcPr>
            <w:tcW w:type="dxa" w:w="1040"/>
          </w:tcPr>
          <w:p>
            <w:r>
              <w:rPr>
                <w:rFonts w:ascii="Times New Roman" w:hAnsi="Times New Roman"/>
                <w:sz w:val="20"/>
              </w:rPr>
              <w:t>0.758</w:t>
            </w:r>
          </w:p>
        </w:tc>
        <w:tc>
          <w:tcPr>
            <w:tcW w:type="dxa" w:w="1040"/>
          </w:tcPr>
          <w:p>
            <w:r>
              <w:rPr>
                <w:rFonts w:ascii="Times New Roman" w:hAnsi="Times New Roman"/>
                <w:sz w:val="20"/>
              </w:rPr>
              <w:t>0.150</w:t>
            </w:r>
          </w:p>
        </w:tc>
        <w:tc>
          <w:tcPr>
            <w:tcW w:type="dxa" w:w="1040"/>
          </w:tcPr>
          <w:p>
            <w:r>
              <w:rPr>
                <w:rFonts w:ascii="Times New Roman" w:hAnsi="Times New Roman"/>
                <w:sz w:val="20"/>
              </w:rPr>
              <w:t>0.073</w:t>
            </w:r>
          </w:p>
        </w:tc>
        <w:tc>
          <w:tcPr>
            <w:tcW w:type="dxa" w:w="1040"/>
          </w:tcPr>
          <w:p>
            <w:r>
              <w:rPr>
                <w:rFonts w:ascii="Times New Roman" w:hAnsi="Times New Roman"/>
                <w:sz w:val="20"/>
              </w:rPr>
              <w:t>0.028</w:t>
            </w:r>
          </w:p>
        </w:tc>
        <w:tc>
          <w:tcPr>
            <w:tcW w:type="dxa" w:w="1040"/>
          </w:tcPr>
          <w:p>
            <w:r>
              <w:rPr>
                <w:rFonts w:ascii="Times New Roman" w:hAnsi="Times New Roman"/>
                <w:sz w:val="20"/>
              </w:rPr>
              <w:t>0.007</w:t>
            </w:r>
          </w:p>
        </w:tc>
      </w:tr>
      <w:tr>
        <w:tc>
          <w:tcPr>
            <w:tcW w:type="dxa" w:w="1040"/>
          </w:tcPr>
          <w:p>
            <w:r>
              <w:rPr>
                <w:rFonts w:ascii="Times New Roman" w:hAnsi="Times New Roman"/>
                <w:sz w:val="20"/>
              </w:rPr>
              <w:t>postop_A</w:t>
            </w:r>
          </w:p>
        </w:tc>
        <w:tc>
          <w:tcPr>
            <w:tcW w:type="dxa" w:w="1040"/>
          </w:tcPr>
          <w:p>
            <w:r>
              <w:rPr>
                <w:rFonts w:ascii="Times New Roman" w:hAnsi="Times New Roman"/>
                <w:sz w:val="20"/>
              </w:rPr>
              <w:t>ADASYN + RF</w:t>
            </w:r>
          </w:p>
        </w:tc>
        <w:tc>
          <w:tcPr>
            <w:tcW w:type="dxa" w:w="1040"/>
          </w:tcPr>
          <w:p>
            <w:r>
              <w:rPr>
                <w:rFonts w:ascii="Times New Roman" w:hAnsi="Times New Roman"/>
                <w:sz w:val="20"/>
              </w:rPr>
              <w:t>0.686</w:t>
            </w:r>
          </w:p>
        </w:tc>
        <w:tc>
          <w:tcPr>
            <w:tcW w:type="dxa" w:w="1040"/>
          </w:tcPr>
          <w:p>
            <w:r>
              <w:rPr>
                <w:rFonts w:ascii="Times New Roman" w:hAnsi="Times New Roman"/>
                <w:sz w:val="20"/>
              </w:rPr>
              <w:t>0.610</w:t>
            </w:r>
          </w:p>
        </w:tc>
        <w:tc>
          <w:tcPr>
            <w:tcW w:type="dxa" w:w="1040"/>
          </w:tcPr>
          <w:p>
            <w:r>
              <w:rPr>
                <w:rFonts w:ascii="Times New Roman" w:hAnsi="Times New Roman"/>
                <w:sz w:val="20"/>
              </w:rPr>
              <w:t>0.762</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0.006</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SMOTEENN + RF</w:t>
            </w:r>
          </w:p>
        </w:tc>
        <w:tc>
          <w:tcPr>
            <w:tcW w:type="dxa" w:w="1040"/>
          </w:tcPr>
          <w:p>
            <w:r>
              <w:rPr>
                <w:rFonts w:ascii="Times New Roman" w:hAnsi="Times New Roman"/>
                <w:sz w:val="20"/>
              </w:rPr>
              <w:t>0.687</w:t>
            </w:r>
          </w:p>
        </w:tc>
        <w:tc>
          <w:tcPr>
            <w:tcW w:type="dxa" w:w="1040"/>
          </w:tcPr>
          <w:p>
            <w:r>
              <w:rPr>
                <w:rFonts w:ascii="Times New Roman" w:hAnsi="Times New Roman"/>
                <w:sz w:val="20"/>
              </w:rPr>
              <w:t>0.613</w:t>
            </w:r>
          </w:p>
        </w:tc>
        <w:tc>
          <w:tcPr>
            <w:tcW w:type="dxa" w:w="1040"/>
          </w:tcPr>
          <w:p>
            <w:r>
              <w:rPr>
                <w:rFonts w:ascii="Times New Roman" w:hAnsi="Times New Roman"/>
                <w:sz w:val="20"/>
              </w:rPr>
              <w:t>0.761</w:t>
            </w:r>
          </w:p>
        </w:tc>
        <w:tc>
          <w:tcPr>
            <w:tcW w:type="dxa" w:w="1040"/>
          </w:tcPr>
          <w:p>
            <w:r>
              <w:rPr>
                <w:rFonts w:ascii="Times New Roman" w:hAnsi="Times New Roman"/>
                <w:sz w:val="20"/>
              </w:rPr>
              <w:t>0.134</w:t>
            </w:r>
          </w:p>
        </w:tc>
        <w:tc>
          <w:tcPr>
            <w:tcW w:type="dxa" w:w="1040"/>
          </w:tcPr>
          <w:p>
            <w:r>
              <w:rPr>
                <w:rFonts w:ascii="Times New Roman" w:hAnsi="Times New Roman"/>
                <w:sz w:val="20"/>
              </w:rPr>
              <w:t>0.106</w:t>
            </w:r>
          </w:p>
        </w:tc>
        <w:tc>
          <w:tcPr>
            <w:tcW w:type="dxa" w:w="1040"/>
          </w:tcPr>
          <w:p>
            <w:r>
              <w:rPr>
                <w:rFonts w:ascii="Times New Roman" w:hAnsi="Times New Roman"/>
                <w:sz w:val="20"/>
              </w:rPr>
              <w:t>0.029</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SMOTETomek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0.630</w:t>
            </w:r>
          </w:p>
        </w:tc>
        <w:tc>
          <w:tcPr>
            <w:tcW w:type="dxa" w:w="1040"/>
          </w:tcPr>
          <w:p>
            <w:r>
              <w:rPr>
                <w:rFonts w:ascii="Times New Roman" w:hAnsi="Times New Roman"/>
                <w:sz w:val="20"/>
              </w:rPr>
              <w:t>0.542</w:t>
            </w:r>
          </w:p>
        </w:tc>
        <w:tc>
          <w:tcPr>
            <w:tcW w:type="dxa" w:w="1040"/>
          </w:tcPr>
          <w:p>
            <w:r>
              <w:rPr>
                <w:rFonts w:ascii="Times New Roman" w:hAnsi="Times New Roman"/>
                <w:sz w:val="20"/>
              </w:rPr>
              <w:t>0.725</w:t>
            </w:r>
          </w:p>
        </w:tc>
        <w:tc>
          <w:tcPr>
            <w:tcW w:type="dxa" w:w="1040"/>
          </w:tcPr>
          <w:p>
            <w:r>
              <w:rPr>
                <w:rFonts w:ascii="Times New Roman" w:hAnsi="Times New Roman"/>
                <w:sz w:val="20"/>
              </w:rPr>
              <w:t>0.131</w:t>
            </w:r>
          </w:p>
        </w:tc>
        <w:tc>
          <w:tcPr>
            <w:tcW w:type="dxa" w:w="1040"/>
          </w:tcPr>
          <w:p>
            <w:r>
              <w:rPr>
                <w:rFonts w:ascii="Times New Roman" w:hAnsi="Times New Roman"/>
                <w:sz w:val="20"/>
              </w:rPr>
              <w:t>0.084</w:t>
            </w:r>
          </w:p>
        </w:tc>
        <w:tc>
          <w:tcPr>
            <w:tcW w:type="dxa" w:w="1040"/>
          </w:tcPr>
          <w:p>
            <w:r>
              <w:rPr>
                <w:rFonts w:ascii="Times New Roman" w:hAnsi="Times New Roman"/>
                <w:sz w:val="20"/>
              </w:rPr>
              <w:t>0.025</w:t>
            </w:r>
          </w:p>
        </w:tc>
        <w:tc>
          <w:tcPr>
            <w:tcW w:type="dxa" w:w="1040"/>
          </w:tcPr>
          <w:p>
            <w:r>
              <w:rPr>
                <w:rFonts w:ascii="Times New Roman" w:hAnsi="Times New Roman"/>
                <w:sz w:val="20"/>
              </w:rPr>
              <w:t>0.013</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0.533</w:t>
            </w:r>
          </w:p>
        </w:tc>
        <w:tc>
          <w:tcPr>
            <w:tcW w:type="dxa" w:w="1040"/>
          </w:tcPr>
          <w:p>
            <w:r>
              <w:rPr>
                <w:rFonts w:ascii="Times New Roman" w:hAnsi="Times New Roman"/>
                <w:sz w:val="20"/>
              </w:rPr>
              <w:t>0.428</w:t>
            </w:r>
          </w:p>
        </w:tc>
        <w:tc>
          <w:tcPr>
            <w:tcW w:type="dxa" w:w="1040"/>
          </w:tcPr>
          <w:p>
            <w:r>
              <w:rPr>
                <w:rFonts w:ascii="Times New Roman" w:hAnsi="Times New Roman"/>
                <w:sz w:val="20"/>
              </w:rPr>
              <w:t>0.641</w:t>
            </w:r>
          </w:p>
        </w:tc>
        <w:tc>
          <w:tcPr>
            <w:tcW w:type="dxa" w:w="1040"/>
          </w:tcPr>
          <w:p>
            <w:r>
              <w:rPr>
                <w:rFonts w:ascii="Times New Roman" w:hAnsi="Times New Roman"/>
                <w:sz w:val="20"/>
              </w:rPr>
              <w:t>0.113</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r>
        <w:tc>
          <w:tcPr>
            <w:tcW w:type="dxa" w:w="1040"/>
          </w:tcPr>
          <w:p>
            <w:r>
              <w:rPr>
                <w:rFonts w:ascii="Times New Roman" w:hAnsi="Times New Roman"/>
                <w:sz w:val="20"/>
              </w:rPr>
              <w:t>postop_B</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0.658</w:t>
            </w:r>
          </w:p>
        </w:tc>
        <w:tc>
          <w:tcPr>
            <w:tcW w:type="dxa" w:w="1040"/>
          </w:tcPr>
          <w:p>
            <w:r>
              <w:rPr>
                <w:rFonts w:ascii="Times New Roman" w:hAnsi="Times New Roman"/>
                <w:sz w:val="20"/>
              </w:rPr>
              <w:t>0.568</w:t>
            </w:r>
          </w:p>
        </w:tc>
        <w:tc>
          <w:tcPr>
            <w:tcW w:type="dxa" w:w="1040"/>
          </w:tcPr>
          <w:p>
            <w:r>
              <w:rPr>
                <w:rFonts w:ascii="Times New Roman" w:hAnsi="Times New Roman"/>
                <w:sz w:val="20"/>
              </w:rPr>
              <w:t>0.751</w:t>
            </w:r>
          </w:p>
        </w:tc>
        <w:tc>
          <w:tcPr>
            <w:tcW w:type="dxa" w:w="1040"/>
          </w:tcPr>
          <w:p>
            <w:r>
              <w:rPr>
                <w:rFonts w:ascii="Times New Roman" w:hAnsi="Times New Roman"/>
                <w:sz w:val="20"/>
              </w:rPr>
              <w:t>0.142</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postop_B</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0.677</w:t>
            </w:r>
          </w:p>
        </w:tc>
        <w:tc>
          <w:tcPr>
            <w:tcW w:type="dxa" w:w="1040"/>
          </w:tcPr>
          <w:p>
            <w:r>
              <w:rPr>
                <w:rFonts w:ascii="Times New Roman" w:hAnsi="Times New Roman"/>
                <w:sz w:val="20"/>
              </w:rPr>
              <w:t>0.592</w:t>
            </w:r>
          </w:p>
        </w:tc>
        <w:tc>
          <w:tcPr>
            <w:tcW w:type="dxa" w:w="1040"/>
          </w:tcPr>
          <w:p>
            <w:r>
              <w:rPr>
                <w:rFonts w:ascii="Times New Roman" w:hAnsi="Times New Roman"/>
                <w:sz w:val="20"/>
              </w:rPr>
              <w:t>0.764</w:t>
            </w:r>
          </w:p>
        </w:tc>
        <w:tc>
          <w:tcPr>
            <w:tcW w:type="dxa" w:w="1040"/>
          </w:tcPr>
          <w:p>
            <w:r>
              <w:rPr>
                <w:rFonts w:ascii="Times New Roman" w:hAnsi="Times New Roman"/>
                <w:sz w:val="20"/>
              </w:rPr>
              <w:t>0.154</w:t>
            </w:r>
          </w:p>
        </w:tc>
        <w:tc>
          <w:tcPr>
            <w:tcW w:type="dxa" w:w="1040"/>
          </w:tcPr>
          <w:p>
            <w:r>
              <w:rPr>
                <w:rFonts w:ascii="Times New Roman" w:hAnsi="Times New Roman"/>
                <w:sz w:val="20"/>
              </w:rPr>
              <w:t>0.071</w:t>
            </w:r>
          </w:p>
        </w:tc>
        <w:tc>
          <w:tcPr>
            <w:tcW w:type="dxa" w:w="1040"/>
          </w:tcPr>
          <w:p>
            <w:r>
              <w:rPr>
                <w:rFonts w:ascii="Times New Roman" w:hAnsi="Times New Roman"/>
                <w:sz w:val="20"/>
              </w:rPr>
              <w:t>0.024</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0.670</w:t>
            </w:r>
          </w:p>
        </w:tc>
        <w:tc>
          <w:tcPr>
            <w:tcW w:type="dxa" w:w="1040"/>
          </w:tcPr>
          <w:p>
            <w:r>
              <w:rPr>
                <w:rFonts w:ascii="Times New Roman" w:hAnsi="Times New Roman"/>
                <w:sz w:val="20"/>
              </w:rPr>
              <w:t>0.592</w:t>
            </w:r>
          </w:p>
        </w:tc>
        <w:tc>
          <w:tcPr>
            <w:tcW w:type="dxa" w:w="1040"/>
          </w:tcPr>
          <w:p>
            <w:r>
              <w:rPr>
                <w:rFonts w:ascii="Times New Roman" w:hAnsi="Times New Roman"/>
                <w:sz w:val="20"/>
              </w:rPr>
              <w:t>0.749</w:t>
            </w:r>
          </w:p>
        </w:tc>
        <w:tc>
          <w:tcPr>
            <w:tcW w:type="dxa" w:w="1040"/>
          </w:tcPr>
          <w:p>
            <w:r>
              <w:rPr>
                <w:rFonts w:ascii="Times New Roman" w:hAnsi="Times New Roman"/>
                <w:sz w:val="20"/>
              </w:rPr>
              <w:t>0.143</w:t>
            </w:r>
          </w:p>
        </w:tc>
        <w:tc>
          <w:tcPr>
            <w:tcW w:type="dxa" w:w="1040"/>
          </w:tcPr>
          <w:p>
            <w:r>
              <w:rPr>
                <w:rFonts w:ascii="Times New Roman" w:hAnsi="Times New Roman"/>
                <w:sz w:val="20"/>
              </w:rPr>
              <w:t>0.074</w:t>
            </w:r>
          </w:p>
        </w:tc>
        <w:tc>
          <w:tcPr>
            <w:tcW w:type="dxa" w:w="1040"/>
          </w:tcPr>
          <w:p>
            <w:r>
              <w:rPr>
                <w:rFonts w:ascii="Times New Roman" w:hAnsi="Times New Roman"/>
                <w:sz w:val="20"/>
              </w:rPr>
              <w:t>0.029</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SVM-SMOTE + RF</w:t>
            </w:r>
          </w:p>
        </w:tc>
        <w:tc>
          <w:tcPr>
            <w:tcW w:type="dxa" w:w="1040"/>
          </w:tcPr>
          <w:p>
            <w:r>
              <w:rPr>
                <w:rFonts w:ascii="Times New Roman" w:hAnsi="Times New Roman"/>
                <w:sz w:val="20"/>
              </w:rPr>
              <w:t>0.675</w:t>
            </w:r>
          </w:p>
        </w:tc>
        <w:tc>
          <w:tcPr>
            <w:tcW w:type="dxa" w:w="1040"/>
          </w:tcPr>
          <w:p>
            <w:r>
              <w:rPr>
                <w:rFonts w:ascii="Times New Roman" w:hAnsi="Times New Roman"/>
                <w:sz w:val="20"/>
              </w:rPr>
              <w:t>0.597</w:t>
            </w:r>
          </w:p>
        </w:tc>
        <w:tc>
          <w:tcPr>
            <w:tcW w:type="dxa" w:w="1040"/>
          </w:tcPr>
          <w:p>
            <w:r>
              <w:rPr>
                <w:rFonts w:ascii="Times New Roman" w:hAnsi="Times New Roman"/>
                <w:sz w:val="20"/>
              </w:rPr>
              <w:t>0.753</w:t>
            </w:r>
          </w:p>
        </w:tc>
        <w:tc>
          <w:tcPr>
            <w:tcW w:type="dxa" w:w="1040"/>
          </w:tcPr>
          <w:p>
            <w:r>
              <w:rPr>
                <w:rFonts w:ascii="Times New Roman" w:hAnsi="Times New Roman"/>
                <w:sz w:val="20"/>
              </w:rPr>
              <w:t>0.151</w:t>
            </w:r>
          </w:p>
        </w:tc>
        <w:tc>
          <w:tcPr>
            <w:tcW w:type="dxa" w:w="1040"/>
          </w:tcPr>
          <w:p>
            <w:r>
              <w:rPr>
                <w:rFonts w:ascii="Times New Roman" w:hAnsi="Times New Roman"/>
                <w:sz w:val="20"/>
              </w:rPr>
              <w:t>0.073</w:t>
            </w:r>
          </w:p>
        </w:tc>
        <w:tc>
          <w:tcPr>
            <w:tcW w:type="dxa" w:w="1040"/>
          </w:tcPr>
          <w:p>
            <w:r>
              <w:rPr>
                <w:rFonts w:ascii="Times New Roman" w:hAnsi="Times New Roman"/>
                <w:sz w:val="20"/>
              </w:rPr>
              <w:t>0.031</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ADASYN + RF</w:t>
            </w:r>
          </w:p>
        </w:tc>
        <w:tc>
          <w:tcPr>
            <w:tcW w:type="dxa" w:w="1040"/>
          </w:tcPr>
          <w:p>
            <w:r>
              <w:rPr>
                <w:rFonts w:ascii="Times New Roman" w:hAnsi="Times New Roman"/>
                <w:sz w:val="20"/>
              </w:rPr>
              <w:t>0.674</w:t>
            </w:r>
          </w:p>
        </w:tc>
        <w:tc>
          <w:tcPr>
            <w:tcW w:type="dxa" w:w="1040"/>
          </w:tcPr>
          <w:p>
            <w:r>
              <w:rPr>
                <w:rFonts w:ascii="Times New Roman" w:hAnsi="Times New Roman"/>
                <w:sz w:val="20"/>
              </w:rPr>
              <w:t>0.596</w:t>
            </w:r>
          </w:p>
        </w:tc>
        <w:tc>
          <w:tcPr>
            <w:tcW w:type="dxa" w:w="1040"/>
          </w:tcPr>
          <w:p>
            <w:r>
              <w:rPr>
                <w:rFonts w:ascii="Times New Roman" w:hAnsi="Times New Roman"/>
                <w:sz w:val="20"/>
              </w:rPr>
              <w:t>0.753</w:t>
            </w:r>
          </w:p>
        </w:tc>
        <w:tc>
          <w:tcPr>
            <w:tcW w:type="dxa" w:w="1040"/>
          </w:tcPr>
          <w:p>
            <w:r>
              <w:rPr>
                <w:rFonts w:ascii="Times New Roman" w:hAnsi="Times New Roman"/>
                <w:sz w:val="20"/>
              </w:rPr>
              <w:t>0.132</w:t>
            </w:r>
          </w:p>
        </w:tc>
        <w:tc>
          <w:tcPr>
            <w:tcW w:type="dxa" w:w="1040"/>
          </w:tcPr>
          <w:p>
            <w:r>
              <w:rPr>
                <w:rFonts w:ascii="Times New Roman" w:hAnsi="Times New Roman"/>
                <w:sz w:val="20"/>
              </w:rPr>
              <w:t>0.077</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SMOTEENN + RF</w:t>
            </w:r>
          </w:p>
        </w:tc>
        <w:tc>
          <w:tcPr>
            <w:tcW w:type="dxa" w:w="1040"/>
          </w:tcPr>
          <w:p>
            <w:r>
              <w:rPr>
                <w:rFonts w:ascii="Times New Roman" w:hAnsi="Times New Roman"/>
                <w:sz w:val="20"/>
              </w:rPr>
              <w:t>0.675</w:t>
            </w:r>
          </w:p>
        </w:tc>
        <w:tc>
          <w:tcPr>
            <w:tcW w:type="dxa" w:w="1040"/>
          </w:tcPr>
          <w:p>
            <w:r>
              <w:rPr>
                <w:rFonts w:ascii="Times New Roman" w:hAnsi="Times New Roman"/>
                <w:sz w:val="20"/>
              </w:rPr>
              <w:t>0.596</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0.107</w:t>
            </w:r>
          </w:p>
        </w:tc>
        <w:tc>
          <w:tcPr>
            <w:tcW w:type="dxa" w:w="1040"/>
          </w:tcPr>
          <w:p>
            <w:r>
              <w:rPr>
                <w:rFonts w:ascii="Times New Roman" w:hAnsi="Times New Roman"/>
                <w:sz w:val="20"/>
              </w:rPr>
              <w:t>0.029</w:t>
            </w:r>
          </w:p>
        </w:tc>
        <w:tc>
          <w:tcPr>
            <w:tcW w:type="dxa" w:w="1040"/>
          </w:tcPr>
          <w:p>
            <w:r>
              <w:rPr>
                <w:rFonts w:ascii="Times New Roman" w:hAnsi="Times New Roman"/>
                <w:sz w:val="20"/>
              </w:rPr>
              <w:t>0.002</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SMOTETomek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0.624</w:t>
            </w:r>
          </w:p>
        </w:tc>
        <w:tc>
          <w:tcPr>
            <w:tcW w:type="dxa" w:w="1040"/>
          </w:tcPr>
          <w:p>
            <w:r>
              <w:rPr>
                <w:rFonts w:ascii="Times New Roman" w:hAnsi="Times New Roman"/>
                <w:sz w:val="20"/>
              </w:rPr>
              <w:t>0.536</w:t>
            </w:r>
          </w:p>
        </w:tc>
        <w:tc>
          <w:tcPr>
            <w:tcW w:type="dxa" w:w="1040"/>
          </w:tcPr>
          <w:p>
            <w:r>
              <w:rPr>
                <w:rFonts w:ascii="Times New Roman" w:hAnsi="Times New Roman"/>
                <w:sz w:val="20"/>
              </w:rPr>
              <w:t>0.721</w:t>
            </w:r>
          </w:p>
        </w:tc>
        <w:tc>
          <w:tcPr>
            <w:tcW w:type="dxa" w:w="1040"/>
          </w:tcPr>
          <w:p>
            <w:r>
              <w:rPr>
                <w:rFonts w:ascii="Times New Roman" w:hAnsi="Times New Roman"/>
                <w:sz w:val="20"/>
              </w:rPr>
              <w:t>0.126</w:t>
            </w:r>
          </w:p>
        </w:tc>
        <w:tc>
          <w:tcPr>
            <w:tcW w:type="dxa" w:w="1040"/>
          </w:tcPr>
          <w:p>
            <w:r>
              <w:rPr>
                <w:rFonts w:ascii="Times New Roman" w:hAnsi="Times New Roman"/>
                <w:sz w:val="20"/>
              </w:rPr>
              <w:t>0.084</w:t>
            </w:r>
          </w:p>
        </w:tc>
        <w:tc>
          <w:tcPr>
            <w:tcW w:type="dxa" w:w="1040"/>
          </w:tcPr>
          <w:p>
            <w:r>
              <w:rPr>
                <w:rFonts w:ascii="Times New Roman" w:hAnsi="Times New Roman"/>
                <w:sz w:val="20"/>
              </w:rPr>
              <w:t>0.026</w:t>
            </w:r>
          </w:p>
        </w:tc>
        <w:tc>
          <w:tcPr>
            <w:tcW w:type="dxa" w:w="1040"/>
          </w:tcPr>
          <w:p>
            <w:r>
              <w:rPr>
                <w:rFonts w:ascii="Times New Roman" w:hAnsi="Times New Roman"/>
                <w:sz w:val="20"/>
              </w:rPr>
              <w:t>0.012</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0.534</w:t>
            </w:r>
          </w:p>
        </w:tc>
        <w:tc>
          <w:tcPr>
            <w:tcW w:type="dxa" w:w="1040"/>
          </w:tcPr>
          <w:p>
            <w:r>
              <w:rPr>
                <w:rFonts w:ascii="Times New Roman" w:hAnsi="Times New Roman"/>
                <w:sz w:val="20"/>
              </w:rPr>
              <w:t>0.431</w:t>
            </w:r>
          </w:p>
        </w:tc>
        <w:tc>
          <w:tcPr>
            <w:tcW w:type="dxa" w:w="1040"/>
          </w:tcPr>
          <w:p>
            <w:r>
              <w:rPr>
                <w:rFonts w:ascii="Times New Roman" w:hAnsi="Times New Roman"/>
                <w:sz w:val="20"/>
              </w:rPr>
              <w:t>0.640</w:t>
            </w:r>
          </w:p>
        </w:tc>
        <w:tc>
          <w:tcPr>
            <w:tcW w:type="dxa" w:w="1040"/>
          </w:tcPr>
          <w:p>
            <w:r>
              <w:rPr>
                <w:rFonts w:ascii="Times New Roman" w:hAnsi="Times New Roman"/>
                <w:sz w:val="20"/>
              </w:rPr>
              <w:t>0.112</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S2.  eICU cohort definition sensitivity with bootstrap 95% CIs.</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cohort</w:t>
            </w:r>
          </w:p>
        </w:tc>
        <w:tc>
          <w:tcPr>
            <w:tcW w:type="dxa" w:w="1170"/>
          </w:tcPr>
          <w:p>
            <w:r>
              <w:rPr>
                <w:rFonts w:ascii="Times New Roman" w:hAnsi="Times New Roman"/>
                <w:b/>
                <w:sz w:val="20"/>
              </w:rPr>
              <w:t>set</w:t>
            </w:r>
          </w:p>
        </w:tc>
        <w:tc>
          <w:tcPr>
            <w:tcW w:type="dxa" w:w="1170"/>
          </w:tcPr>
          <w:p>
            <w:r>
              <w:rPr>
                <w:rFonts w:ascii="Times New Roman" w:hAnsi="Times New Roman"/>
                <w:b/>
                <w:sz w:val="20"/>
              </w:rPr>
              <w:t>n</w:t>
            </w:r>
          </w:p>
        </w:tc>
        <w:tc>
          <w:tcPr>
            <w:tcW w:type="dxa" w:w="1170"/>
          </w:tcPr>
          <w:p>
            <w:r>
              <w:rPr>
                <w:rFonts w:ascii="Times New Roman" w:hAnsi="Times New Roman"/>
                <w:b/>
                <w:sz w:val="20"/>
              </w:rPr>
              <w:t>events</w:t>
            </w:r>
          </w:p>
        </w:tc>
        <w:tc>
          <w:tcPr>
            <w:tcW w:type="dxa" w:w="1170"/>
          </w:tcPr>
          <w:p>
            <w:r>
              <w:rPr>
                <w:rFonts w:ascii="Times New Roman" w:hAnsi="Times New Roman"/>
                <w:b/>
                <w:sz w:val="20"/>
              </w:rPr>
              <w:t>auc_mean</w:t>
            </w:r>
          </w:p>
        </w:tc>
        <w:tc>
          <w:tcPr>
            <w:tcW w:type="dxa" w:w="1170"/>
          </w:tcPr>
          <w:p>
            <w:r>
              <w:rPr>
                <w:rFonts w:ascii="Times New Roman" w:hAnsi="Times New Roman"/>
                <w:b/>
                <w:sz w:val="20"/>
              </w:rPr>
              <w:t>auc_sd</w:t>
            </w:r>
          </w:p>
        </w:tc>
        <w:tc>
          <w:tcPr>
            <w:tcW w:type="dxa" w:w="1170"/>
          </w:tcPr>
          <w:p>
            <w:r>
              <w:rPr>
                <w:rFonts w:ascii="Times New Roman" w:hAnsi="Times New Roman"/>
                <w:b/>
                <w:sz w:val="20"/>
              </w:rPr>
              <w:t>ci_lo</w:t>
            </w:r>
          </w:p>
        </w:tc>
        <w:tc>
          <w:tcPr>
            <w:tcW w:type="dxa" w:w="1170"/>
          </w:tcPr>
          <w:p>
            <w:r>
              <w:rPr>
                <w:rFonts w:ascii="Times New Roman" w:hAnsi="Times New Roman"/>
                <w:b/>
                <w:sz w:val="20"/>
              </w:rPr>
              <w:t>ci_hi</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Set_A</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0.708</w:t>
            </w:r>
          </w:p>
        </w:tc>
        <w:tc>
          <w:tcPr>
            <w:tcW w:type="dxa" w:w="1170"/>
          </w:tcPr>
          <w:p>
            <w:r>
              <w:rPr>
                <w:rFonts w:ascii="Times New Roman" w:hAnsi="Times New Roman"/>
                <w:sz w:val="20"/>
              </w:rPr>
              <w:t>0.036</w:t>
            </w:r>
          </w:p>
        </w:tc>
        <w:tc>
          <w:tcPr>
            <w:tcW w:type="dxa" w:w="1170"/>
          </w:tcPr>
          <w:p>
            <w:r>
              <w:rPr>
                <w:rFonts w:ascii="Times New Roman" w:hAnsi="Times New Roman"/>
                <w:sz w:val="20"/>
              </w:rPr>
              <w:t>0.690</w:t>
            </w:r>
          </w:p>
        </w:tc>
        <w:tc>
          <w:tcPr>
            <w:tcW w:type="dxa" w:w="1170"/>
          </w:tcPr>
          <w:p>
            <w:r>
              <w:rPr>
                <w:rFonts w:ascii="Times New Roman" w:hAnsi="Times New Roman"/>
                <w:sz w:val="20"/>
              </w:rPr>
              <w:t>0.754</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Set_C</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0.750</w:t>
            </w:r>
          </w:p>
        </w:tc>
        <w:tc>
          <w:tcPr>
            <w:tcW w:type="dxa" w:w="1170"/>
          </w:tcPr>
          <w:p>
            <w:r>
              <w:rPr>
                <w:rFonts w:ascii="Times New Roman" w:hAnsi="Times New Roman"/>
                <w:sz w:val="20"/>
              </w:rPr>
              <w:t>0.036</w:t>
            </w:r>
          </w:p>
        </w:tc>
        <w:tc>
          <w:tcPr>
            <w:tcW w:type="dxa" w:w="1170"/>
          </w:tcPr>
          <w:p>
            <w:r>
              <w:rPr>
                <w:rFonts w:ascii="Times New Roman" w:hAnsi="Times New Roman"/>
                <w:sz w:val="20"/>
              </w:rPr>
              <w:t>0.711</w:t>
            </w:r>
          </w:p>
        </w:tc>
        <w:tc>
          <w:tcPr>
            <w:tcW w:type="dxa" w:w="1170"/>
          </w:tcPr>
          <w:p>
            <w:r>
              <w:rPr>
                <w:rFonts w:ascii="Times New Roman" w:hAnsi="Times New Roman"/>
                <w:sz w:val="20"/>
              </w:rPr>
              <w:t>0.774</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Set_A</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0.670</w:t>
            </w:r>
          </w:p>
        </w:tc>
        <w:tc>
          <w:tcPr>
            <w:tcW w:type="dxa" w:w="1170"/>
          </w:tcPr>
          <w:p>
            <w:r>
              <w:rPr>
                <w:rFonts w:ascii="Times New Roman" w:hAnsi="Times New Roman"/>
                <w:sz w:val="20"/>
              </w:rPr>
              <w:t>0.100</w:t>
            </w:r>
          </w:p>
        </w:tc>
        <w:tc>
          <w:tcPr>
            <w:tcW w:type="dxa" w:w="1170"/>
          </w:tcPr>
          <w:p>
            <w:r>
              <w:rPr>
                <w:rFonts w:ascii="Times New Roman" w:hAnsi="Times New Roman"/>
                <w:sz w:val="20"/>
              </w:rPr>
              <w:t>0.571</w:t>
            </w:r>
          </w:p>
        </w:tc>
        <w:tc>
          <w:tcPr>
            <w:tcW w:type="dxa" w:w="1170"/>
          </w:tcPr>
          <w:p>
            <w:r>
              <w:rPr>
                <w:rFonts w:ascii="Times New Roman" w:hAnsi="Times New Roman"/>
                <w:sz w:val="20"/>
              </w:rPr>
              <w:t>0.785</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Set_C</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0.575</w:t>
            </w:r>
          </w:p>
        </w:tc>
        <w:tc>
          <w:tcPr>
            <w:tcW w:type="dxa" w:w="1170"/>
          </w:tcPr>
          <w:p>
            <w:r>
              <w:rPr>
                <w:rFonts w:ascii="Times New Roman" w:hAnsi="Times New Roman"/>
                <w:sz w:val="20"/>
              </w:rPr>
              <w:t>0.101</w:t>
            </w:r>
          </w:p>
        </w:tc>
        <w:tc>
          <w:tcPr>
            <w:tcW w:type="dxa" w:w="1170"/>
          </w:tcPr>
          <w:p>
            <w:r>
              <w:rPr>
                <w:rFonts w:ascii="Times New Roman" w:hAnsi="Times New Roman"/>
                <w:sz w:val="20"/>
              </w:rPr>
              <w:t>0.409</w:t>
            </w:r>
          </w:p>
        </w:tc>
        <w:tc>
          <w:tcPr>
            <w:tcW w:type="dxa" w:w="1170"/>
          </w:tcPr>
          <w:p>
            <w:r>
              <w:rPr>
                <w:rFonts w:ascii="Times New Roman" w:hAnsi="Times New Roman"/>
                <w:sz w:val="20"/>
              </w:rPr>
              <w:t>0.656</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Set_A</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0.609</w:t>
            </w:r>
          </w:p>
        </w:tc>
        <w:tc>
          <w:tcPr>
            <w:tcW w:type="dxa" w:w="1170"/>
          </w:tcPr>
          <w:p>
            <w:r>
              <w:rPr>
                <w:rFonts w:ascii="Times New Roman" w:hAnsi="Times New Roman"/>
                <w:sz w:val="20"/>
              </w:rPr>
              <w:t>0.131</w:t>
            </w:r>
          </w:p>
        </w:tc>
        <w:tc>
          <w:tcPr>
            <w:tcW w:type="dxa" w:w="1170"/>
          </w:tcPr>
          <w:p>
            <w:r>
              <w:rPr>
                <w:rFonts w:ascii="Times New Roman" w:hAnsi="Times New Roman"/>
                <w:sz w:val="20"/>
              </w:rPr>
              <w:t>0.516</w:t>
            </w:r>
          </w:p>
        </w:tc>
        <w:tc>
          <w:tcPr>
            <w:tcW w:type="dxa" w:w="1170"/>
          </w:tcPr>
          <w:p>
            <w:r>
              <w:rPr>
                <w:rFonts w:ascii="Times New Roman" w:hAnsi="Times New Roman"/>
                <w:sz w:val="20"/>
              </w:rPr>
              <w:t>0.710</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Set_C</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0.613</w:t>
            </w:r>
          </w:p>
        </w:tc>
        <w:tc>
          <w:tcPr>
            <w:tcW w:type="dxa" w:w="1170"/>
          </w:tcPr>
          <w:p>
            <w:r>
              <w:rPr>
                <w:rFonts w:ascii="Times New Roman" w:hAnsi="Times New Roman"/>
                <w:sz w:val="20"/>
              </w:rPr>
              <w:t>0.092</w:t>
            </w:r>
          </w:p>
        </w:tc>
        <w:tc>
          <w:tcPr>
            <w:tcW w:type="dxa" w:w="1170"/>
          </w:tcPr>
          <w:p>
            <w:r>
              <w:rPr>
                <w:rFonts w:ascii="Times New Roman" w:hAnsi="Times New Roman"/>
                <w:sz w:val="20"/>
              </w:rPr>
              <w:t>0.510</w:t>
            </w:r>
          </w:p>
        </w:tc>
        <w:tc>
          <w:tcPr>
            <w:tcW w:type="dxa" w:w="1170"/>
          </w:tcPr>
          <w:p>
            <w:r>
              <w:rPr>
                <w:rFonts w:ascii="Times New Roman" w:hAnsi="Times New Roman"/>
                <w:sz w:val="20"/>
              </w:rPr>
              <w:t>0.711</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Set_A</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0.671</w:t>
            </w:r>
          </w:p>
        </w:tc>
        <w:tc>
          <w:tcPr>
            <w:tcW w:type="dxa" w:w="1170"/>
          </w:tcPr>
          <w:p>
            <w:r>
              <w:rPr>
                <w:rFonts w:ascii="Times New Roman" w:hAnsi="Times New Roman"/>
                <w:sz w:val="20"/>
              </w:rPr>
              <w:t>0.044</w:t>
            </w:r>
          </w:p>
        </w:tc>
        <w:tc>
          <w:tcPr>
            <w:tcW w:type="dxa" w:w="1170"/>
          </w:tcPr>
          <w:p>
            <w:r>
              <w:rPr>
                <w:rFonts w:ascii="Times New Roman" w:hAnsi="Times New Roman"/>
                <w:sz w:val="20"/>
              </w:rPr>
              <w:t>0.640</w:t>
            </w:r>
          </w:p>
        </w:tc>
        <w:tc>
          <w:tcPr>
            <w:tcW w:type="dxa" w:w="1170"/>
          </w:tcPr>
          <w:p>
            <w:r>
              <w:rPr>
                <w:rFonts w:ascii="Times New Roman" w:hAnsi="Times New Roman"/>
                <w:sz w:val="20"/>
              </w:rPr>
              <w:t>0.728</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Set_C</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0.725</w:t>
            </w:r>
          </w:p>
        </w:tc>
        <w:tc>
          <w:tcPr>
            <w:tcW w:type="dxa" w:w="1170"/>
          </w:tcPr>
          <w:p>
            <w:r>
              <w:rPr>
                <w:rFonts w:ascii="Times New Roman" w:hAnsi="Times New Roman"/>
                <w:sz w:val="20"/>
              </w:rPr>
              <w:t>0.036</w:t>
            </w:r>
          </w:p>
        </w:tc>
        <w:tc>
          <w:tcPr>
            <w:tcW w:type="dxa" w:w="1170"/>
          </w:tcPr>
          <w:p>
            <w:r>
              <w:rPr>
                <w:rFonts w:ascii="Times New Roman" w:hAnsi="Times New Roman"/>
                <w:sz w:val="20"/>
              </w:rPr>
              <w:t>0.681</w:t>
            </w:r>
          </w:p>
        </w:tc>
        <w:tc>
          <w:tcPr>
            <w:tcW w:type="dxa" w:w="1170"/>
          </w:tcPr>
          <w:p>
            <w:r>
              <w:rPr>
                <w:rFonts w:ascii="Times New Roman" w:hAnsi="Times New Roman"/>
                <w:sz w:val="20"/>
              </w:rPr>
              <w:t>0.765</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S3.  Calibration metrics with bootstrap 95% CIs across all six cohort-model combinations.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model</w:t>
            </w:r>
          </w:p>
        </w:tc>
        <w:tc>
          <w:tcPr>
            <w:tcW w:type="dxa" w:w="1040"/>
          </w:tcPr>
          <w:p>
            <w:r>
              <w:rPr>
                <w:rFonts w:ascii="Times New Roman" w:hAnsi="Times New Roman"/>
                <w:b/>
                <w:sz w:val="20"/>
              </w:rPr>
              <w:t>n</w:t>
            </w:r>
          </w:p>
        </w:tc>
        <w:tc>
          <w:tcPr>
            <w:tcW w:type="dxa" w:w="1040"/>
          </w:tcPr>
          <w:p>
            <w:r>
              <w:rPr>
                <w:rFonts w:ascii="Times New Roman" w:hAnsi="Times New Roman"/>
                <w:b/>
                <w:sz w:val="20"/>
              </w:rPr>
              <w:t>events</w:t>
            </w:r>
          </w:p>
        </w:tc>
        <w:tc>
          <w:tcPr>
            <w:tcW w:type="dxa" w:w="1040"/>
          </w:tcPr>
          <w:p>
            <w:r>
              <w:rPr>
                <w:rFonts w:ascii="Times New Roman" w:hAnsi="Times New Roman"/>
                <w:b/>
                <w:sz w:val="20"/>
              </w:rPr>
              <w:t>brier</w:t>
            </w:r>
          </w:p>
        </w:tc>
        <w:tc>
          <w:tcPr>
            <w:tcW w:type="dxa" w:w="1040"/>
          </w:tcPr>
          <w:p>
            <w:r>
              <w:rPr>
                <w:rFonts w:ascii="Times New Roman" w:hAnsi="Times New Roman"/>
                <w:b/>
                <w:sz w:val="20"/>
              </w:rPr>
              <w:t>brier_lo</w:t>
            </w:r>
          </w:p>
        </w:tc>
        <w:tc>
          <w:tcPr>
            <w:tcW w:type="dxa" w:w="1040"/>
          </w:tcPr>
          <w:p>
            <w:r>
              <w:rPr>
                <w:rFonts w:ascii="Times New Roman" w:hAnsi="Times New Roman"/>
                <w:b/>
                <w:sz w:val="20"/>
              </w:rPr>
              <w:t>brier_hi</w:t>
            </w:r>
          </w:p>
        </w:tc>
        <w:tc>
          <w:tcPr>
            <w:tcW w:type="dxa" w:w="1040"/>
          </w:tcPr>
          <w:p>
            <w:r>
              <w:rPr>
                <w:rFonts w:ascii="Times New Roman" w:hAnsi="Times New Roman"/>
                <w:b/>
                <w:sz w:val="20"/>
              </w:rPr>
              <w:t>citl</w:t>
            </w:r>
          </w:p>
        </w:tc>
        <w:tc>
          <w:tcPr>
            <w:tcW w:type="dxa" w:w="1040"/>
          </w:tcPr>
          <w:p>
            <w:r>
              <w:rPr>
                <w:rFonts w:ascii="Times New Roman" w:hAnsi="Times New Roman"/>
                <w:b/>
                <w:sz w:val="20"/>
              </w:rPr>
              <w:t>citl_lo</w:t>
            </w:r>
          </w:p>
        </w:tc>
        <w:tc>
          <w:tcPr>
            <w:tcW w:type="dxa" w:w="1040"/>
          </w:tcPr>
          <w:p>
            <w:r>
              <w:rPr>
                <w:rFonts w:ascii="Times New Roman" w:hAnsi="Times New Roman"/>
                <w:b/>
                <w:sz w:val="20"/>
              </w:rPr>
              <w:t>citl_hi</w:t>
            </w:r>
          </w:p>
        </w:tc>
      </w:tr>
      <w:tr>
        <w:tc>
          <w:tcPr>
            <w:tcW w:type="dxa" w:w="1040"/>
          </w:tcPr>
          <w:p>
            <w:r>
              <w:rPr>
                <w:rFonts w:ascii="Times New Roman" w:hAnsi="Times New Roman"/>
                <w:sz w:val="20"/>
              </w:rPr>
              <w:t>bidmc_postopA</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0.228</w:t>
            </w:r>
          </w:p>
        </w:tc>
        <w:tc>
          <w:tcPr>
            <w:tcW w:type="dxa" w:w="1040"/>
          </w:tcPr>
          <w:p>
            <w:r>
              <w:rPr>
                <w:rFonts w:ascii="Times New Roman" w:hAnsi="Times New Roman"/>
                <w:sz w:val="20"/>
              </w:rPr>
              <w:t>0.219</w:t>
            </w:r>
          </w:p>
        </w:tc>
        <w:tc>
          <w:tcPr>
            <w:tcW w:type="dxa" w:w="1040"/>
          </w:tcPr>
          <w:p>
            <w:r>
              <w:rPr>
                <w:rFonts w:ascii="Times New Roman" w:hAnsi="Times New Roman"/>
                <w:sz w:val="20"/>
              </w:rPr>
              <w:t>0.237</w:t>
            </w:r>
          </w:p>
        </w:tc>
        <w:tc>
          <w:tcPr>
            <w:tcW w:type="dxa" w:w="1040"/>
          </w:tcPr>
          <w:p>
            <w:r>
              <w:rPr>
                <w:rFonts w:ascii="Times New Roman" w:hAnsi="Times New Roman"/>
                <w:sz w:val="20"/>
              </w:rPr>
              <w:t>0.394</w:t>
            </w:r>
          </w:p>
        </w:tc>
        <w:tc>
          <w:tcPr>
            <w:tcW w:type="dxa" w:w="1040"/>
          </w:tcPr>
          <w:p>
            <w:r>
              <w:rPr>
                <w:rFonts w:ascii="Times New Roman" w:hAnsi="Times New Roman"/>
                <w:sz w:val="20"/>
              </w:rPr>
              <w:t>-0.415</w:t>
            </w:r>
          </w:p>
        </w:tc>
        <w:tc>
          <w:tcPr>
            <w:tcW w:type="dxa" w:w="1040"/>
          </w:tcPr>
          <w:p>
            <w:r>
              <w:rPr>
                <w:rFonts w:ascii="Times New Roman" w:hAnsi="Times New Roman"/>
                <w:sz w:val="20"/>
              </w:rPr>
              <w:t>-0.374</w:t>
            </w:r>
          </w:p>
        </w:tc>
      </w:tr>
      <w:tr>
        <w:tc>
          <w:tcPr>
            <w:tcW w:type="dxa" w:w="1040"/>
          </w:tcPr>
          <w:p>
            <w:r>
              <w:rPr>
                <w:rFonts w:ascii="Times New Roman" w:hAnsi="Times New Roman"/>
                <w:sz w:val="20"/>
              </w:rPr>
              <w:t>bidmc_postopB</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0.199</w:t>
            </w:r>
          </w:p>
        </w:tc>
        <w:tc>
          <w:tcPr>
            <w:tcW w:type="dxa" w:w="1040"/>
          </w:tcPr>
          <w:p>
            <w:r>
              <w:rPr>
                <w:rFonts w:ascii="Times New Roman" w:hAnsi="Times New Roman"/>
                <w:sz w:val="20"/>
              </w:rPr>
              <w:t>0.182</w:t>
            </w:r>
          </w:p>
        </w:tc>
        <w:tc>
          <w:tcPr>
            <w:tcW w:type="dxa" w:w="1040"/>
          </w:tcPr>
          <w:p>
            <w:r>
              <w:rPr>
                <w:rFonts w:ascii="Times New Roman" w:hAnsi="Times New Roman"/>
                <w:sz w:val="20"/>
              </w:rPr>
              <w:t>0.217</w:t>
            </w:r>
          </w:p>
        </w:tc>
        <w:tc>
          <w:tcPr>
            <w:tcW w:type="dxa" w:w="1040"/>
          </w:tcPr>
          <w:p>
            <w:r>
              <w:rPr>
                <w:rFonts w:ascii="Times New Roman" w:hAnsi="Times New Roman"/>
                <w:sz w:val="20"/>
              </w:rPr>
              <w:t>0.298</w:t>
            </w:r>
          </w:p>
        </w:tc>
        <w:tc>
          <w:tcPr>
            <w:tcW w:type="dxa" w:w="1040"/>
          </w:tcPr>
          <w:p>
            <w:r>
              <w:rPr>
                <w:rFonts w:ascii="Times New Roman" w:hAnsi="Times New Roman"/>
                <w:sz w:val="20"/>
              </w:rPr>
              <w:t>-0.322</w:t>
            </w:r>
          </w:p>
        </w:tc>
        <w:tc>
          <w:tcPr>
            <w:tcW w:type="dxa" w:w="1040"/>
          </w:tcPr>
          <w:p>
            <w:r>
              <w:rPr>
                <w:rFonts w:ascii="Times New Roman" w:hAnsi="Times New Roman"/>
                <w:sz w:val="20"/>
              </w:rPr>
              <w:t>-0.273</w:t>
            </w:r>
          </w:p>
        </w:tc>
      </w:tr>
      <w:tr>
        <w:tc>
          <w:tcPr>
            <w:tcW w:type="dxa" w:w="1040"/>
          </w:tcPr>
          <w:p>
            <w:r>
              <w:rPr>
                <w:rFonts w:ascii="Times New Roman" w:hAnsi="Times New Roman"/>
                <w:sz w:val="20"/>
              </w:rPr>
              <w:t>bidmc_preop</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0.079</w:t>
            </w:r>
          </w:p>
        </w:tc>
        <w:tc>
          <w:tcPr>
            <w:tcW w:type="dxa" w:w="1040"/>
          </w:tcPr>
          <w:p>
            <w:r>
              <w:rPr>
                <w:rFonts w:ascii="Times New Roman" w:hAnsi="Times New Roman"/>
                <w:sz w:val="20"/>
              </w:rPr>
              <w:t>0.065</w:t>
            </w:r>
          </w:p>
        </w:tc>
        <w:tc>
          <w:tcPr>
            <w:tcW w:type="dxa" w:w="1040"/>
          </w:tcPr>
          <w:p>
            <w:r>
              <w:rPr>
                <w:rFonts w:ascii="Times New Roman" w:hAnsi="Times New Roman"/>
                <w:sz w:val="20"/>
              </w:rPr>
              <w:t>0.095</w:t>
            </w:r>
          </w:p>
        </w:tc>
        <w:tc>
          <w:tcPr>
            <w:tcW w:type="dxa" w:w="1040"/>
          </w:tcPr>
          <w:p>
            <w:r>
              <w:rPr>
                <w:rFonts w:ascii="Times New Roman" w:hAnsi="Times New Roman"/>
                <w:sz w:val="20"/>
              </w:rPr>
              <w:t>0.072</w:t>
            </w:r>
          </w:p>
        </w:tc>
        <w:tc>
          <w:tcPr>
            <w:tcW w:type="dxa" w:w="1040"/>
          </w:tcPr>
          <w:p>
            <w:r>
              <w:rPr>
                <w:rFonts w:ascii="Times New Roman" w:hAnsi="Times New Roman"/>
                <w:sz w:val="20"/>
              </w:rPr>
              <w:t>-0.092</w:t>
            </w:r>
          </w:p>
        </w:tc>
        <w:tc>
          <w:tcPr>
            <w:tcW w:type="dxa" w:w="1040"/>
          </w:tcPr>
          <w:p>
            <w:r>
              <w:rPr>
                <w:rFonts w:ascii="Times New Roman" w:hAnsi="Times New Roman"/>
                <w:sz w:val="20"/>
              </w:rPr>
              <w:t>-0.051</w:t>
            </w:r>
          </w:p>
        </w:tc>
      </w:tr>
      <w:tr>
        <w:tc>
          <w:tcPr>
            <w:tcW w:type="dxa" w:w="1040"/>
          </w:tcPr>
          <w:p>
            <w:r>
              <w:rPr>
                <w:rFonts w:ascii="Times New Roman" w:hAnsi="Times New Roman"/>
                <w:sz w:val="20"/>
              </w:rPr>
              <w:t>eicu_setA</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0.103</w:t>
            </w:r>
          </w:p>
        </w:tc>
        <w:tc>
          <w:tcPr>
            <w:tcW w:type="dxa" w:w="1040"/>
          </w:tcPr>
          <w:p>
            <w:r>
              <w:rPr>
                <w:rFonts w:ascii="Times New Roman" w:hAnsi="Times New Roman"/>
                <w:sz w:val="20"/>
              </w:rPr>
              <w:t>0.098</w:t>
            </w:r>
          </w:p>
        </w:tc>
        <w:tc>
          <w:tcPr>
            <w:tcW w:type="dxa" w:w="1040"/>
          </w:tcPr>
          <w:p>
            <w:r>
              <w:rPr>
                <w:rFonts w:ascii="Times New Roman" w:hAnsi="Times New Roman"/>
                <w:sz w:val="20"/>
              </w:rPr>
              <w:t>0.108</w:t>
            </w:r>
          </w:p>
        </w:tc>
        <w:tc>
          <w:tcPr>
            <w:tcW w:type="dxa" w:w="1040"/>
          </w:tcPr>
          <w:p>
            <w:r>
              <w:rPr>
                <w:rFonts w:ascii="Times New Roman" w:hAnsi="Times New Roman"/>
                <w:sz w:val="20"/>
              </w:rPr>
              <w:t>0.104</w:t>
            </w:r>
          </w:p>
        </w:tc>
        <w:tc>
          <w:tcPr>
            <w:tcW w:type="dxa" w:w="1040"/>
          </w:tcPr>
          <w:p>
            <w:r>
              <w:rPr>
                <w:rFonts w:ascii="Times New Roman" w:hAnsi="Times New Roman"/>
                <w:sz w:val="20"/>
              </w:rPr>
              <w:t>-0.112</w:t>
            </w:r>
          </w:p>
        </w:tc>
        <w:tc>
          <w:tcPr>
            <w:tcW w:type="dxa" w:w="1040"/>
          </w:tcPr>
          <w:p>
            <w:r>
              <w:rPr>
                <w:rFonts w:ascii="Times New Roman" w:hAnsi="Times New Roman"/>
                <w:sz w:val="20"/>
              </w:rPr>
              <w:t>-0.096</w:t>
            </w:r>
          </w:p>
        </w:tc>
      </w:tr>
      <w:tr>
        <w:tc>
          <w:tcPr>
            <w:tcW w:type="dxa" w:w="1040"/>
          </w:tcPr>
          <w:p>
            <w:r>
              <w:rPr>
                <w:rFonts w:ascii="Times New Roman" w:hAnsi="Times New Roman"/>
                <w:sz w:val="20"/>
              </w:rPr>
              <w:t>eicu_setC</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0.071</w:t>
            </w:r>
          </w:p>
        </w:tc>
        <w:tc>
          <w:tcPr>
            <w:tcW w:type="dxa" w:w="1040"/>
          </w:tcPr>
          <w:p>
            <w:r>
              <w:rPr>
                <w:rFonts w:ascii="Times New Roman" w:hAnsi="Times New Roman"/>
                <w:sz w:val="20"/>
              </w:rPr>
              <w:t>0.066</w:t>
            </w:r>
          </w:p>
        </w:tc>
        <w:tc>
          <w:tcPr>
            <w:tcW w:type="dxa" w:w="1040"/>
          </w:tcPr>
          <w:p>
            <w:r>
              <w:rPr>
                <w:rFonts w:ascii="Times New Roman" w:hAnsi="Times New Roman"/>
                <w:sz w:val="20"/>
              </w:rPr>
              <w:t>0.076</w:t>
            </w:r>
          </w:p>
        </w:tc>
        <w:tc>
          <w:tcPr>
            <w:tcW w:type="dxa" w:w="1040"/>
          </w:tcPr>
          <w:p>
            <w:r>
              <w:rPr>
                <w:rFonts w:ascii="Times New Roman" w:hAnsi="Times New Roman"/>
                <w:sz w:val="20"/>
              </w:rPr>
              <w:t>0.022</w:t>
            </w:r>
          </w:p>
        </w:tc>
        <w:tc>
          <w:tcPr>
            <w:tcW w:type="dxa" w:w="1040"/>
          </w:tcPr>
          <w:p>
            <w:r>
              <w:rPr>
                <w:rFonts w:ascii="Times New Roman" w:hAnsi="Times New Roman"/>
                <w:sz w:val="20"/>
              </w:rPr>
              <w:t>-0.029</w:t>
            </w:r>
          </w:p>
        </w:tc>
        <w:tc>
          <w:tcPr>
            <w:tcW w:type="dxa" w:w="1040"/>
          </w:tcPr>
          <w:p>
            <w:r>
              <w:rPr>
                <w:rFonts w:ascii="Times New Roman" w:hAnsi="Times New Roman"/>
                <w:sz w:val="20"/>
              </w:rPr>
              <w:t>-0.014</w:t>
            </w:r>
          </w:p>
        </w:tc>
      </w:tr>
      <w:tr>
        <w:tc>
          <w:tcPr>
            <w:tcW w:type="dxa" w:w="1040"/>
          </w:tcPr>
          <w:p>
            <w:r>
              <w:rPr>
                <w:rFonts w:ascii="Times New Roman" w:hAnsi="Times New Roman"/>
                <w:sz w:val="20"/>
              </w:rPr>
              <w:t>eicu_pure_setC</w:t>
            </w:r>
          </w:p>
        </w:tc>
        <w:tc>
          <w:tcPr>
            <w:tcW w:type="dxa" w:w="1040"/>
          </w:tcPr>
          <w:p>
            <w:r>
              <w:rPr>
                <w:rFonts w:ascii="Times New Roman" w:hAnsi="Times New Roman"/>
                <w:sz w:val="20"/>
              </w:rPr>
              <w:t>3255</w:t>
            </w:r>
          </w:p>
        </w:tc>
        <w:tc>
          <w:tcPr>
            <w:tcW w:type="dxa" w:w="1040"/>
          </w:tcPr>
          <w:p>
            <w:r>
              <w:rPr>
                <w:rFonts w:ascii="Times New Roman" w:hAnsi="Times New Roman"/>
                <w:sz w:val="20"/>
              </w:rPr>
              <w:t>145</w:t>
            </w:r>
          </w:p>
        </w:tc>
        <w:tc>
          <w:tcPr>
            <w:tcW w:type="dxa" w:w="1040"/>
          </w:tcPr>
          <w:p>
            <w:r>
              <w:rPr>
                <w:rFonts w:ascii="Times New Roman" w:hAnsi="Times New Roman"/>
                <w:sz w:val="20"/>
              </w:rPr>
              <w:t>0.042</w:t>
            </w:r>
          </w:p>
        </w:tc>
        <w:tc>
          <w:tcPr>
            <w:tcW w:type="dxa" w:w="1040"/>
          </w:tcPr>
          <w:p>
            <w:r>
              <w:rPr>
                <w:rFonts w:ascii="Times New Roman" w:hAnsi="Times New Roman"/>
                <w:sz w:val="20"/>
              </w:rPr>
              <w:t>0.037</w:t>
            </w:r>
          </w:p>
        </w:tc>
        <w:tc>
          <w:tcPr>
            <w:tcW w:type="dxa" w:w="1040"/>
          </w:tcPr>
          <w:p>
            <w:r>
              <w:rPr>
                <w:rFonts w:ascii="Times New Roman" w:hAnsi="Times New Roman"/>
                <w:sz w:val="20"/>
              </w:rPr>
              <w:t>0.049</w:t>
            </w:r>
          </w:p>
        </w:tc>
        <w:tc>
          <w:tcPr>
            <w:tcW w:type="dxa" w:w="1040"/>
          </w:tcPr>
          <w:p>
            <w:r>
              <w:rPr>
                <w:rFonts w:ascii="Times New Roman" w:hAnsi="Times New Roman"/>
                <w:sz w:val="20"/>
              </w:rPr>
              <w:t>0.015</w:t>
            </w:r>
          </w:p>
        </w:tc>
        <w:tc>
          <w:tcPr>
            <w:tcW w:type="dxa" w:w="1040"/>
          </w:tcPr>
          <w:p>
            <w:r>
              <w:rPr>
                <w:rFonts w:ascii="Times New Roman" w:hAnsi="Times New Roman"/>
                <w:sz w:val="20"/>
              </w:rPr>
              <w:t>-0.022</w:t>
            </w:r>
          </w:p>
        </w:tc>
        <w:tc>
          <w:tcPr>
            <w:tcW w:type="dxa" w:w="1040"/>
          </w:tcPr>
          <w:p>
            <w:r>
              <w:rPr>
                <w:rFonts w:ascii="Times New Roman" w:hAnsi="Times New Roman"/>
                <w:sz w:val="20"/>
              </w:rPr>
              <w:t>-0.008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S4.  Cost-effectiveness analysis — PSA summary at WTP $50k, $100k, $150k.</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scenario</w:t>
            </w:r>
          </w:p>
        </w:tc>
        <w:tc>
          <w:tcPr>
            <w:tcW w:type="dxa" w:w="1040"/>
          </w:tcPr>
          <w:p>
            <w:r>
              <w:rPr>
                <w:rFonts w:ascii="Times New Roman" w:hAnsi="Times New Roman"/>
                <w:b/>
                <w:sz w:val="20"/>
              </w:rPr>
              <w:t>comparison</w:t>
            </w:r>
          </w:p>
        </w:tc>
        <w:tc>
          <w:tcPr>
            <w:tcW w:type="dxa" w:w="1040"/>
          </w:tcPr>
          <w:p>
            <w:r>
              <w:rPr>
                <w:rFonts w:ascii="Times New Roman" w:hAnsi="Times New Roman"/>
                <w:b/>
                <w:sz w:val="20"/>
              </w:rPr>
              <w:t>wtp</w:t>
            </w:r>
          </w:p>
        </w:tc>
        <w:tc>
          <w:tcPr>
            <w:tcW w:type="dxa" w:w="1040"/>
          </w:tcPr>
          <w:p>
            <w:r>
              <w:rPr>
                <w:rFonts w:ascii="Times New Roman" w:hAnsi="Times New Roman"/>
                <w:b/>
                <w:sz w:val="20"/>
              </w:rPr>
              <w:t>dc_mean</w:t>
            </w:r>
          </w:p>
        </w:tc>
        <w:tc>
          <w:tcPr>
            <w:tcW w:type="dxa" w:w="1040"/>
          </w:tcPr>
          <w:p>
            <w:r>
              <w:rPr>
                <w:rFonts w:ascii="Times New Roman" w:hAnsi="Times New Roman"/>
                <w:b/>
                <w:sz w:val="20"/>
              </w:rPr>
              <w:t>dc_lo</w:t>
            </w:r>
          </w:p>
        </w:tc>
        <w:tc>
          <w:tcPr>
            <w:tcW w:type="dxa" w:w="1040"/>
          </w:tcPr>
          <w:p>
            <w:r>
              <w:rPr>
                <w:rFonts w:ascii="Times New Roman" w:hAnsi="Times New Roman"/>
                <w:b/>
                <w:sz w:val="20"/>
              </w:rPr>
              <w:t>dc_hi</w:t>
            </w:r>
          </w:p>
        </w:tc>
        <w:tc>
          <w:tcPr>
            <w:tcW w:type="dxa" w:w="1040"/>
          </w:tcPr>
          <w:p>
            <w:r>
              <w:rPr>
                <w:rFonts w:ascii="Times New Roman" w:hAnsi="Times New Roman"/>
                <w:b/>
                <w:sz w:val="20"/>
              </w:rPr>
              <w:t>dq_mean</w:t>
            </w:r>
          </w:p>
        </w:tc>
        <w:tc>
          <w:tcPr>
            <w:tcW w:type="dxa" w:w="1040"/>
          </w:tcPr>
          <w:p>
            <w:r>
              <w:rPr>
                <w:rFonts w:ascii="Times New Roman" w:hAnsi="Times New Roman"/>
                <w:b/>
                <w:sz w:val="20"/>
              </w:rPr>
              <w:t>dq_lo</w:t>
            </w:r>
          </w:p>
        </w:tc>
        <w:tc>
          <w:tcPr>
            <w:tcW w:type="dxa" w:w="1040"/>
          </w:tcPr>
          <w:p>
            <w:r>
              <w:rPr>
                <w:rFonts w:ascii="Times New Roman" w:hAnsi="Times New Roman"/>
                <w:b/>
                <w:sz w:val="20"/>
              </w:rPr>
              <w:t>dq_hi</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100000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100000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100000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100000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100000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100000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S5.  Per-parameter EVPPI ranking at WTP $100,000/QALY.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parameter</w:t>
            </w:r>
          </w:p>
        </w:tc>
        <w:tc>
          <w:tcPr>
            <w:tcW w:type="dxa" w:w="2340"/>
          </w:tcPr>
          <w:p>
            <w:r>
              <w:rPr>
                <w:rFonts w:ascii="Times New Roman" w:hAnsi="Times New Roman"/>
                <w:b/>
                <w:sz w:val="20"/>
              </w:rPr>
              <w:t>column</w:t>
            </w:r>
          </w:p>
        </w:tc>
        <w:tc>
          <w:tcPr>
            <w:tcW w:type="dxa" w:w="2340"/>
          </w:tcPr>
          <w:p>
            <w:r>
              <w:rPr>
                <w:rFonts w:ascii="Times New Roman" w:hAnsi="Times New Roman"/>
                <w:b/>
                <w:sz w:val="20"/>
              </w:rPr>
              <w:t>evppi_per_patient</w:t>
            </w:r>
          </w:p>
        </w:tc>
        <w:tc>
          <w:tcPr>
            <w:tcW w:type="dxa" w:w="2340"/>
          </w:tcPr>
          <w:p>
            <w:r>
              <w:rPr>
                <w:rFonts w:ascii="Times New Roman" w:hAnsi="Times New Roman"/>
                <w:b/>
                <w:sz w:val="20"/>
              </w:rPr>
              <w:t>evppi_population</w:t>
            </w:r>
          </w:p>
        </w:tc>
      </w:tr>
      <w:tr>
        <w:tc>
          <w:tcPr>
            <w:tcW w:type="dxa" w:w="2340"/>
          </w:tcPr>
          <w:p>
            <w:r>
              <w:rPr>
                <w:rFonts w:ascii="Times New Roman" w:hAnsi="Times New Roman"/>
                <w:sz w:val="20"/>
              </w:rPr>
              <w:t>Cost: cEEG monitoring/day</w:t>
            </w:r>
          </w:p>
        </w:tc>
        <w:tc>
          <w:tcPr>
            <w:tcW w:type="dxa" w:w="2340"/>
          </w:tcPr>
          <w:p>
            <w:r>
              <w:rPr>
                <w:rFonts w:ascii="Times New Roman" w:hAnsi="Times New Roman"/>
                <w:sz w:val="20"/>
              </w:rPr>
              <w:t>c_ceeg</w:t>
            </w:r>
          </w:p>
        </w:tc>
        <w:tc>
          <w:tcPr>
            <w:tcW w:type="dxa" w:w="2340"/>
          </w:tcPr>
          <w:p>
            <w:r>
              <w:rPr>
                <w:rFonts w:ascii="Times New Roman" w:hAnsi="Times New Roman"/>
                <w:sz w:val="20"/>
              </w:rPr>
              <w:t>195</w:t>
            </w:r>
          </w:p>
        </w:tc>
        <w:tc>
          <w:tcPr>
            <w:tcW w:type="dxa" w:w="2340"/>
          </w:tcPr>
          <w:p>
            <w:r>
              <w:rPr>
                <w:rFonts w:ascii="Times New Roman" w:hAnsi="Times New Roman"/>
                <w:sz w:val="20"/>
              </w:rPr>
              <w:t>68,687,999</w:t>
            </w:r>
          </w:p>
        </w:tc>
      </w:tr>
      <w:tr>
        <w:tc>
          <w:tcPr>
            <w:tcW w:type="dxa" w:w="2340"/>
          </w:tcPr>
          <w:p>
            <w:r>
              <w:rPr>
                <w:rFonts w:ascii="Times New Roman" w:hAnsi="Times New Roman"/>
                <w:sz w:val="20"/>
              </w:rPr>
              <w:t>Seizure prevalence</w:t>
            </w:r>
          </w:p>
        </w:tc>
        <w:tc>
          <w:tcPr>
            <w:tcW w:type="dxa" w:w="2340"/>
          </w:tcPr>
          <w:p>
            <w:r>
              <w:rPr>
                <w:rFonts w:ascii="Times New Roman" w:hAnsi="Times New Roman"/>
                <w:sz w:val="20"/>
              </w:rPr>
              <w:t>p_sz</w:t>
            </w:r>
          </w:p>
        </w:tc>
        <w:tc>
          <w:tcPr>
            <w:tcW w:type="dxa" w:w="2340"/>
          </w:tcPr>
          <w:p>
            <w:r>
              <w:rPr>
                <w:rFonts w:ascii="Times New Roman" w:hAnsi="Times New Roman"/>
                <w:sz w:val="20"/>
              </w:rPr>
              <w:t>127</w:t>
            </w:r>
          </w:p>
        </w:tc>
        <w:tc>
          <w:tcPr>
            <w:tcW w:type="dxa" w:w="2340"/>
          </w:tcPr>
          <w:p>
            <w:r>
              <w:rPr>
                <w:rFonts w:ascii="Times New Roman" w:hAnsi="Times New Roman"/>
                <w:sz w:val="20"/>
              </w:rPr>
              <w:t>44,804,411</w:t>
            </w:r>
          </w:p>
        </w:tc>
      </w:tr>
      <w:tr>
        <w:tc>
          <w:tcPr>
            <w:tcW w:type="dxa" w:w="2340"/>
          </w:tcPr>
          <w:p>
            <w:r>
              <w:rPr>
                <w:rFonts w:ascii="Times New Roman" w:hAnsi="Times New Roman"/>
                <w:sz w:val="20"/>
              </w:rPr>
              <w:t>AED relative risk reduction</w:t>
            </w:r>
          </w:p>
        </w:tc>
        <w:tc>
          <w:tcPr>
            <w:tcW w:type="dxa" w:w="2340"/>
          </w:tcPr>
          <w:p>
            <w:r>
              <w:rPr>
                <w:rFonts w:ascii="Times New Roman" w:hAnsi="Times New Roman"/>
                <w:sz w:val="20"/>
              </w:rPr>
              <w:t>rrr</w:t>
            </w:r>
          </w:p>
        </w:tc>
        <w:tc>
          <w:tcPr>
            <w:tcW w:type="dxa" w:w="2340"/>
          </w:tcPr>
          <w:p>
            <w:r>
              <w:rPr>
                <w:rFonts w:ascii="Times New Roman" w:hAnsi="Times New Roman"/>
                <w:sz w:val="20"/>
              </w:rPr>
              <w:t>95.550</w:t>
            </w:r>
          </w:p>
        </w:tc>
        <w:tc>
          <w:tcPr>
            <w:tcW w:type="dxa" w:w="2340"/>
          </w:tcPr>
          <w:p>
            <w:r>
              <w:rPr>
                <w:rFonts w:ascii="Times New Roman" w:hAnsi="Times New Roman"/>
                <w:sz w:val="20"/>
              </w:rPr>
              <w:t>33,580,438</w:t>
            </w:r>
          </w:p>
        </w:tc>
      </w:tr>
      <w:tr>
        <w:tc>
          <w:tcPr>
            <w:tcW w:type="dxa" w:w="2340"/>
          </w:tcPr>
          <w:p>
            <w:r>
              <w:rPr>
                <w:rFonts w:ascii="Times New Roman" w:hAnsi="Times New Roman"/>
                <w:sz w:val="20"/>
              </w:rPr>
              <w:t>ML model sensitivity</w:t>
            </w:r>
          </w:p>
        </w:tc>
        <w:tc>
          <w:tcPr>
            <w:tcW w:type="dxa" w:w="2340"/>
          </w:tcPr>
          <w:p>
            <w:r>
              <w:rPr>
                <w:rFonts w:ascii="Times New Roman" w:hAnsi="Times New Roman"/>
                <w:sz w:val="20"/>
              </w:rPr>
              <w:t>sens</w:t>
            </w:r>
          </w:p>
        </w:tc>
        <w:tc>
          <w:tcPr>
            <w:tcW w:type="dxa" w:w="2340"/>
          </w:tcPr>
          <w:p>
            <w:r>
              <w:rPr>
                <w:rFonts w:ascii="Times New Roman" w:hAnsi="Times New Roman"/>
                <w:sz w:val="20"/>
              </w:rPr>
              <w:t>30.536</w:t>
            </w:r>
          </w:p>
        </w:tc>
        <w:tc>
          <w:tcPr>
            <w:tcW w:type="dxa" w:w="2340"/>
          </w:tcPr>
          <w:p>
            <w:r>
              <w:rPr>
                <w:rFonts w:ascii="Times New Roman" w:hAnsi="Times New Roman"/>
                <w:sz w:val="20"/>
              </w:rPr>
              <w:t>10,731,775</w:t>
            </w:r>
          </w:p>
        </w:tc>
      </w:tr>
      <w:tr>
        <w:tc>
          <w:tcPr>
            <w:tcW w:type="dxa" w:w="2340"/>
          </w:tcPr>
          <w:p>
            <w:r>
              <w:rPr>
                <w:rFonts w:ascii="Times New Roman" w:hAnsi="Times New Roman"/>
                <w:sz w:val="20"/>
              </w:rPr>
              <w:t>Cost: AED adverse events</w:t>
            </w:r>
          </w:p>
        </w:tc>
        <w:tc>
          <w:tcPr>
            <w:tcW w:type="dxa" w:w="2340"/>
          </w:tcPr>
          <w:p>
            <w:r>
              <w:rPr>
                <w:rFonts w:ascii="Times New Roman" w:hAnsi="Times New Roman"/>
                <w:sz w:val="20"/>
              </w:rPr>
              <w:t>c_aed_a</w:t>
            </w:r>
          </w:p>
        </w:tc>
        <w:tc>
          <w:tcPr>
            <w:tcW w:type="dxa" w:w="2340"/>
          </w:tcPr>
          <w:p>
            <w:r>
              <w:rPr>
                <w:rFonts w:ascii="Times New Roman" w:hAnsi="Times New Roman"/>
                <w:sz w:val="20"/>
              </w:rPr>
              <w:t>16.591</w:t>
            </w:r>
          </w:p>
        </w:tc>
        <w:tc>
          <w:tcPr>
            <w:tcW w:type="dxa" w:w="2340"/>
          </w:tcPr>
          <w:p>
            <w:r>
              <w:rPr>
                <w:rFonts w:ascii="Times New Roman" w:hAnsi="Times New Roman"/>
                <w:sz w:val="20"/>
              </w:rPr>
              <w:t>5,830,973</w:t>
            </w:r>
          </w:p>
        </w:tc>
      </w:tr>
      <w:tr>
        <w:tc>
          <w:tcPr>
            <w:tcW w:type="dxa" w:w="2340"/>
          </w:tcPr>
          <w:p>
            <w:r>
              <w:rPr>
                <w:rFonts w:ascii="Times New Roman" w:hAnsi="Times New Roman"/>
                <w:sz w:val="20"/>
              </w:rPr>
              <w:t>ML model specificity</w:t>
            </w:r>
          </w:p>
        </w:tc>
        <w:tc>
          <w:tcPr>
            <w:tcW w:type="dxa" w:w="2340"/>
          </w:tcPr>
          <w:p>
            <w:r>
              <w:rPr>
                <w:rFonts w:ascii="Times New Roman" w:hAnsi="Times New Roman"/>
                <w:sz w:val="20"/>
              </w:rPr>
              <w:t>spec</w:t>
            </w:r>
          </w:p>
        </w:tc>
        <w:tc>
          <w:tcPr>
            <w:tcW w:type="dxa" w:w="2340"/>
          </w:tcPr>
          <w:p>
            <w:r>
              <w:rPr>
                <w:rFonts w:ascii="Times New Roman" w:hAnsi="Times New Roman"/>
                <w:sz w:val="20"/>
              </w:rPr>
              <w:t>1.437</w:t>
            </w:r>
          </w:p>
        </w:tc>
        <w:tc>
          <w:tcPr>
            <w:tcW w:type="dxa" w:w="2340"/>
          </w:tcPr>
          <w:p>
            <w:r>
              <w:rPr>
                <w:rFonts w:ascii="Times New Roman" w:hAnsi="Times New Roman"/>
                <w:sz w:val="20"/>
              </w:rPr>
              <w:t>505,151</w:t>
            </w:r>
          </w:p>
        </w:tc>
      </w:tr>
      <w:tr>
        <w:tc>
          <w:tcPr>
            <w:tcW w:type="dxa" w:w="2340"/>
          </w:tcPr>
          <w:p>
            <w:r>
              <w:rPr>
                <w:rFonts w:ascii="Times New Roman" w:hAnsi="Times New Roman"/>
                <w:sz w:val="20"/>
              </w:rPr>
              <w:t>P(clinical detection)</w:t>
            </w:r>
          </w:p>
        </w:tc>
        <w:tc>
          <w:tcPr>
            <w:tcW w:type="dxa" w:w="2340"/>
          </w:tcPr>
          <w:p>
            <w:r>
              <w:rPr>
                <w:rFonts w:ascii="Times New Roman" w:hAnsi="Times New Roman"/>
                <w:sz w:val="20"/>
              </w:rPr>
              <w:t>pd_clin</w:t>
            </w:r>
          </w:p>
        </w:tc>
        <w:tc>
          <w:tcPr>
            <w:tcW w:type="dxa" w:w="2340"/>
          </w:tcPr>
          <w:p>
            <w:r>
              <w:rPr>
                <w:rFonts w:ascii="Times New Roman" w:hAnsi="Times New Roman"/>
                <w:sz w:val="20"/>
              </w:rPr>
              <w:t>1.038</w:t>
            </w:r>
          </w:p>
        </w:tc>
        <w:tc>
          <w:tcPr>
            <w:tcW w:type="dxa" w:w="2340"/>
          </w:tcPr>
          <w:p>
            <w:r>
              <w:rPr>
                <w:rFonts w:ascii="Times New Roman" w:hAnsi="Times New Roman"/>
                <w:sz w:val="20"/>
              </w:rPr>
              <w:t>364,964</w:t>
            </w:r>
          </w:p>
        </w:tc>
      </w:tr>
      <w:tr>
        <w:tc>
          <w:tcPr>
            <w:tcW w:type="dxa" w:w="2340"/>
          </w:tcPr>
          <w:p>
            <w:r>
              <w:rPr>
                <w:rFonts w:ascii="Times New Roman" w:hAnsi="Times New Roman"/>
                <w:sz w:val="20"/>
              </w:rPr>
              <w:t>Cost: late status epilepticus</w:t>
            </w:r>
          </w:p>
        </w:tc>
        <w:tc>
          <w:tcPr>
            <w:tcW w:type="dxa" w:w="2340"/>
          </w:tcPr>
          <w:p>
            <w:r>
              <w:rPr>
                <w:rFonts w:ascii="Times New Roman" w:hAnsi="Times New Roman"/>
                <w:sz w:val="20"/>
              </w:rPr>
              <w:t>c_se_l</w:t>
            </w:r>
          </w:p>
        </w:tc>
        <w:tc>
          <w:tcPr>
            <w:tcW w:type="dxa" w:w="2340"/>
          </w:tcPr>
          <w:p>
            <w:r>
              <w:rPr>
                <w:rFonts w:ascii="Times New Roman" w:hAnsi="Times New Roman"/>
                <w:sz w:val="20"/>
              </w:rPr>
              <w:t>0.661</w:t>
            </w:r>
          </w:p>
        </w:tc>
        <w:tc>
          <w:tcPr>
            <w:tcW w:type="dxa" w:w="2340"/>
          </w:tcPr>
          <w:p>
            <w:r>
              <w:rPr>
                <w:rFonts w:ascii="Times New Roman" w:hAnsi="Times New Roman"/>
                <w:sz w:val="20"/>
              </w:rPr>
              <w:t>232,364</w:t>
            </w:r>
          </w:p>
        </w:tc>
      </w:tr>
      <w:tr>
        <w:tc>
          <w:tcPr>
            <w:tcW w:type="dxa" w:w="2340"/>
          </w:tcPr>
          <w:p>
            <w:r>
              <w:rPr>
                <w:rFonts w:ascii="Times New Roman" w:hAnsi="Times New Roman"/>
                <w:sz w:val="20"/>
              </w:rPr>
              <w:t>QALY decrement per seizure</w:t>
            </w:r>
          </w:p>
        </w:tc>
        <w:tc>
          <w:tcPr>
            <w:tcW w:type="dxa" w:w="2340"/>
          </w:tcPr>
          <w:p>
            <w:r>
              <w:rPr>
                <w:rFonts w:ascii="Times New Roman" w:hAnsi="Times New Roman"/>
                <w:sz w:val="20"/>
              </w:rPr>
              <w:t>u_dec</w:t>
            </w:r>
          </w:p>
        </w:tc>
        <w:tc>
          <w:tcPr>
            <w:tcW w:type="dxa" w:w="2340"/>
          </w:tcPr>
          <w:p>
            <w:r>
              <w:rPr>
                <w:rFonts w:ascii="Times New Roman" w:hAnsi="Times New Roman"/>
                <w:sz w:val="20"/>
              </w:rPr>
              <w:t>0.000</w:t>
            </w:r>
          </w:p>
        </w:tc>
        <w:tc>
          <w:tcPr>
            <w:tcW w:type="dxa" w:w="2340"/>
          </w:tcPr>
          <w:p>
            <w:r>
              <w:rPr>
                <w:rFonts w:ascii="Times New Roman" w:hAnsi="Times New Roman"/>
                <w:sz w:val="20"/>
              </w:rPr>
              <w:t>0.006</w:t>
            </w:r>
          </w:p>
        </w:tc>
      </w:tr>
      <w:tr>
        <w:tc>
          <w:tcPr>
            <w:tcW w:type="dxa" w:w="2340"/>
          </w:tcPr>
          <w:p>
            <w:r>
              <w:rPr>
                <w:rFonts w:ascii="Times New Roman" w:hAnsi="Times New Roman"/>
                <w:sz w:val="20"/>
              </w:rPr>
              <w:t>P(cEEG detection)</w:t>
            </w:r>
          </w:p>
        </w:tc>
        <w:tc>
          <w:tcPr>
            <w:tcW w:type="dxa" w:w="2340"/>
          </w:tcPr>
          <w:p>
            <w:r>
              <w:rPr>
                <w:rFonts w:ascii="Times New Roman" w:hAnsi="Times New Roman"/>
                <w:sz w:val="20"/>
              </w:rPr>
              <w:t>pd_ceeg</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early status epilepticus</w:t>
            </w:r>
          </w:p>
        </w:tc>
        <w:tc>
          <w:tcPr>
            <w:tcW w:type="dxa" w:w="2340"/>
          </w:tcPr>
          <w:p>
            <w:r>
              <w:rPr>
                <w:rFonts w:ascii="Times New Roman" w:hAnsi="Times New Roman"/>
                <w:sz w:val="20"/>
              </w:rPr>
              <w:t>c_se_e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P(status epilepticus | seizure)</w:t>
            </w:r>
          </w:p>
        </w:tc>
        <w:tc>
          <w:tcPr>
            <w:tcW w:type="dxa" w:w="2340"/>
          </w:tcPr>
          <w:p>
            <w:r>
              <w:rPr>
                <w:rFonts w:ascii="Times New Roman" w:hAnsi="Times New Roman"/>
                <w:sz w:val="20"/>
              </w:rPr>
              <w:t>p_se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annual epilepsy care</w:t>
            </w:r>
          </w:p>
        </w:tc>
        <w:tc>
          <w:tcPr>
            <w:tcW w:type="dxa" w:w="2340"/>
          </w:tcPr>
          <w:p>
            <w:r>
              <w:rPr>
                <w:rFonts w:ascii="Times New Roman" w:hAnsi="Times New Roman"/>
                <w:sz w:val="20"/>
              </w:rPr>
              <w:t>c_epi</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br w:type="page"/>
      </w:r>
    </w:p>
    <w:p>
      <w:pPr>
        <w:pStyle w:val="Heading1"/>
      </w:pPr>
      <w:r>
        <w:rPr>
          <w:rFonts w:ascii="Times New Roman" w:hAnsi="Times New Roman"/>
          <w:color w:val="141F3A"/>
        </w:rPr>
        <w:t>Supplementary Figures</w:t>
      </w:r>
    </w:p>
    <w:p>
      <w:pPr>
        <w:jc w:val="center"/>
      </w:pPr>
      <w:r>
        <w:drawing>
          <wp:inline xmlns:a="http://schemas.openxmlformats.org/drawingml/2006/main" xmlns:pic="http://schemas.openxmlformats.org/drawingml/2006/picture">
            <wp:extent cx="5943600" cy="8738597"/>
            <wp:docPr id="2" name="Picture 2"/>
            <wp:cNvGraphicFramePr>
              <a:graphicFrameLocks noChangeAspect="1"/>
            </wp:cNvGraphicFramePr>
            <a:graphic>
              <a:graphicData uri="http://schemas.openxmlformats.org/drawingml/2006/picture">
                <pic:pic>
                  <pic:nvPicPr>
                    <pic:cNvPr id="0" name="04_loho_forest_full_Set_C.png"/>
                    <pic:cNvPicPr/>
                  </pic:nvPicPr>
                  <pic:blipFill>
                    <a:blip r:embed="rId10"/>
                    <a:stretch>
                      <a:fillRect/>
                    </a:stretch>
                  </pic:blipFill>
                  <pic:spPr>
                    <a:xfrm>
                      <a:off x="0" y="0"/>
                      <a:ext cx="5943600" cy="8738597"/>
                    </a:xfrm>
                    <a:prstGeom prst="rect"/>
                  </pic:spPr>
                </pic:pic>
              </a:graphicData>
            </a:graphic>
          </wp:inline>
        </w:drawing>
      </w:r>
    </w:p>
    <w:p>
      <w:pPr>
        <w:jc w:val="left"/>
      </w:pPr>
      <w:r>
        <w:rPr>
          <w:rFonts w:ascii="Times New Roman" w:hAnsi="Times New Roman"/>
          <w:i/>
          <w:sz w:val="20"/>
        </w:rPr>
        <w:t>Figure S1.  Per-hospital leave-one-hospital-out forest plot (eICU Set C, full cohort, 42 hospitals).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8744131"/>
            <wp:docPr id="3" name="Picture 3"/>
            <wp:cNvGraphicFramePr>
              <a:graphicFrameLocks noChangeAspect="1"/>
            </wp:cNvGraphicFramePr>
            <a:graphic>
              <a:graphicData uri="http://schemas.openxmlformats.org/drawingml/2006/picture">
                <pic:pic>
                  <pic:nvPicPr>
                    <pic:cNvPr id="0" name="04_loho_forest_full_Set_A.png"/>
                    <pic:cNvPicPr/>
                  </pic:nvPicPr>
                  <pic:blipFill>
                    <a:blip r:embed="rId11"/>
                    <a:stretch>
                      <a:fillRect/>
                    </a:stretch>
                  </pic:blipFill>
                  <pic:spPr>
                    <a:xfrm>
                      <a:off x="0" y="0"/>
                      <a:ext cx="5943600" cy="8744131"/>
                    </a:xfrm>
                    <a:prstGeom prst="rect"/>
                  </pic:spPr>
                </pic:pic>
              </a:graphicData>
            </a:graphic>
          </wp:inline>
        </w:drawing>
      </w:r>
    </w:p>
    <w:p>
      <w:pPr>
        <w:jc w:val="left"/>
      </w:pPr>
      <w:r>
        <w:rPr>
          <w:rFonts w:ascii="Times New Roman" w:hAnsi="Times New Roman"/>
          <w:i/>
          <w:sz w:val="20"/>
        </w:rPr>
        <w:t>Figure S2.  Per-hospital leave-one-hospital-out forest plot (eICU Set A, full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105899"/>
            <wp:docPr id="4" name="Picture 4"/>
            <wp:cNvGraphicFramePr>
              <a:graphicFrameLocks noChangeAspect="1"/>
            </wp:cNvGraphicFramePr>
            <a:graphic>
              <a:graphicData uri="http://schemas.openxmlformats.org/drawingml/2006/picture">
                <pic:pic>
                  <pic:nvPicPr>
                    <pic:cNvPr id="0" name="05_auc_comparison.png"/>
                    <pic:cNvPicPr/>
                  </pic:nvPicPr>
                  <pic:blipFill>
                    <a:blip r:embed="rId12"/>
                    <a:stretch>
                      <a:fillRect/>
                    </a:stretch>
                  </pic:blipFill>
                  <pic:spPr>
                    <a:xfrm>
                      <a:off x="0" y="0"/>
                      <a:ext cx="5943600" cy="3105899"/>
                    </a:xfrm>
                    <a:prstGeom prst="rect"/>
                  </pic:spPr>
                </pic:pic>
              </a:graphicData>
            </a:graphic>
          </wp:inline>
        </w:drawing>
      </w:r>
    </w:p>
    <w:p>
      <w:pPr>
        <w:jc w:val="left"/>
      </w:pPr>
      <w:r>
        <w:rPr>
          <w:rFonts w:ascii="Times New Roman" w:hAnsi="Times New Roman"/>
          <w:i/>
          <w:sz w:val="20"/>
        </w:rPr>
        <w:t>Figure S3.  Temporal-leakage audit — AUC across feature specifications and time-window cuts.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347523"/>
            <wp:docPr id="5" name="Picture 5"/>
            <wp:cNvGraphicFramePr>
              <a:graphicFrameLocks noChangeAspect="1"/>
            </wp:cNvGraphicFramePr>
            <a:graphic>
              <a:graphicData uri="http://schemas.openxmlformats.org/drawingml/2006/picture">
                <pic:pic>
                  <pic:nvPicPr>
                    <pic:cNvPr id="0" name="07_missingness.png"/>
                    <pic:cNvPicPr/>
                  </pic:nvPicPr>
                  <pic:blipFill>
                    <a:blip r:embed="rId13"/>
                    <a:stretch>
                      <a:fillRect/>
                    </a:stretch>
                  </pic:blipFill>
                  <pic:spPr>
                    <a:xfrm>
                      <a:off x="0" y="0"/>
                      <a:ext cx="5943600" cy="2347523"/>
                    </a:xfrm>
                    <a:prstGeom prst="rect"/>
                  </pic:spPr>
                </pic:pic>
              </a:graphicData>
            </a:graphic>
          </wp:inline>
        </w:drawing>
      </w:r>
    </w:p>
    <w:p>
      <w:pPr>
        <w:jc w:val="left"/>
      </w:pPr>
      <w:r>
        <w:rPr>
          <w:rFonts w:ascii="Times New Roman" w:hAnsi="Times New Roman"/>
          <w:i/>
          <w:sz w:val="20"/>
        </w:rPr>
        <w:t>Figure S4.  Missingness pattern and Rubin's-rules multiple-imputation pooling.</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65971"/>
            <wp:docPr id="6" name="Picture 6"/>
            <wp:cNvGraphicFramePr>
              <a:graphicFrameLocks noChangeAspect="1"/>
            </wp:cNvGraphicFramePr>
            <a:graphic>
              <a:graphicData uri="http://schemas.openxmlformats.org/drawingml/2006/picture">
                <pic:pic>
                  <pic:nvPicPr>
                    <pic:cNvPr id="0" name="12_nis_outcome_auc.png"/>
                    <pic:cNvPicPr/>
                  </pic:nvPicPr>
                  <pic:blipFill>
                    <a:blip r:embed="rId14"/>
                    <a:stretch>
                      <a:fillRect/>
                    </a:stretch>
                  </pic:blipFill>
                  <pic:spPr>
                    <a:xfrm>
                      <a:off x="0" y="0"/>
                      <a:ext cx="5943600" cy="3265971"/>
                    </a:xfrm>
                    <a:prstGeom prst="rect"/>
                  </pic:spPr>
                </pic:pic>
              </a:graphicData>
            </a:graphic>
          </wp:inline>
        </w:drawing>
      </w:r>
    </w:p>
    <w:p>
      <w:pPr>
        <w:jc w:val="left"/>
      </w:pPr>
      <w:r>
        <w:rPr>
          <w:rFonts w:ascii="Times New Roman" w:hAnsi="Times New Roman"/>
          <w:i/>
          <w:sz w:val="20"/>
        </w:rPr>
        <w:t>Figure S5.  Nationwide Inpatient Sample outcome reclassification — AUC under original combined outcome (0.617) vs corrected acute symptomatic outcome (0.498).</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1608"/>
            <wp:docPr id="7" name="Picture 7"/>
            <wp:cNvGraphicFramePr>
              <a:graphicFrameLocks noChangeAspect="1"/>
            </wp:cNvGraphicFramePr>
            <a:graphic>
              <a:graphicData uri="http://schemas.openxmlformats.org/drawingml/2006/picture">
                <pic:pic>
                  <pic:nvPicPr>
                    <pic:cNvPr id="0" name="09_cumulative_incidence.png"/>
                    <pic:cNvPicPr/>
                  </pic:nvPicPr>
                  <pic:blipFill>
                    <a:blip r:embed="rId15"/>
                    <a:stretch>
                      <a:fillRect/>
                    </a:stretch>
                  </pic:blipFill>
                  <pic:spPr>
                    <a:xfrm>
                      <a:off x="0" y="0"/>
                      <a:ext cx="5943600" cy="2251608"/>
                    </a:xfrm>
                    <a:prstGeom prst="rect"/>
                  </pic:spPr>
                </pic:pic>
              </a:graphicData>
            </a:graphic>
          </wp:inline>
        </w:drawing>
      </w:r>
    </w:p>
    <w:p>
      <w:pPr>
        <w:jc w:val="left"/>
      </w:pPr>
      <w:r>
        <w:rPr>
          <w:rFonts w:ascii="Times New Roman" w:hAnsi="Times New Roman"/>
          <w:i/>
          <w:sz w:val="20"/>
        </w:rPr>
        <w:t>Figure S6.  Competing-risks cumulative-incidence functions and cause-specific Cox / IPCW Fine–Gray comparison.</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3039"/>
            <wp:docPr id="8" name="Picture 8"/>
            <wp:cNvGraphicFramePr>
              <a:graphicFrameLocks noChangeAspect="1"/>
            </wp:cNvGraphicFramePr>
            <a:graphic>
              <a:graphicData uri="http://schemas.openxmlformats.org/drawingml/2006/picture">
                <pic:pic>
                  <pic:nvPicPr>
                    <pic:cNvPr id="0" name="13_nis_grouped_lasso.png"/>
                    <pic:cNvPicPr/>
                  </pic:nvPicPr>
                  <pic:blipFill>
                    <a:blip r:embed="rId16"/>
                    <a:stretch>
                      <a:fillRect/>
                    </a:stretch>
                  </pic:blipFill>
                  <pic:spPr>
                    <a:xfrm>
                      <a:off x="0" y="0"/>
                      <a:ext cx="5943600" cy="2253039"/>
                    </a:xfrm>
                    <a:prstGeom prst="rect"/>
                  </pic:spPr>
                </pic:pic>
              </a:graphicData>
            </a:graphic>
          </wp:inline>
        </w:drawing>
      </w:r>
    </w:p>
    <w:p>
      <w:pPr>
        <w:jc w:val="left"/>
      </w:pPr>
      <w:r>
        <w:rPr>
          <w:rFonts w:ascii="Times New Roman" w:hAnsi="Times New Roman"/>
          <w:i/>
          <w:sz w:val="20"/>
        </w:rPr>
        <w:t>Figure S7.  λ-path-tuned group-LASSO and sparse-group-LASSO on the NIS chronic+surgical cohort with the corrected outcome.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