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multi-database evaluation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(prediction interval 0.53–0.95). Class-conditional conformal prediction at α=0.10 gave confident singleton predictions in 22% of patients (rule-out 11%; rule-in 11%). ML-guided allocation beat watchful observation and, at a matched treated fraction, beat random allocation (discrimination premium ≈$1,000–1,600/patient), confirming the model — not the treated fraction — added value. The choice between universal AED and ML-guided allocation depended on AED efficacy and harm in cSDH (both uncertain): under cSDH-plausible values ML-guided allocation had the highest expected net benefit, whereas universal AED was preferable only under optimistic, imported efficacy assumptions.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evaluation, the eICU Collaborative Research Database was screened in stages: 5,376 ICU stays with any subdural haematoma diagnosis across 139 hospitals were identified, from which the pre-specified primary stratum — non-traumatic SDH stays at hospitals contributing ≥10 such stays —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 no randomised trial exists and pooled observational estimates show no significant seizure reduction — the AED relative-risk reduction was anchored at an imported base case of 0.45 (post-traumatic/tumour literature) purely as an optimistic reference, with the cSDH-plausible range of 0–0.30 and the AED disutility (0.02–0.15)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 a related, mixed-acuity ICU population rather than operatively-evacuated cSDH —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 compressed toward the base rate —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candidate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candidate model abstains more often than the BalancedRandomForest reference because its calibrated probabilities occupy a narrow range —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 the calibrated base-rate threshold of 7.3% —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Crucially,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 not its treated fraction —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In a value-of-information analysis recomputed under the deployable model and cSDH-grounded AED priors — to our knowledge the first applied to this question —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 the efficacy of AED prophylaxis (no randomised trial exists, and pooled observational estimates, including our own, show no significant seizure reduction)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Importantly,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 the first applied to this question —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 radiomic seizure models with reported discrimination (e.g. AUC 0.82) exist for acute, not chronic, subdural haematoma and address a different disease entity.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ML-guided allocation exceeds watchful observation;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external-evaluation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6295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62954"/>
                    </a:xfrm>
                    <a:prstGeom prst="rect"/>
                  </pic:spPr>
                </pic:pic>
              </a:graphicData>
            </a:graphic>
          </wp:inline>
        </w:drawing>
      </w:r>
    </w:p>
    <w:p>
      <w:pPr>
        <w:jc w:val="left"/>
      </w:pPr>
      <w:r>
        <w:rPr>
          <w:rFonts w:ascii="Times New Roman" w:hAnsi="Times New Roman"/>
          <w:i/>
          <w:sz w:val="20"/>
        </w:rPr>
        <w:t>Figure 4.  Class-conditional conformal prediction on the candidate Firth postoperative-B model. A — Empirical class-conditional coverage near the target 1−α across α ∈ {0.05, 0.10, 0.20}. B — Rule-out and rule-in singleton fractions versus α; at α = 0.10 the procedure delivers confident decisions for 22% of patients (rule-out 11%,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