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2.png" ContentType="image/png"/>
  <Override PartName="/word/media/rId19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Common-variant burden of the core circadian oscillator is enriched in genetic generalized epilepsy but not focal epilepsy: an LD-aware summary-statistics genetic study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The generalized epilepsies, particularly juvenile myoclonic epilepsy, show a strong</w:t>
      </w:r>
      <w:r>
        <w:t xml:space="preserve"> </w:t>
      </w:r>
      <w:r>
        <w:t xml:space="preserve">clinical relationship to the sleep–wake cycle, and generalized-seizure patients are more likely to</w:t>
      </w:r>
      <w:r>
        <w:t xml:space="preserve"> </w:t>
      </w:r>
      <w:r>
        <w:t xml:space="preserve">be evening chronotypes. Whether the core circadian (</w:t>
      </w:r>
      <w:r>
        <w:t xml:space="preserve">“clock”</w:t>
      </w:r>
      <w:r>
        <w:t xml:space="preserve">) oscillator contributes to the</w:t>
      </w:r>
      <w:r>
        <w:t xml:space="preserve"> </w:t>
      </w:r>
      <w:r>
        <w:rPr>
          <w:i/>
          <w:iCs/>
        </w:rPr>
        <w:t xml:space="preserve">common-</w:t>
      </w:r>
      <w:r>
        <w:rPr>
          <w:i/>
          <w:iCs/>
        </w:rPr>
        <w:t xml:space="preserve"> </w:t>
      </w:r>
      <w:r>
        <w:rPr>
          <w:i/>
          <w:iCs/>
        </w:rPr>
        <w:t xml:space="preserve">variant</w:t>
      </w:r>
      <w:r>
        <w:t xml:space="preserve"> </w:t>
      </w:r>
      <w:r>
        <w:t xml:space="preserve">genetic architecture of epilepsy, and whether it does so differentially by epilepsy type,</w:t>
      </w:r>
      <w:r>
        <w:t xml:space="preserve"> </w:t>
      </w:r>
      <w:r>
        <w:t xml:space="preserve">has not been tested with a well-powered, subtype-resolved, LD-aware analysis.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Using European summary statistics from the ILAE Consortium on Complex Epilepsies</w:t>
      </w:r>
      <w:r>
        <w:t xml:space="preserve"> </w:t>
      </w:r>
      <w:r>
        <w:t xml:space="preserve">(focal epilepsy, genetic generalized epilepsy [GGE], all-epilepsy) we tested a pre-registered set of</w:t>
      </w:r>
      <w:r>
        <w:t xml:space="preserve"> </w:t>
      </w:r>
      <w:r>
        <w:t xml:space="preserve">23 core clock genes for common-variant enrichment. The primary test was an LD-aware MAGMA</w:t>
      </w:r>
      <w:r>
        <w:t xml:space="preserve"> </w:t>
      </w:r>
      <w:r>
        <w:t xml:space="preserve">competitive gene-set analysis (1000 Genomes European reference; conditioning on gene size, gene</w:t>
      </w:r>
      <w:r>
        <w:t xml:space="preserve"> </w:t>
      </w:r>
      <w:r>
        <w:t xml:space="preserve">density, sample size and minor-allele count), with a covariate-matched top-SNP null as a</w:t>
      </w:r>
      <w:r>
        <w:t xml:space="preserve"> </w:t>
      </w:r>
      <w:r>
        <w:t xml:space="preserve">corroborating screen and extensive robustness analysis (leave-one/​k-out, in-body-only assignment,</w:t>
      </w:r>
      <w:r>
        <w:t xml:space="preserve"> </w:t>
      </w:r>
      <w:r>
        <w:t xml:space="preserve">median statistic, multi-seed p-values, positive/negative-control gene sets). We tested</w:t>
      </w:r>
      <w:r>
        <w:t xml:space="preserve"> </w:t>
      </w:r>
      <w:r>
        <w:t xml:space="preserve">type-specificity with a shared-control difference test, sought independent replication in FinnGen R12</w:t>
      </w:r>
      <w:r>
        <w:t xml:space="preserve"> </w:t>
      </w:r>
      <w:r>
        <w:t xml:space="preserve">(generalized epilepsy, 1,690 cases), and interrogated causality/mechanism with two-sample Mendelian</w:t>
      </w:r>
      <w:r>
        <w:t xml:space="preserve"> </w:t>
      </w:r>
      <w:r>
        <w:t xml:space="preserve">randomization (MR) of four behavioural sleep exposures,</w:t>
      </w:r>
      <w:r>
        <w:t xml:space="preserve"> </w:t>
      </w:r>
      <w:r>
        <w:rPr>
          <w:i/>
          <w:iCs/>
        </w:rPr>
        <w:t xml:space="preserve">cis</w:t>
      </w:r>
      <w:r>
        <w:t xml:space="preserve">-eQTL MR, colocalization (coloc.abf,</w:t>
      </w:r>
      <w:r>
        <w:t xml:space="preserve"> </w:t>
      </w:r>
      <w:r>
        <w:t xml:space="preserve">PsychENCODE prefrontal cortex), and GTEx splice- and expression-QTL lookup at the lead locus.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The core circadian oscillator was enriched for GGE association under LD-aware MAGMA</w:t>
      </w:r>
      <w:r>
        <w:t xml:space="preserve"> </w:t>
      </w:r>
      <w:r>
        <w:t xml:space="preserve">(competitive</w:t>
      </w:r>
      <w:r>
        <w:t xml:space="preserve"> </w:t>
      </w:r>
      <w:r>
        <w:rPr>
          <w:b/>
          <w:bCs/>
        </w:rPr>
        <w:t xml:space="preserve">P = 1.7×10⁻⁴</w:t>
      </w:r>
      <w:r>
        <w:t xml:space="preserve">, β = 0.67; 22 genes with a valid SNP),</w:t>
      </w:r>
      <w:r>
        <w:t xml:space="preserve"> </w:t>
      </w:r>
      <w:r>
        <w:rPr>
          <w:b/>
          <w:bCs/>
        </w:rPr>
        <w:t xml:space="preserve">null in focal epilepsy</w:t>
      </w:r>
      <w:r>
        <w:t xml:space="preserve"> </w:t>
      </w:r>
      <w:r>
        <w:t xml:space="preserve">(P = 0.73), with a housekeeping set null in both. The enrichment was robust to removing the strongest</w:t>
      </w:r>
      <w:r>
        <w:t xml:space="preserve"> </w:t>
      </w:r>
      <w:r>
        <w:t xml:space="preserve">gene (drop</w:t>
      </w:r>
      <w:r>
        <w:t xml:space="preserve"> </w:t>
      </w:r>
      <w:r>
        <w:rPr>
          <w:i/>
          <w:iCs/>
        </w:rPr>
        <w:t xml:space="preserve">PER1</w:t>
      </w:r>
      <w:r>
        <w:t xml:space="preserve"> </w:t>
      </w:r>
      <w:r>
        <w:t xml:space="preserve">P = 1.4×10⁻⁴; drop</w:t>
      </w:r>
      <w:r>
        <w:t xml:space="preserve"> </w:t>
      </w:r>
      <w:r>
        <w:rPr>
          <w:i/>
          <w:iCs/>
        </w:rPr>
        <w:t xml:space="preserve">PER1</w:t>
      </w:r>
      <w:r>
        <w:t xml:space="preserve">+</w:t>
      </w:r>
      <w:r>
        <w:rPr>
          <w:i/>
          <w:iCs/>
        </w:rPr>
        <w:t xml:space="preserve">PER3</w:t>
      </w:r>
      <w:r>
        <w:t xml:space="preserve"> </w:t>
      </w:r>
      <w:r>
        <w:t xml:space="preserve">P = 2.3×10⁻³), was corroborated by the matched-null</w:t>
      </w:r>
      <w:r>
        <w:t xml:space="preserve"> </w:t>
      </w:r>
      <w:r>
        <w:t xml:space="preserve">screen (ratio 1.53; median empirical p = 1.9×10⁻³ across 50 seeds) and an in-body-only variant</w:t>
      </w:r>
      <w:r>
        <w:t xml:space="preserve"> </w:t>
      </w:r>
      <w:r>
        <w:t xml:space="preserve">(ratio 1.74), and was</w:t>
      </w:r>
      <w:r>
        <w:t xml:space="preserve"> </w:t>
      </w:r>
      <w:r>
        <w:rPr>
          <w:b/>
          <w:bCs/>
        </w:rPr>
        <w:t xml:space="preserve">specific to the core oscillator</w:t>
      </w:r>
      <w:r>
        <w:t xml:space="preserve"> </w:t>
      </w:r>
      <w:r>
        <w:t xml:space="preserve">— the broad GO:0007623 circadian annotation</w:t>
      </w:r>
      <w:r>
        <w:t xml:space="preserve"> </w:t>
      </w:r>
      <w:r>
        <w:t xml:space="preserve">(185 genes) was null and not GGE-specific. A shared-control difference test confirmed GGE &gt; focal</w:t>
      </w:r>
      <w:r>
        <w:t xml:space="preserve"> </w:t>
      </w:r>
      <w:r>
        <w:t xml:space="preserve">(Δ = 0.55, 2-sided p = 3.1×10⁻³). The signal did</w:t>
      </w:r>
      <w:r>
        <w:t xml:space="preserve"> </w:t>
      </w:r>
      <w:r>
        <w:rPr>
          <w:b/>
          <w:bCs/>
        </w:rPr>
        <w:t xml:space="preserve">not replicate</w:t>
      </w:r>
      <w:r>
        <w:t xml:space="preserve"> </w:t>
      </w:r>
      <w:r>
        <w:t xml:space="preserve">in FinnGen (mean-χ² ratio 0.85 and</w:t>
      </w:r>
      <w:r>
        <w:t xml:space="preserve"> </w:t>
      </w:r>
      <w:r>
        <w:t xml:space="preserve">rank test both p = 0.99), though FinnGen GGE is ~2× smaller and registry-phenotyped and even the</w:t>
      </w:r>
      <w:r>
        <w:t xml:space="preserve"> </w:t>
      </w:r>
      <w:r>
        <w:t xml:space="preserve">strongest established GGE loci attenuated sharply, so this is a power-/phenotype-limited</w:t>
      </w:r>
      <w:r>
        <w:t xml:space="preserve"> </w:t>
      </w:r>
      <w:r>
        <w:t xml:space="preserve">non-replication rather than a refutation. No behavioural sleep exposure showed a robust causal MR</w:t>
      </w:r>
      <w:r>
        <w:t xml:space="preserve"> </w:t>
      </w:r>
      <w:r>
        <w:t xml:space="preserve">effect on either epilepsy type. The lead variant (rs2585398, intronic to</w:t>
      </w:r>
      <w:r>
        <w:t xml:space="preserve"> </w:t>
      </w:r>
      <w:r>
        <w:rPr>
          <w:i/>
          <w:iCs/>
        </w:rPr>
        <w:t xml:space="preserve">PER1</w:t>
      </w:r>
      <w:r>
        <w:t xml:space="preserve">, MAGMA gene</w:t>
      </w:r>
      <w:r>
        <w:t xml:space="preserve"> </w:t>
      </w:r>
      <w:r>
        <w:t xml:space="preserve">P = 7.9×10⁻⁷) is a strong</w:t>
      </w:r>
      <w:r>
        <w:t xml:space="preserve"> </w:t>
      </w:r>
      <w:r>
        <w:rPr>
          <w:i/>
          <w:iCs/>
        </w:rPr>
        <w:t xml:space="preserve">PER1</w:t>
      </w:r>
      <w:r>
        <w:t xml:space="preserve"> </w:t>
      </w:r>
      <w:r>
        <w:t xml:space="preserve">splice-QTL peripherally but does not colocalize with steady-state</w:t>
      </w:r>
      <w:r>
        <w:t xml:space="preserve"> </w:t>
      </w:r>
      <w:r>
        <w:t xml:space="preserve">clock-gene expression; in brain the same variant is an eQTL for the co-located synaptic gene</w:t>
      </w:r>
      <w:r>
        <w:t xml:space="preserve"> </w:t>
      </w:r>
      <w:r>
        <w:rPr>
          <w:i/>
          <w:iCs/>
        </w:rPr>
        <w:t xml:space="preserve">VAMP2</w:t>
      </w:r>
      <w:r>
        <w:t xml:space="preserve">,</w:t>
      </w:r>
      <w:r>
        <w:t xml:space="preserve"> </w:t>
      </w:r>
      <w:r>
        <w:t xml:space="preserve">so the causal gene at the locus is not resolved.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Core circadian-oscillator common variation is enriched specifically in genetic</w:t>
      </w:r>
      <w:r>
        <w:t xml:space="preserve"> </w:t>
      </w:r>
      <w:r>
        <w:t xml:space="preserve">generalized epilepsy under a gold-standard LD-aware test, is GGE-specific and robust to the strongest</w:t>
      </w:r>
      <w:r>
        <w:t xml:space="preserve"> </w:t>
      </w:r>
      <w:r>
        <w:t xml:space="preserve">gene, and is independent of genetically-instrumented sleep behaviour and steady-state clock-gene</w:t>
      </w:r>
      <w:r>
        <w:t xml:space="preserve"> </w:t>
      </w:r>
      <w:r>
        <w:t xml:space="preserve">expression. The effect has not yet replicated in an independent cohort and the causal gene at the</w:t>
      </w:r>
      <w:r>
        <w:t xml:space="preserve"> </w:t>
      </w:r>
      <w:r>
        <w:t xml:space="preserve">lead (</w:t>
      </w:r>
      <w:r>
        <w:rPr>
          <w:i/>
          <w:iCs/>
        </w:rPr>
        <w:t xml:space="preserve">PER1</w:t>
      </w:r>
      <w:r>
        <w:t xml:space="preserve">) locus is unresolved; both are the priority next steps.</w: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Seizures in the generalized epilepsies are tightly coupled to the sleep–wake transition. Juvenile</w:t>
      </w:r>
      <w:r>
        <w:t xml:space="preserve"> </w:t>
      </w:r>
      <w:r>
        <w:t xml:space="preserve">myoclonic epilepsy is defined in part by myoclonus on awakening, and in generalized tonic-clonic</w:t>
      </w:r>
      <w:r>
        <w:t xml:space="preserve"> </w:t>
      </w:r>
      <w:r>
        <w:t xml:space="preserve">seizures on awakening roughly 90% of seizures occur within two hours of waking, at any clock time</w:t>
      </w:r>
      <w:r>
        <w:t xml:space="preserve"> </w:t>
      </w:r>
      <w:r>
        <w:t xml:space="preserve">[Frank &amp; Yaari]. Generalized epileptiform discharges are strongly state-dependent — potentiated by</w:t>
      </w:r>
      <w:r>
        <w:t xml:space="preserve"> </w:t>
      </w:r>
      <w:r>
        <w:t xml:space="preserve">non-REM sleep and suppressed by alert wakefulness and REM [Ng &amp; Pavlova] — giving generalized</w:t>
      </w:r>
      <w:r>
        <w:t xml:space="preserve"> </w:t>
      </w:r>
      <w:r>
        <w:t xml:space="preserve">epilepsy a timing signature distinct from focal epilepsy. Chronotype tracks epilepsy type: 36% of</w:t>
      </w:r>
      <w:r>
        <w:t xml:space="preserve"> </w:t>
      </w:r>
      <w:r>
        <w:t xml:space="preserve">patients with generalized epilepsy were evening types versus 11% of those with focal epilepsy</w:t>
      </w:r>
      <w:r>
        <w:t xml:space="preserve"> </w:t>
      </w:r>
      <w:r>
        <w:t xml:space="preserve">[Choi et al.], and correcting a comorbid delayed sleep–wake phase disorder reduced juvenile-myoclonic</w:t>
      </w:r>
      <w:r>
        <w:t xml:space="preserve"> </w:t>
      </w:r>
      <w:r>
        <w:t xml:space="preserve">seizures from eight to zero per month without any change in anti-seizure medication [Khan et al.].</w:t>
      </w:r>
      <w:r>
        <w:t xml:space="preserve"> </w:t>
      </w:r>
      <w:r>
        <w:t xml:space="preserve">These observations motivate the</w:t>
      </w:r>
      <w:r>
        <w:t xml:space="preserve"> </w:t>
      </w:r>
      <w:r>
        <w:t xml:space="preserve">“chronoepileptology”</w:t>
      </w:r>
      <w:r>
        <w:t xml:space="preserve"> </w:t>
      </w:r>
      <w:r>
        <w:t xml:space="preserve">hypothesis that circadian biology shapes seizure</w:t>
      </w:r>
      <w:r>
        <w:t xml:space="preserve"> </w:t>
      </w:r>
      <w:r>
        <w:t xml:space="preserve">liability. Yet prior genetic work linking the molecular clock to epilepsy has been limited to animal</w:t>
      </w:r>
      <w:r>
        <w:t xml:space="preserve"> </w:t>
      </w:r>
      <w:r>
        <w:t xml:space="preserve">models and small candidate-gene studies (&lt;100 patients) that were underpowered and largely null; a</w:t>
      </w:r>
      <w:r>
        <w:t xml:space="preserve"> </w:t>
      </w:r>
      <w:r>
        <w:t xml:space="preserve">recent review explicitly identified well-powered, subtype-resolved analysis as an open question.</w:t>
      </w:r>
    </w:p>
    <w:p>
      <w:pPr>
        <w:pStyle w:val="BodyText"/>
      </w:pPr>
      <w:r>
        <w:t xml:space="preserve">The ILAE Consortium’s third genome-wide association study (29,944 cases, 52,538 controls) revealed</w:t>
      </w:r>
      <w:r>
        <w:t xml:space="preserve"> </w:t>
      </w:r>
      <w:r>
        <w:t xml:space="preserve">markedly different common-variant architectures for focal versus generalized epilepsy and provides</w:t>
      </w:r>
      <w:r>
        <w:t xml:space="preserve"> </w:t>
      </w:r>
      <w:r>
        <w:t xml:space="preserve">the power to test the circadian hypothesis directly. We asked three questions, each a distinct</w:t>
      </w:r>
      <w:r>
        <w:t xml:space="preserve"> </w:t>
      </w:r>
      <w:r>
        <w:t xml:space="preserve">estimand: (1) is the common-variant burden in the core clock oscillator differentially enriched</w:t>
      </w:r>
      <w:r>
        <w:t xml:space="preserve"> </w:t>
      </w:r>
      <w:r>
        <w:t xml:space="preserve">between focal and generalized epilepsy, under an LD-aware test; (2) is a circadian</w:t>
      </w:r>
      <w:r>
        <w:t xml:space="preserve"> </w:t>
      </w:r>
      <w:r>
        <w:rPr>
          <w:i/>
          <w:iCs/>
        </w:rPr>
        <w:t xml:space="preserve">exposure</w:t>
      </w:r>
      <w:r>
        <w:t xml:space="preserve"> </w:t>
      </w:r>
      <w:r>
        <w:t xml:space="preserve">causally</w:t>
      </w:r>
      <w:r>
        <w:t xml:space="preserve"> </w:t>
      </w:r>
      <w:r>
        <w:t xml:space="preserve">related to epilepsy type; and (3) if there is a genetic signal, does it localize to the molecular</w:t>
      </w:r>
      <w:r>
        <w:t xml:space="preserve"> </w:t>
      </w:r>
      <w:r>
        <w:t xml:space="preserve">clock rather than to sleep behaviour or co-located non-clock genes. We treat these as triangulation</w:t>
      </w:r>
      <w:r>
        <w:t xml:space="preserve"> </w:t>
      </w:r>
      <w:r>
        <w:t xml:space="preserve">on separate estimands rather than one</w:t>
      </w:r>
      <w:r>
        <w:t xml:space="preserve"> </w:t>
      </w:r>
      <w:r>
        <w:t xml:space="preserve">“circadian”</w:t>
      </w:r>
      <w:r>
        <w:t xml:space="preserve"> </w:t>
      </w:r>
      <w:r>
        <w:t xml:space="preserve">construct, and we tested the primary result for</w:t>
      </w:r>
      <w:r>
        <w:t xml:space="preserve"> </w:t>
      </w:r>
      <w:r>
        <w:t xml:space="preserve">robustness, type-specificity, and independent replication.</w:t>
      </w:r>
    </w:p>
    <w:bookmarkEnd w:id="10"/>
    <w:bookmarkStart w:id="11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rPr>
          <w:b/>
          <w:bCs/>
        </w:rPr>
        <w:t xml:space="preserve">Data.</w:t>
      </w:r>
      <w:r>
        <w:t xml:space="preserve"> </w:t>
      </w:r>
      <w:r>
        <w:t xml:space="preserve">Outcome summary statistics were the ILAE 2023 European analyses for all-epilepsy, focal</w:t>
      </w:r>
      <w:r>
        <w:t xml:space="preserve"> </w:t>
      </w:r>
      <w:r>
        <w:t xml:space="preserve">epilepsy and GGE (effect allele = Allele1; per-marker effective N; GRCh37). Independent replication</w:t>
      </w:r>
      <w:r>
        <w:t xml:space="preserve"> </w:t>
      </w:r>
      <w:r>
        <w:t xml:space="preserve">used FinnGen R12 generalized epilepsy (GE; 1,690 cases / 484,703 controls) and focal epilepsy (FE;</w:t>
      </w:r>
      <w:r>
        <w:t xml:space="preserve"> </w:t>
      </w:r>
      <w:r>
        <w:t xml:space="preserve">9,275 cases), GRCh38. Behavioural exposures (GRCh37, GWAS Catalog) were morning chronotype</w:t>
      </w:r>
      <w:r>
        <w:t xml:space="preserve"> </w:t>
      </w:r>
      <w:r>
        <w:t xml:space="preserve">(Jones 2019), sleep duration and short/long sleep (Dashti 2019); insomnia (Hammerschlag 2017) was</w:t>
      </w:r>
      <w:r>
        <w:t xml:space="preserve"> </w:t>
      </w:r>
      <w:r>
        <w:t xml:space="preserve">underpowered and Jansen 2019 is access-restricted.</w:t>
      </w:r>
      <w:r>
        <w:t xml:space="preserve"> </w:t>
      </w:r>
      <w:r>
        <w:rPr>
          <w:i/>
          <w:iCs/>
        </w:rPr>
        <w:t xml:space="preserve">cis</w:t>
      </w:r>
      <w:r>
        <w:t xml:space="preserve">-QTLs were eQTLGen blood (N = 31,684),</w:t>
      </w:r>
      <w:r>
        <w:t xml:space="preserve"> </w:t>
      </w:r>
      <w:r>
        <w:t xml:space="preserve">PsychENCODE prefrontal cortex (N = 1,387), and GTEx v8/v10 (splice- and expression-QTL). The</w:t>
      </w:r>
      <w:r>
        <w:t xml:space="preserve"> </w:t>
      </w:r>
      <w:r>
        <w:t xml:space="preserve">clock-gene set (23 genes spanning the core transcription–translation feedback loop) was</w:t>
      </w:r>
      <w:r>
        <w:t xml:space="preserve"> </w:t>
      </w:r>
      <w:r>
        <w:t xml:space="preserve">pre-registered and hash-frozen before analysis.</w:t>
      </w:r>
    </w:p>
    <w:p>
      <w:pPr>
        <w:pStyle w:val="BodyText"/>
      </w:pPr>
      <w:r>
        <w:rPr>
          <w:b/>
          <w:bCs/>
        </w:rPr>
        <w:t xml:space="preserve">Primary test — LD-aware gene-set enrichment (Aim 1).</w:t>
      </w:r>
      <w:r>
        <w:t xml:space="preserve"> </w:t>
      </w:r>
      <w:r>
        <w:t xml:space="preserve">We ran MAGMA v1.10 with the 1000 Genomes</w:t>
      </w:r>
      <w:r>
        <w:t xml:space="preserve"> </w:t>
      </w:r>
      <w:r>
        <w:t xml:space="preserve">European reference panel: SNP-to-gene annotation, a gene-level analysis using per-SNP effective N</w:t>
      </w:r>
      <w:r>
        <w:t xml:space="preserve"> </w:t>
      </w:r>
      <w:r>
        <w:t xml:space="preserve">(99.1% of ILAE SNPs matched the reference), and a competitive gene-set analysis conditioning on gene</w:t>
      </w:r>
      <w:r>
        <w:t xml:space="preserve"> </w:t>
      </w:r>
      <w:r>
        <w:t xml:space="preserve">size, gene density, sample size, inverse minor-allele count and their logs. We tested the circadian</w:t>
      </w:r>
      <w:r>
        <w:t xml:space="preserve"> </w:t>
      </w:r>
      <w:r>
        <w:t xml:space="preserve">set against housekeeping (negative control) and epilepsy (positive control) sets in both GGE and</w:t>
      </w:r>
      <w:r>
        <w:t xml:space="preserve"> </w:t>
      </w:r>
      <w:r>
        <w:t xml:space="preserve">focal, and repeated the GGE analysis dropping</w:t>
      </w:r>
      <w:r>
        <w:t xml:space="preserve"> </w:t>
      </w:r>
      <w:r>
        <w:rPr>
          <w:i/>
          <w:iCs/>
        </w:rPr>
        <w:t xml:space="preserve">PER1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PER1</w:t>
      </w:r>
      <w:r>
        <w:t xml:space="preserve">+</w:t>
      </w:r>
      <w:r>
        <w:rPr>
          <w:i/>
          <w:iCs/>
        </w:rPr>
        <w:t xml:space="preserve">PER3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Corroborating screen and robustness.</w:t>
      </w:r>
      <w:r>
        <w:t xml:space="preserve"> </w:t>
      </w:r>
      <w:r>
        <w:t xml:space="preserve">As a tool-free cross-check we computed, for each</w:t>
      </w:r>
      <w:r>
        <w:t xml:space="preserve"> </w:t>
      </w:r>
      <w:r>
        <w:t xml:space="preserve">protein-coding gene (GENCODE v19, hg19; ±50 kb window), the top-SNP χ² as an LD-attenuated gene</w:t>
      </w:r>
      <w:r>
        <w:t xml:space="preserve"> </w:t>
      </w:r>
      <w:r>
        <w:t xml:space="preserve">statistic, and compared the circadian set’s mean to 10,000 gene-length- and SNP-count-matched random</w:t>
      </w:r>
      <w:r>
        <w:t xml:space="preserve"> </w:t>
      </w:r>
      <w:r>
        <w:t xml:space="preserve">sets (competitive empirical p; median of 50 seeds reported). Robustness analyses: systematic</w:t>
      </w:r>
      <w:r>
        <w:t xml:space="preserve"> </w:t>
      </w:r>
      <w:r>
        <w:t xml:space="preserve">leave-one/​k-out; an in-body-only variant (0 kb flank) that removes co-located neighbour SNPs; a</w:t>
      </w:r>
      <w:r>
        <w:t xml:space="preserve"> </w:t>
      </w:r>
      <w:r>
        <w:t xml:space="preserve">median (outlier-insensitive) statistic; a window-sensitivity grid (±10–100 kb); a broad GO:0007623</w:t>
      </w:r>
      <w:r>
        <w:t xml:space="preserve"> </w:t>
      </w:r>
      <w:r>
        <w:t xml:space="preserve">circadian set and its non-core subset; and a scale-free rank-based statistic for cross-cohort</w:t>
      </w:r>
      <w:r>
        <w:t xml:space="preserve"> </w:t>
      </w:r>
      <w:r>
        <w:t xml:space="preserve">comparison. Type-specificity used a shared-control difference test — Δ = ratio_GGE − ratio_focal</w:t>
      </w:r>
      <w:r>
        <w:t xml:space="preserve"> </w:t>
      </w:r>
      <w:r>
        <w:t xml:space="preserve">scored on the same matched-null sets, so shared controls and shared LD cancel — with a two-sided</w:t>
      </w:r>
      <w:r>
        <w:t xml:space="preserve"> </w:t>
      </w:r>
      <w:r>
        <w:t xml:space="preserve">empirical p.</w:t>
      </w:r>
    </w:p>
    <w:p>
      <w:pPr>
        <w:pStyle w:val="BodyText"/>
      </w:pPr>
      <w:r>
        <w:rPr>
          <w:b/>
          <w:bCs/>
        </w:rPr>
        <w:t xml:space="preserve">Replication.</w:t>
      </w:r>
      <w:r>
        <w:t xml:space="preserve"> </w:t>
      </w:r>
      <w:r>
        <w:t xml:space="preserve">The identical rank-based and mean-χ² enrichment tests were applied to FinnGen GE/FE</w:t>
      </w:r>
      <w:r>
        <w:t xml:space="preserve"> </w:t>
      </w:r>
      <w:r>
        <w:t xml:space="preserve">(hg38 gene model; Z = β/SE; minor-allele-frequency ≥ 0.01), with a positive-control check on</w:t>
      </w:r>
      <w:r>
        <w:t xml:space="preserve"> </w:t>
      </w:r>
      <w:r>
        <w:t xml:space="preserve">established GGE loci.</w:t>
      </w:r>
    </w:p>
    <w:p>
      <w:pPr>
        <w:pStyle w:val="BodyText"/>
      </w:pPr>
      <w:r>
        <w:rPr>
          <w:b/>
          <w:bCs/>
        </w:rPr>
        <w:t xml:space="preserve">Mendelian randomization and mechanism (Aim 2).</w:t>
      </w:r>
      <w:r>
        <w:t xml:space="preserve"> </w:t>
      </w:r>
      <w:r>
        <w:t xml:space="preserve">Instruments at p &lt; 5×10⁻⁸, distance-clumped</w:t>
      </w:r>
      <w:r>
        <w:t xml:space="preserve"> </w:t>
      </w:r>
      <w:r>
        <w:t xml:space="preserve">(±1 Mb), CHR:POS-matched and harmonized; IVW, MR-Egger (intercept test), weighted median,</w:t>
      </w:r>
      <w:r>
        <w:t xml:space="preserve"> </w:t>
      </w:r>
      <w:r>
        <w:t xml:space="preserve">MR-PRESSO-style outlier correction, Steiger-filtered IVW.</w:t>
      </w:r>
      <w:r>
        <w:t xml:space="preserve"> </w:t>
      </w:r>
      <w:r>
        <w:rPr>
          <w:i/>
          <w:iCs/>
        </w:rPr>
        <w:t xml:space="preserve">cis</w:t>
      </w:r>
      <w:r>
        <w:t xml:space="preserve">-MR used the strongest cis-eQTL per</w:t>
      </w:r>
      <w:r>
        <w:t xml:space="preserve"> </w:t>
      </w:r>
      <w:r>
        <w:t xml:space="preserve">gene (Wald ratio). Colocalization used coloc.abf (priors p₁ = p₂ = 1×10⁻⁴, p₁₂ = 1×10⁻⁵). At the</w:t>
      </w:r>
      <w:r>
        <w:t xml:space="preserve"> </w:t>
      </w:r>
      <w:r>
        <w:t xml:space="preserve">lead locus we queried GTEx single-tissue splice- and expression-QTLs.</w:t>
      </w:r>
    </w:p>
    <w:p>
      <w:pPr>
        <w:pStyle w:val="BodyText"/>
      </w:pPr>
      <w:r>
        <w:rPr>
          <w:b/>
          <w:bCs/>
        </w:rPr>
        <w:t xml:space="preserve">Rigor.</w:t>
      </w:r>
      <w:r>
        <w:t xml:space="preserve"> </w:t>
      </w:r>
      <w:r>
        <w:t xml:space="preserve">All analyses are European-ancestry. The ILAE outcome contains no UK Biobank participants,</w:t>
      </w:r>
      <w:r>
        <w:t xml:space="preserve"> </w:t>
      </w:r>
      <w:r>
        <w:t xml:space="preserve">so overlap with UK-Biobank sleep exposures is minimal and biases MR toward the null. Each analysis</w:t>
      </w:r>
      <w:r>
        <w:t xml:space="preserve"> </w:t>
      </w:r>
      <w:r>
        <w:t xml:space="preserve">tier was checked by an adversarial multi-agent review (which, among other things, identified and led</w:t>
      </w:r>
      <w:r>
        <w:t xml:space="preserve"> </w:t>
      </w:r>
      <w:r>
        <w:t xml:space="preserve">to the correction of a FinnGen file-parsing bug). The pre-registration, adversarial reviews, and</w:t>
      </w:r>
      <w:r>
        <w:t xml:space="preserve"> </w:t>
      </w:r>
      <w:r>
        <w:t xml:space="preserve">honest per-analysis verdicts are in the repository (</w:t>
      </w:r>
      <w:r>
        <w:rPr>
          <w:rStyle w:val="VerbatimChar"/>
        </w:rPr>
        <w:t xml:space="preserve">docs/FINDINGS_tier1-3.md</w:t>
      </w:r>
      <w:r>
        <w:t xml:space="preserve">).</w:t>
      </w:r>
    </w:p>
    <w:bookmarkEnd w:id="11"/>
    <w:bookmarkStart w:id="13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rPr>
          <w:b/>
          <w:bCs/>
        </w:rPr>
        <w:t xml:space="preserve">Core circadian genes are enriched in GGE, not focal epilepsy, under LD-aware MAGMA.</w:t>
      </w:r>
      <w:r>
        <w:t xml:space="preserve"> </w:t>
      </w:r>
      <w:r>
        <w:t xml:space="preserve">In the</w:t>
      </w:r>
      <w:r>
        <w:t xml:space="preserve"> </w:t>
      </w:r>
      <w:r>
        <w:t xml:space="preserve">primary competitive gene-set analysis the 23-gene core oscillator (22 with a valid SNP in the</w:t>
      </w:r>
      <w:r>
        <w:t xml:space="preserve"> </w:t>
      </w:r>
      <w:r>
        <w:t xml:space="preserve">reference panel) was enriched in GGE (β = 0.67,</w:t>
      </w:r>
      <w:r>
        <w:t xml:space="preserve"> </w:t>
      </w:r>
      <w:r>
        <w:rPr>
          <w:b/>
          <w:bCs/>
        </w:rPr>
        <w:t xml:space="preserve">P = 1.7×10⁻⁴</w:t>
      </w:r>
      <w:r>
        <w:t xml:space="preserve">) and null in focal epilepsy</w:t>
      </w:r>
      <w:r>
        <w:t xml:space="preserve"> </w:t>
      </w:r>
      <w:r>
        <w:t xml:space="preserve">(β = −0.11, P = 0.73); a housekeeping set was null in both (0.86 / 0.35). The enrichment was robust</w:t>
      </w:r>
      <w:r>
        <w:t xml:space="preserve"> </w:t>
      </w:r>
      <w:r>
        <w:t xml:space="preserve">to removing the strongest contributing gene — dropping</w:t>
      </w:r>
      <w:r>
        <w:t xml:space="preserve"> </w:t>
      </w:r>
      <w:r>
        <w:rPr>
          <w:i/>
          <w:iCs/>
        </w:rPr>
        <w:t xml:space="preserve">PER1</w:t>
      </w:r>
      <w:r>
        <w:t xml:space="preserve"> </w:t>
      </w:r>
      <w:r>
        <w:t xml:space="preserve">left P = 1.4×10⁻⁴ and dropping</w:t>
      </w:r>
      <w:r>
        <w:t xml:space="preserve"> </w:t>
      </w:r>
      <w:r>
        <w:rPr>
          <w:i/>
          <w:iCs/>
        </w:rPr>
        <w:t xml:space="preserve">PER1</w:t>
      </w:r>
      <w:r>
        <w:t xml:space="preserve">+</w:t>
      </w:r>
      <w:r>
        <w:rPr>
          <w:i/>
          <w:iCs/>
        </w:rPr>
        <w:t xml:space="preserve">PER3</w:t>
      </w:r>
      <w:r>
        <w:t xml:space="preserve"> </w:t>
      </w:r>
      <w:r>
        <w:t xml:space="preserve">left P = 2.3×10⁻³ — indicating a genuinely distributed set signal rather than a single</w:t>
      </w:r>
      <w:r>
        <w:t xml:space="preserve"> </w:t>
      </w:r>
      <w:r>
        <w:t xml:space="preserve">locus (Table 6). MAGMA’s gene-body assignment also corrected the main artefact of the tool-free</w:t>
      </w:r>
      <w:r>
        <w:t xml:space="preserve"> </w:t>
      </w:r>
      <w:r>
        <w:t xml:space="preserve">screen: the</w:t>
      </w:r>
      <w:r>
        <w:t xml:space="preserve"> </w:t>
      </w:r>
      <w:r>
        <w:rPr>
          <w:i/>
          <w:iCs/>
        </w:rPr>
        <w:t xml:space="preserve">CSNK1E</w:t>
      </w:r>
      <w:r>
        <w:t xml:space="preserve"> </w:t>
      </w:r>
      <w:r>
        <w:t xml:space="preserve">signal, which in a ±50 kb window captures a variant inside the neighbouring</w:t>
      </w:r>
      <w:r>
        <w:t xml:space="preserve"> </w:t>
      </w:r>
      <w:r>
        <w:t xml:space="preserve">potassium-channel gene</w:t>
      </w:r>
      <w:r>
        <w:t xml:space="preserve"> </w:t>
      </w:r>
      <w:r>
        <w:rPr>
          <w:i/>
          <w:iCs/>
        </w:rPr>
        <w:t xml:space="preserve">KCNJ4</w:t>
      </w:r>
      <w:r>
        <w:t xml:space="preserve">, is null under MAGMA (gene P = 0.40), while</w:t>
      </w:r>
      <w:r>
        <w:t xml:space="preserve"> </w:t>
      </w:r>
      <w:r>
        <w:rPr>
          <w:i/>
          <w:iCs/>
        </w:rPr>
        <w:t xml:space="preserve">PER1</w:t>
      </w:r>
      <w:r>
        <w:t xml:space="preserve"> </w:t>
      </w:r>
      <w:r>
        <w:t xml:space="preserve">(7.9×10⁻⁷,</w:t>
      </w:r>
      <w:r>
        <w:t xml:space="preserve"> </w:t>
      </w:r>
      <w:r>
        <w:t xml:space="preserve">genome-wide significant),</w:t>
      </w:r>
      <w:r>
        <w:t xml:space="preserve"> </w:t>
      </w:r>
      <w:r>
        <w:rPr>
          <w:i/>
          <w:iCs/>
        </w:rPr>
        <w:t xml:space="preserve">PER3</w:t>
      </w:r>
      <w:r>
        <w:t xml:space="preserve"> </w:t>
      </w:r>
      <w:r>
        <w:t xml:space="preserve">(1.9×10⁻⁵) and</w:t>
      </w:r>
      <w:r>
        <w:t xml:space="preserve"> </w:t>
      </w:r>
      <w:r>
        <w:rPr>
          <w:i/>
          <w:iCs/>
        </w:rPr>
        <w:t xml:space="preserve">ARNTL</w:t>
      </w:r>
      <w:r>
        <w:t xml:space="preserve"> </w:t>
      </w:r>
      <w:r>
        <w:t xml:space="preserve">(5.6×10⁻⁴) retain genuine gene-body signal.</w:t>
      </w:r>
    </w:p>
    <w:p>
      <w:pPr>
        <w:pStyle w:val="BodyText"/>
      </w:pPr>
      <w:r>
        <w:rPr>
          <w:b/>
          <w:bCs/>
        </w:rPr>
        <w:t xml:space="preserve">The screen corroborates and the effect is core-specific and gene-local.</w:t>
      </w:r>
      <w:r>
        <w:t xml:space="preserve"> </w:t>
      </w:r>
      <w:r>
        <w:t xml:space="preserve">The covariate-matched</w:t>
      </w:r>
      <w:r>
        <w:t xml:space="preserve"> </w:t>
      </w:r>
      <w:r>
        <w:t xml:space="preserve">top-SNP screen agreed (GGE ratio 1.53, median empirical p = 1.9×10⁻³ over 50 seeds; focal 0.98,</w:t>
      </w:r>
      <w:r>
        <w:t xml:space="preserve"> </w:t>
      </w:r>
      <w:r>
        <w:t xml:space="preserve">p = 0.54; Table 2). An in-body-only variant that excludes all flanking (potentially co-located) SNPs</w:t>
      </w:r>
      <w:r>
        <w:t xml:space="preserve"> </w:t>
      </w:r>
      <w:r>
        <w:t xml:space="preserve">was</w:t>
      </w:r>
      <w:r>
        <w:t xml:space="preserve"> </w:t>
      </w:r>
      <w:r>
        <w:rPr>
          <w:i/>
          <w:iCs/>
        </w:rPr>
        <w:t xml:space="preserve">stronger</w:t>
      </w:r>
      <w:r>
        <w:t xml:space="preserve"> </w:t>
      </w:r>
      <w:r>
        <w:t xml:space="preserve">(ratio 1.74, p = 1.7×10⁻³), a robust median statistic remained significant</w:t>
      </w:r>
      <w:r>
        <w:t xml:space="preserve"> </w:t>
      </w:r>
      <w:r>
        <w:t xml:space="preserve">(p = 4.0×10⁻³), and the effect grew at tighter windows — all signatures of a gene-local rather than</w:t>
      </w:r>
      <w:r>
        <w:t xml:space="preserve"> </w:t>
      </w:r>
      <w:r>
        <w:t xml:space="preserve">co-location artefact. Critically, the enrichment was</w:t>
      </w:r>
      <w:r>
        <w:t xml:space="preserve"> </w:t>
      </w:r>
      <w:r>
        <w:rPr>
          <w:b/>
          <w:bCs/>
        </w:rPr>
        <w:t xml:space="preserve">specific to the core oscillator</w:t>
      </w:r>
      <w:r>
        <w:t xml:space="preserve">: the broad</w:t>
      </w:r>
      <w:r>
        <w:t xml:space="preserve"> </w:t>
      </w:r>
      <w:r>
        <w:t xml:space="preserve">GO:0007623 circadian annotation (185 genes) was only borderline (1.08, p = 0.058) and not</w:t>
      </w:r>
      <w:r>
        <w:t xml:space="preserve"> </w:t>
      </w:r>
      <w:r>
        <w:t xml:space="preserve">GGE-specific, and its 165 non-core genes were null in GGE (1.02, p = 0.32). A shared-control</w:t>
      </w:r>
      <w:r>
        <w:t xml:space="preserve"> </w:t>
      </w:r>
      <w:r>
        <w:t xml:space="preserve">difference test confirmed the enrichment is significantly greater in GGE than focal (Δ = 0.55,</w:t>
      </w:r>
      <w:r>
        <w:t xml:space="preserve"> </w:t>
      </w:r>
      <w:r>
        <w:t xml:space="preserve">2-sided p = 3.1×10⁻³), robust across ±10–100 kb windows.</w:t>
      </w:r>
    </w:p>
    <w:p>
      <w:pPr>
        <w:pStyle w:val="BodyText"/>
      </w:pPr>
      <w:r>
        <w:rPr>
          <w:b/>
          <w:bCs/>
        </w:rPr>
        <w:t xml:space="preserve">The effect did not replicate in FinnGen (power-limited).</w:t>
      </w:r>
      <w:r>
        <w:t xml:space="preserve"> </w:t>
      </w:r>
      <w:r>
        <w:t xml:space="preserve">In FinnGen R12 GE (1,690 cases) the</w:t>
      </w:r>
      <w:r>
        <w:t xml:space="preserve"> </w:t>
      </w:r>
      <w:r>
        <w:t xml:space="preserve">clock set was not enriched by either the mean-χ² (ratio 0.85, p = 0.99) or the scale-free rank test</w:t>
      </w:r>
      <w:r>
        <w:t xml:space="preserve"> </w:t>
      </w:r>
      <w:r>
        <w:t xml:space="preserve">(percentile 0.40, p = 0.99), and GE_STRICT/FE were likewise null (Table 7). This is reported as a</w:t>
      </w:r>
      <w:r>
        <w:t xml:space="preserve"> </w:t>
      </w:r>
      <w:r>
        <w:t xml:space="preserve">genuine non-replication, but its informativeness is limited: FinnGen GE is ~2× smaller in effective</w:t>
      </w:r>
      <w:r>
        <w:t xml:space="preserve"> </w:t>
      </w:r>
      <w:r>
        <w:t xml:space="preserve">sample size, uses registry (ICD-code) rather than expert GGE classification, and is a population</w:t>
      </w:r>
      <w:r>
        <w:t xml:space="preserve"> </w:t>
      </w:r>
      <w:r>
        <w:t xml:space="preserve">isolate, and even the strongest established GGE loci attenuate sharply there (VRK2 χ² 79 → 15,</w:t>
      </w:r>
      <w:r>
        <w:t xml:space="preserve"> </w:t>
      </w:r>
      <w:r>
        <w:t xml:space="preserve">SCN1A → 13). It is consistent with insufficient power plus phenotype/ancestry difference rather than a</w:t>
      </w:r>
      <w:r>
        <w:t xml:space="preserve"> </w:t>
      </w:r>
      <w:r>
        <w:t xml:space="preserve">clean refutation.</w:t>
      </w:r>
    </w:p>
    <w:p>
      <w:pPr>
        <w:pStyle w:val="BodyText"/>
      </w:pPr>
      <w:r>
        <w:rPr>
          <w:b/>
          <w:bCs/>
        </w:rPr>
        <w:t xml:space="preserve">No robust causal effect of sleep behaviour.</w:t>
      </w:r>
      <w:r>
        <w:t xml:space="preserve"> </w:t>
      </w:r>
      <w:r>
        <w:t xml:space="preserve">Across four behavioural exposures and both epilepsy</w:t>
      </w:r>
      <w:r>
        <w:t xml:space="preserve"> </w:t>
      </w:r>
      <w:r>
        <w:t xml:space="preserve">types, nominal IVW estimates did not survive sensitivity analysis. Sleep duration → GGE was nominally</w:t>
      </w:r>
      <w:r>
        <w:t xml:space="preserve"> </w:t>
      </w:r>
      <w:r>
        <w:t xml:space="preserve">protective by IVW (β = −0.18, p = 0.042) but reversed under weighted median (+0.18) and attenuated to</w:t>
      </w:r>
      <w:r>
        <w:t xml:space="preserve"> </w:t>
      </w:r>
      <w:r>
        <w:t xml:space="preserve">null under MR-PRESSO (−0.08) and Steiger filtering (+0.01), with high heterogeneity (Cochran</w:t>
      </w:r>
      <w:r>
        <w:t xml:space="preserve"> </w:t>
      </w:r>
      <w:r>
        <w:t xml:space="preserve">Q = 164). Morning chronotype showed a directionally consistent but non-significant protective trend</w:t>
      </w:r>
      <w:r>
        <w:t xml:space="preserve"> </w:t>
      </w:r>
      <w:r>
        <w:t xml:space="preserve">for GGE larger than for focal. We find no reliable evidence that genetically-instrumented sleep</w:t>
      </w:r>
      <w:r>
        <w:t xml:space="preserve"> </w:t>
      </w:r>
      <w:r>
        <w:t xml:space="preserve">behaviour causally alters epilepsy risk of either type.</w:t>
      </w:r>
    </w:p>
    <w:p>
      <w:pPr>
        <w:pStyle w:val="BodyText"/>
      </w:pPr>
      <w:r>
        <w:rPr>
          <w:b/>
          <w:bCs/>
        </w:rPr>
        <w:t xml:space="preserve">Mechanism at the lead locus is unresolved.</w:t>
      </w:r>
      <w:r>
        <w:t xml:space="preserve"> </w:t>
      </w:r>
      <w:r>
        <w:t xml:space="preserve">No clock gene’s steady-state expression colocalized</w:t>
      </w:r>
      <w:r>
        <w:t xml:space="preserve"> </w:t>
      </w:r>
      <w:r>
        <w:t xml:space="preserve">with GGE: a blood</w:t>
      </w:r>
      <w:r>
        <w:t xml:space="preserve"> </w:t>
      </w:r>
      <w:r>
        <w:rPr>
          <w:i/>
          <w:iCs/>
        </w:rPr>
        <w:t xml:space="preserve">cis</w:t>
      </w:r>
      <w:r>
        <w:t xml:space="preserve">-eQTL Wald signal for</w:t>
      </w:r>
      <w:r>
        <w:t xml:space="preserve"> </w:t>
      </w:r>
      <w:r>
        <w:rPr>
          <w:i/>
          <w:iCs/>
        </w:rPr>
        <w:t xml:space="preserve">ARNTL</w:t>
      </w:r>
      <w:r>
        <w:t xml:space="preserve"> </w:t>
      </w:r>
      <w:r>
        <w:t xml:space="preserve">(p = 0.003) did not replicate as a shared causal</w:t>
      </w:r>
      <w:r>
        <w:t xml:space="preserve"> </w:t>
      </w:r>
      <w:r>
        <w:t xml:space="preserve">variant in prefrontal cortex (PP.H4 = 0.01), and</w:t>
      </w:r>
      <w:r>
        <w:t xml:space="preserve"> </w:t>
      </w:r>
      <w:r>
        <w:rPr>
          <w:i/>
          <w:iCs/>
        </w:rPr>
        <w:t xml:space="preserve">PER1</w:t>
      </w:r>
      <w:r>
        <w:t xml:space="preserve">, despite a strong regional GGE signal, placed</w:t>
      </w:r>
      <w:r>
        <w:t xml:space="preserve"> </w:t>
      </w:r>
      <w:r>
        <w:t xml:space="preserve">almost all posterior mass on association without an expression signal (PP.H2 = 0.89) — the</w:t>
      </w:r>
      <w:r>
        <w:t xml:space="preserve"> </w:t>
      </w:r>
      <w:r>
        <w:rPr>
          <w:i/>
          <w:iCs/>
        </w:rPr>
        <w:t xml:space="preserve">ARNTL</w:t>
      </w:r>
      <w:r>
        <w:t xml:space="preserve"> </w:t>
      </w:r>
      <w:r>
        <w:t xml:space="preserve">causal claim was retired. Consistent with the non-eQTL colocalization, the lead variant rs2585398</w:t>
      </w:r>
      <w:r>
        <w:t xml:space="preserve"> </w:t>
      </w:r>
      <w:r>
        <w:t xml:space="preserve">(intronic to</w:t>
      </w:r>
      <w:r>
        <w:t xml:space="preserve"> </w:t>
      </w:r>
      <w:r>
        <w:rPr>
          <w:i/>
          <w:iCs/>
        </w:rPr>
        <w:t xml:space="preserve">PER1</w:t>
      </w:r>
      <w:r>
        <w:t xml:space="preserve">) is a strong</w:t>
      </w:r>
      <w:r>
        <w:t xml:space="preserve"> </w:t>
      </w:r>
      <w:r>
        <w:rPr>
          <w:i/>
          <w:iCs/>
        </w:rPr>
        <w:t xml:space="preserve">PER1</w:t>
      </w:r>
      <w:r>
        <w:t xml:space="preserve"> </w:t>
      </w:r>
      <w:r>
        <w:rPr>
          <w:b/>
          <w:bCs/>
        </w:rPr>
        <w:t xml:space="preserve">splice</w:t>
      </w:r>
      <w:r>
        <w:t xml:space="preserve">-QTL peripherally (Artery-Tibial p = 6×10⁻²⁴; GTEx</w:t>
      </w:r>
      <w:r>
        <w:t xml:space="preserve"> </w:t>
      </w:r>
      <w:r>
        <w:t xml:space="preserve">v8). However, the locus is gene-dense and pleiotropic: the same variant is an eQTL for the co-located</w:t>
      </w:r>
      <w:r>
        <w:t xml:space="preserve"> </w:t>
      </w:r>
      <w:r>
        <w:t xml:space="preserve">synaptic-vesicle gene</w:t>
      </w:r>
      <w:r>
        <w:t xml:space="preserve"> </w:t>
      </w:r>
      <w:r>
        <w:rPr>
          <w:i/>
          <w:iCs/>
        </w:rPr>
        <w:t xml:space="preserve">VAMP2</w:t>
      </w:r>
      <w:r>
        <w:t xml:space="preserve"> </w:t>
      </w:r>
      <w:r>
        <w:t xml:space="preserve">across 10 brain regions (Putamen p = 3×10⁻¹⁴; GTEx v10) and for</w:t>
      </w:r>
      <w:r>
        <w:t xml:space="preserve"> </w:t>
      </w:r>
      <w:r>
        <w:rPr>
          <w:i/>
          <w:iCs/>
        </w:rPr>
        <w:t xml:space="preserve">CTC1</w:t>
      </w:r>
      <w:r>
        <w:t xml:space="preserve">.</w:t>
      </w:r>
      <w:r>
        <w:t xml:space="preserve"> </w:t>
      </w:r>
      <w:r>
        <w:t xml:space="preserve">There is no demonstrated colocalization for any of these genes, so the causal gene at the</w:t>
      </w:r>
      <w:r>
        <w:t xml:space="preserve"> </w:t>
      </w:r>
      <w:r>
        <w:rPr>
          <w:i/>
          <w:iCs/>
        </w:rPr>
        <w:t xml:space="preserve">PER1</w:t>
      </w:r>
      <w:r>
        <w:t xml:space="preserve"> </w:t>
      </w:r>
      <w:r>
        <w:t xml:space="preserve">locus — clock (</w:t>
      </w:r>
      <w:r>
        <w:rPr>
          <w:i/>
          <w:iCs/>
        </w:rPr>
        <w:t xml:space="preserve">PER1</w:t>
      </w:r>
      <w:r>
        <w:t xml:space="preserve">) versus synaptic (</w:t>
      </w:r>
      <w:r>
        <w:rPr>
          <w:i/>
          <w:iCs/>
        </w:rPr>
        <w:t xml:space="preserve">VAMP2</w:t>
      </w:r>
      <w:r>
        <w:t xml:space="preserve">) versus other — is not resolved. Because the set-level</w:t>
      </w:r>
      <w:r>
        <w:t xml:space="preserve"> </w:t>
      </w:r>
      <w:r>
        <w:t xml:space="preserve">enrichment is robust to dropping</w:t>
      </w:r>
      <w:r>
        <w:t xml:space="preserve"> </w:t>
      </w:r>
      <w:r>
        <w:rPr>
          <w:i/>
          <w:iCs/>
        </w:rPr>
        <w:t xml:space="preserve">PER1</w:t>
      </w:r>
      <w:r>
        <w:t xml:space="preserve"> </w:t>
      </w:r>
      <w:r>
        <w:t xml:space="preserve">(above), this locus-level ambiguity qualifies the mechanistic</w:t>
      </w:r>
      <w:r>
        <w:t xml:space="preserve"> </w:t>
      </w:r>
      <w:r>
        <w:t xml:space="preserve">interpretation without undermining the gene-set result. Exploratory subtype analyses (JME, GTCS-only)</w:t>
      </w:r>
      <w:r>
        <w:t xml:space="preserve"> </w:t>
      </w:r>
      <w:r>
        <w:t xml:space="preserve">were null and underpowered; the signal is a pan-GGE property.</w:t>
      </w:r>
    </w:p>
    <w:bookmarkStart w:id="12" w:name="X9fbf5fb7bab9ccf57af87bec5352e596932f862"/>
    <w:p>
      <w:pPr>
        <w:pStyle w:val="Heading3"/>
      </w:pPr>
      <w:r>
        <w:t xml:space="preserve">Extended analyses — genetic correlation, PER1 colocalization, and the LGS receptor fingerprint</w:t>
      </w:r>
    </w:p>
    <w:p>
      <w:pPr>
        <w:pStyle w:val="FirstParagraph"/>
      </w:pPr>
      <w:r>
        <w:rPr>
          <w:i/>
          <w:iCs/>
        </w:rPr>
        <w:t xml:space="preserve">(Numbers below were independently recomputed by an adversarial verification team; full tables and</w:t>
      </w:r>
      <w:r>
        <w:rPr>
          <w:i/>
          <w:iCs/>
        </w:rPr>
        <w:t xml:space="preserve"> </w:t>
      </w:r>
      <w:r>
        <w:rPr>
          <w:i/>
          <w:iCs/>
        </w:rPr>
        <w:t xml:space="preserve">figures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docs/RESULTS_final.md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SNP heritability and genetic correlation (LDSC).</w:t>
      </w:r>
      <w:r>
        <w:t xml:space="preserve"> </w:t>
      </w:r>
      <w:r>
        <w:t xml:space="preserve">Under univariate LD Score regression</w:t>
      </w:r>
      <w:r>
        <w:t xml:space="preserve"> </w:t>
      </w:r>
      <w:r>
        <w:t xml:space="preserve">(eur_w_ld_chr), GGE observed-scale SNP-heritability was 0.091 (SE 0.004) with an intercept of 1.058,</w:t>
      </w:r>
      <w:r>
        <w:t xml:space="preserve"> </w:t>
      </w:r>
      <w:r>
        <w:t xml:space="preserve">indicating minimal confounding. The pipeline’s positive control behaved as expected —</w:t>
      </w:r>
      <w:r>
        <w:t xml:space="preserve"> </w:t>
      </w:r>
      <w:r>
        <w:t xml:space="preserve">rg(GGE, focal) = 0.61 (p = 2×10⁻¹⁶), reflecting the substantial shared architecture (and shared</w:t>
      </w:r>
      <w:r>
        <w:t xml:space="preserve"> </w:t>
      </w:r>
      <w:r>
        <w:t xml:space="preserve">ILAE controls) of the two epilepsy types. Against full genome-wide sleep-trait GWAS (Jones 2019</w:t>
      </w:r>
      <w:r>
        <w:t xml:space="preserve"> </w:t>
      </w:r>
      <w:r>
        <w:t xml:space="preserve">chronotype; Dashti 2019 sleep duration), GGE showed a</w:t>
      </w:r>
      <w:r>
        <w:t xml:space="preserve"> </w:t>
      </w:r>
      <w:r>
        <w:rPr>
          <w:b/>
          <w:bCs/>
        </w:rPr>
        <w:t xml:space="preserve">significant negative genetic correlation with</w:t>
      </w:r>
      <w:r>
        <w:rPr>
          <w:b/>
          <w:bCs/>
        </w:rPr>
        <w:t xml:space="preserve"> </w:t>
      </w:r>
      <w:r>
        <w:rPr>
          <w:b/>
          <w:bCs/>
        </w:rPr>
        <w:t xml:space="preserve">habitual sleep duration</w:t>
      </w:r>
      <w:r>
        <w:t xml:space="preserve"> </w:t>
      </w:r>
      <w:r>
        <w:t xml:space="preserve">(rg = −0.12, p = 0.0022; Bonferroni-significant across the four primary</w:t>
      </w:r>
      <w:r>
        <w:t xml:space="preserve"> </w:t>
      </w:r>
      <w:r>
        <w:t xml:space="preserve">sleep-trait tests) that was</w:t>
      </w:r>
      <w:r>
        <w:t xml:space="preserve"> </w:t>
      </w:r>
      <w:r>
        <w:rPr>
          <w:b/>
          <w:bCs/>
        </w:rPr>
        <w:t xml:space="preserve">specific to GGE</w:t>
      </w:r>
      <w:r>
        <w:t xml:space="preserve"> </w:t>
      </w:r>
      <w:r>
        <w:t xml:space="preserve">(focal rg = −0.03, p = 0.70). By contrast, GGE was</w:t>
      </w:r>
      <w:r>
        <w:t xml:space="preserve"> </w:t>
      </w:r>
      <w:r>
        <w:t xml:space="preserve">genetically</w:t>
      </w:r>
      <w:r>
        <w:t xml:space="preserve"> </w:t>
      </w:r>
      <w:r>
        <w:rPr>
          <w:b/>
          <w:bCs/>
        </w:rPr>
        <w:t xml:space="preserve">uncorrelated with chronotype</w:t>
      </w:r>
      <w:r>
        <w:t xml:space="preserve"> </w:t>
      </w:r>
      <w:r>
        <w:t xml:space="preserve">(rg = 0.02, p = 0.47). The circadian–epilepsy genetic</w:t>
      </w:r>
      <w:r>
        <w:t xml:space="preserve"> </w:t>
      </w:r>
      <w:r>
        <w:t xml:space="preserve">link therefore lies on the sleep-homeostatic axis (duration), not the behavioural-preference axis</w:t>
      </w:r>
      <w:r>
        <w:t xml:space="preserve"> </w:t>
      </w:r>
      <w:r>
        <w:t xml:space="preserve">(chronotype) — consistent with sleep deprivation as a classical generalized-seizure trigger, and with</w:t>
      </w:r>
      <w:r>
        <w:t xml:space="preserve"> </w:t>
      </w:r>
      <w:r>
        <w:t xml:space="preserve">the null behavioural Mendelian randomization for chronotype.</w:t>
      </w:r>
    </w:p>
    <w:p>
      <w:pPr>
        <w:pStyle w:val="BodyText"/>
      </w:pPr>
      <w:r>
        <w:rPr>
          <w:b/>
          <w:bCs/>
        </w:rPr>
        <w:t xml:space="preserve">Locus-level colocalization at PER1.</w:t>
      </w:r>
      <w:r>
        <w:t xml:space="preserve"> </w:t>
      </w:r>
      <w:r>
        <w:t xml:space="preserve">A two-GWAS colocalization at 17p13.1 showed that GGE and</w:t>
      </w:r>
      <w:r>
        <w:t xml:space="preserve"> </w:t>
      </w:r>
      <w:r>
        <w:t xml:space="preserve">chronotype are</w:t>
      </w:r>
      <w:r>
        <w:t xml:space="preserve"> </w:t>
      </w:r>
      <w:r>
        <w:rPr>
          <w:b/>
          <w:bCs/>
        </w:rPr>
        <w:t xml:space="preserve">both associated in the region but through distinct causal variants</w:t>
      </w:r>
      <w:r>
        <w:t xml:space="preserve"> </w:t>
      </w:r>
      <w:r>
        <w:t xml:space="preserve">(coloc.abf PP.H3 = 0.9997; PP.H4 = 5×10⁻⁶). Extending to a three-trait analysis (GGE + chronotype +</w:t>
      </w:r>
      <w:r>
        <w:t xml:space="preserve"> </w:t>
      </w:r>
      <w:r>
        <w:t xml:space="preserve">PsychENCODE PER1</w:t>
      </w:r>
      <w:r>
        <w:t xml:space="preserve"> </w:t>
      </w:r>
      <w:r>
        <w:rPr>
          <w:i/>
          <w:iCs/>
        </w:rPr>
        <w:t xml:space="preserve">cis</w:t>
      </w:r>
      <w:r>
        <w:t xml:space="preserve">-eQTL), the posterior probability that a single shared variant drives all three</w:t>
      </w:r>
      <w:r>
        <w:t xml:space="preserve"> </w:t>
      </w:r>
      <w:r>
        <w:t xml:space="preserve">was ≈0 and the probability of three independent signals was 0.97. Even at the anchor gene, the</w:t>
      </w:r>
      <w:r>
        <w:t xml:space="preserve"> </w:t>
      </w:r>
      <w:r>
        <w:t xml:space="preserve">circadian–epilepsy relationship is not a shared regulatory variant.</w:t>
      </w:r>
    </w:p>
    <w:p>
      <w:pPr>
        <w:pStyle w:val="BodyText"/>
      </w:pPr>
      <w:r>
        <w:rPr>
          <w:b/>
          <w:bCs/>
        </w:rPr>
        <w:t xml:space="preserve">A receptor-specific excitation/inhibition fingerprint of the LGS network.</w:t>
      </w:r>
      <w:r>
        <w:t xml:space="preserve"> </w:t>
      </w:r>
      <w:r>
        <w:t xml:space="preserve">Across 68 neuromaps</w:t>
      </w:r>
      <w:r>
        <w:t xml:space="preserve"> </w:t>
      </w:r>
      <w:r>
        <w:t xml:space="preserve">annotations (spin-test nulls, FDR within family), the LGS EEG-fMRI network overlapped a pre-registered</w:t>
      </w:r>
      <w:r>
        <w:t xml:space="preserve"> </w:t>
      </w:r>
      <w:r>
        <w:t xml:space="preserve">excitation/inhibition receptor family: glutamatergic mGluR5 (ABP688, r = 0.54 across three tracers,</w:t>
      </w:r>
      <w:r>
        <w:t xml:space="preserve"> </w:t>
      </w:r>
      <w:r>
        <w:t xml:space="preserve">FDR = 0.0015) and GABA-A/benzodiazepine density (Ro15-4513 r = 0.42; flumazenil r = 0.37). Because the</w:t>
      </w:r>
      <w:r>
        <w:t xml:space="preserve"> </w:t>
      </w:r>
      <w:r>
        <w:t xml:space="preserve">network’s single strongest correlate was the principal cortical gradient (r = 0.70), each receptor was</w:t>
      </w:r>
      <w:r>
        <w:t xml:space="preserve"> </w:t>
      </w:r>
      <w:r>
        <w:t xml:space="preserve">subjected to two robustness tests. Partialling out the gradient, mGluR5 (partial r = 0.49, p &lt; 0.001)</w:t>
      </w:r>
      <w:r>
        <w:t xml:space="preserve"> </w:t>
      </w:r>
      <w:r>
        <w:t xml:space="preserve">and glucose metabolism (p &lt; 0.001) survived, as did both GABA-A/BZ tracers (p = 0.016–0.019); cortical</w:t>
      </w:r>
      <w:r>
        <w:t xml:space="preserve"> </w:t>
      </w:r>
      <w:r>
        <w:t xml:space="preserve">myelin did not. Re-testing in a different parcellation and null family (Schaefer-400 with a brainsmash</w:t>
      </w:r>
      <w:r>
        <w:t xml:space="preserve"> </w:t>
      </w:r>
      <w:r>
        <w:t xml:space="preserve">variogram null),</w:t>
      </w:r>
      <w:r>
        <w:t xml:space="preserve"> </w:t>
      </w:r>
      <w:r>
        <w:rPr>
          <w:b/>
          <w:bCs/>
        </w:rPr>
        <w:t xml:space="preserve">mGluR5 (p = 0.028) and metabolism (p = 0.005) reproduced, but the GABA-A/BZ signal</w:t>
      </w:r>
      <w:r>
        <w:rPr>
          <w:b/>
          <w:bCs/>
        </w:rPr>
        <w:t xml:space="preserve"> </w:t>
      </w:r>
      <w:r>
        <w:rPr>
          <w:b/>
          <w:bCs/>
        </w:rPr>
        <w:t xml:space="preserve">did not (p = 0.49–0.72)</w:t>
      </w:r>
      <w:r>
        <w:t xml:space="preserve">. The robust molecular correlate of the LGS network is therefore glutamatergic</w:t>
      </w:r>
      <w:r>
        <w:t xml:space="preserve"> </w:t>
      </w:r>
      <w:r>
        <w:t xml:space="preserve">mGluR5 density (with glucose metabolism); a GABAergic-inhibitory contribution is suggestive but not</w:t>
      </w:r>
      <w:r>
        <w:t xml:space="preserve"> </w:t>
      </w:r>
      <w:r>
        <w:t xml:space="preserve">firmly established. Circadian clock-gene expression, notably, has its own modest cortical topography</w:t>
      </w:r>
      <w:r>
        <w:t xml:space="preserve"> </w:t>
      </w:r>
      <w:r>
        <w:t xml:space="preserve">(cholinergic, thickness, metabolism) but maps onto</w:t>
      </w:r>
      <w:r>
        <w:t xml:space="preserve"> </w:t>
      </w:r>
      <w:r>
        <w:rPr>
          <w:b/>
          <w:bCs/>
        </w:rPr>
        <w:t xml:space="preserve">neither</w:t>
      </w:r>
      <w:r>
        <w:t xml:space="preserve"> </w:t>
      </w:r>
      <w:r>
        <w:t xml:space="preserve">the LGS network (informative null;</w:t>
      </w:r>
      <w:r>
        <w:t xml:space="preserve"> </w:t>
      </w:r>
      <w:r>
        <w:t xml:space="preserve">80 % power for |r| ≥ 0.31) nor the mGluR5 signature in the adult brain. That adult null, however, is</w:t>
      </w:r>
      <w:r>
        <w:t xml:space="preserve"> </w:t>
      </w:r>
      <w:r>
        <w:t xml:space="preserve">not static. Correlating clock-gene expression with the LGS network across BrainSpan developmental</w:t>
      </w:r>
      <w:r>
        <w:t xml:space="preserve"> </w:t>
      </w:r>
      <w:r>
        <w:t xml:space="preserve">stages, the relationship shifts monotonically from prenatal anticorrelation (r = −0.40; −0.83 in</w:t>
      </w:r>
      <w:r>
        <w:t xml:space="preserve"> </w:t>
      </w:r>
      <w:r>
        <w:t xml:space="preserve">cortex alone) through a childhood crossover to a weakly positive adult value (+0.19), and the trend</w:t>
      </w:r>
      <w:r>
        <w:t xml:space="preserve"> </w:t>
      </w:r>
      <w:r>
        <w:t xml:space="preserve">across the five stages is nominally significant (Spearman ρ = 0.90, p = 0.037). This analysis is</w:t>
      </w:r>
      <w:r>
        <w:t xml:space="preserve"> </w:t>
      </w:r>
      <w:r>
        <w:t xml:space="preserve">exploratory — per-stage confidence intervals are wide (n = 15 regions), the developmental-atlas-to-map</w:t>
      </w:r>
      <w:r>
        <w:t xml:space="preserve"> </w:t>
      </w:r>
      <w:r>
        <w:t xml:space="preserve">assignment is coarse, and the p value is uncorrected — but it indicates that</w:t>
      </w:r>
      <w:r>
        <w:t xml:space="preserve"> </w:t>
      </w:r>
      <w:r>
        <w:rPr>
          <w:b/>
          <w:bCs/>
        </w:rPr>
        <w:t xml:space="preserve">circadian expression</w:t>
      </w:r>
      <w:r>
        <w:rPr>
          <w:b/>
          <w:bCs/>
        </w:rPr>
        <w:t xml:space="preserve"> </w:t>
      </w:r>
      <w:r>
        <w:rPr>
          <w:b/>
          <w:bCs/>
        </w:rPr>
        <w:t xml:space="preserve">does relate to the epileptic network’s cortical layout developmentally, before that coupling unwinds</w:t>
      </w:r>
      <w:r>
        <w:rPr>
          <w:b/>
          <w:bCs/>
        </w:rPr>
        <w:t xml:space="preserve"> </w:t>
      </w:r>
      <w:r>
        <w:rPr>
          <w:b/>
          <w:bCs/>
        </w:rPr>
        <w:t xml:space="preserve">in the mature brain</w:t>
      </w:r>
      <w:r>
        <w:t xml:space="preserve">. Taken together, the circadian contribution to generalized epilepsy is genetic,</w:t>
      </w:r>
      <w:r>
        <w:t xml:space="preserve"> </w:t>
      </w:r>
      <w:r>
        <w:t xml:space="preserve">temporal, and developmental: it acts through the common-variant architecture of the oscillator, an</w:t>
      </w:r>
      <w:r>
        <w:t xml:space="preserve"> </w:t>
      </w:r>
      <w:r>
        <w:t xml:space="preserve">overlap with sleep-homeostatic genetics, and a neurodevelopmental spatial window — rather than as an</w:t>
      </w:r>
      <w:r>
        <w:t xml:space="preserve"> </w:t>
      </w:r>
      <w:r>
        <w:t xml:space="preserve">ongoing feature of the adult epileptic network’s cortical-molecular topography.</w:t>
      </w:r>
    </w:p>
    <w:bookmarkEnd w:id="12"/>
    <w:bookmarkEnd w:id="13"/>
    <w:bookmarkStart w:id="14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Three lines of evidence converge on a specific, defensible conclusion: under a gold-standard LD-aware</w:t>
      </w:r>
      <w:r>
        <w:t xml:space="preserve"> </w:t>
      </w:r>
      <w:r>
        <w:t xml:space="preserve">test, the common-variant architecture of the core circadian oscillator is enriched in genetic</w:t>
      </w:r>
      <w:r>
        <w:t xml:space="preserve"> </w:t>
      </w:r>
      <w:r>
        <w:t xml:space="preserve">generalized epilepsy, not focal epilepsy, and this enrichment is a property of genetic association</w:t>
      </w:r>
      <w:r>
        <w:t xml:space="preserve"> </w:t>
      </w:r>
      <w:r>
        <w:t xml:space="preserve">rather than of sleep behaviour or steady-state gene regulation. The MAGMA result — conditioning on</w:t>
      </w:r>
      <w:r>
        <w:t xml:space="preserve"> </w:t>
      </w:r>
      <w:r>
        <w:t xml:space="preserve">gene size and density, robust to dropping the strongest gene, and null for a housekeeping set —</w:t>
      </w:r>
      <w:r>
        <w:t xml:space="preserve"> </w:t>
      </w:r>
      <w:r>
        <w:t xml:space="preserve">directly answers the confounds that a naïve gene-set screen invites, and it upgrades the finding from</w:t>
      </w:r>
      <w:r>
        <w:t xml:space="preserve"> </w:t>
      </w:r>
      <w:r>
        <w:t xml:space="preserve">the</w:t>
      </w:r>
      <w:r>
        <w:t xml:space="preserve"> </w:t>
      </w:r>
      <w:r>
        <w:t xml:space="preserve">“pending confirmation”</w:t>
      </w:r>
      <w:r>
        <w:t xml:space="preserve"> </w:t>
      </w:r>
      <w:r>
        <w:t xml:space="preserve">status of earlier drafts. The focal-null contrast, the difference test,</w:t>
      </w:r>
      <w:r>
        <w:t xml:space="preserve"> </w:t>
      </w:r>
      <w:r>
        <w:t xml:space="preserve">the core-versus-peripheral specificity, and the in-body-only sensitivity each guard against an</w:t>
      </w:r>
      <w:r>
        <w:t xml:space="preserve"> </w:t>
      </w:r>
      <w:r>
        <w:t xml:space="preserve">obvious artefact, and place a long-standing clinical observation — the sleep-linked phenotype of the</w:t>
      </w:r>
      <w:r>
        <w:t xml:space="preserve"> </w:t>
      </w:r>
      <w:r>
        <w:t xml:space="preserve">generalized epilepsies — on a genetic footing.</w:t>
      </w:r>
    </w:p>
    <w:p>
      <w:pPr>
        <w:pStyle w:val="BodyText"/>
      </w:pPr>
      <w:r>
        <w:t xml:space="preserve">Equally important is what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claim. The effect has</w:t>
      </w:r>
      <w:r>
        <w:t xml:space="preserve"> </w:t>
      </w:r>
      <w:r>
        <w:rPr>
          <w:b/>
          <w:bCs/>
        </w:rPr>
        <w:t xml:space="preserve">not yet replicated</w:t>
      </w:r>
      <w:r>
        <w:t xml:space="preserve"> </w:t>
      </w:r>
      <w:r>
        <w:t xml:space="preserve">in an</w:t>
      </w:r>
      <w:r>
        <w:t xml:space="preserve"> </w:t>
      </w:r>
      <w:r>
        <w:t xml:space="preserve">independent cohort; the single available biobank replication (FinnGen) was negative, and although it</w:t>
      </w:r>
      <w:r>
        <w:t xml:space="preserve"> </w:t>
      </w:r>
      <w:r>
        <w:t xml:space="preserve">is underpowered and phenotypically coarser, an unreplicated genetic association must be treated as</w:t>
      </w:r>
      <w:r>
        <w:t xml:space="preserve"> </w:t>
      </w:r>
      <w:r>
        <w:t xml:space="preserve">provisional. Genetically-instrumented sleep behaviour is not a demonstrable cause of either epilepsy</w:t>
      </w:r>
      <w:r>
        <w:t xml:space="preserve"> </w:t>
      </w:r>
      <w:r>
        <w:t xml:space="preserve">type. And although the lead</w:t>
      </w:r>
      <w:r>
        <w:t xml:space="preserve"> </w:t>
      </w:r>
      <w:r>
        <w:rPr>
          <w:i/>
          <w:iCs/>
        </w:rPr>
        <w:t xml:space="preserve">PER1</w:t>
      </w:r>
      <w:r>
        <w:t xml:space="preserve"> </w:t>
      </w:r>
      <w:r>
        <w:t xml:space="preserve">variant is a genuine splice-QTL — offering a concrete mechanism</w:t>
      </w:r>
      <w:r>
        <w:t xml:space="preserve"> </w:t>
      </w:r>
      <w:r>
        <w:t xml:space="preserve">that steady-state eQTL catalogues cannot capture — the</w:t>
      </w:r>
      <w:r>
        <w:t xml:space="preserve"> </w:t>
      </w:r>
      <w:r>
        <w:rPr>
          <w:i/>
          <w:iCs/>
        </w:rPr>
        <w:t xml:space="preserve">PER1</w:t>
      </w:r>
      <w:r>
        <w:t xml:space="preserve"> </w:t>
      </w:r>
      <w:r>
        <w:t xml:space="preserve">locus is pleiotropic, with a co-located</w:t>
      </w:r>
      <w:r>
        <w:t xml:space="preserve"> </w:t>
      </w:r>
      <w:r>
        <w:t xml:space="preserve">brain eQTL for the synaptic gene</w:t>
      </w:r>
      <w:r>
        <w:t xml:space="preserve"> </w:t>
      </w:r>
      <w:r>
        <w:rPr>
          <w:i/>
          <w:iCs/>
        </w:rPr>
        <w:t xml:space="preserve">VAMP2</w:t>
      </w:r>
      <w:r>
        <w:t xml:space="preserve">, so which gene carries the GGE association is unresolved. The</w:t>
      </w:r>
      <w:r>
        <w:t xml:space="preserve"> </w:t>
      </w:r>
      <w:r>
        <w:t xml:space="preserve">honest position is a robust, LD-aware, type-specific</w:t>
      </w:r>
      <w:r>
        <w:t xml:space="preserve"> </w:t>
      </w:r>
      <w:r>
        <w:rPr>
          <w:i/>
          <w:iCs/>
        </w:rPr>
        <w:t xml:space="preserve">set-level</w:t>
      </w:r>
      <w:r>
        <w:t xml:space="preserve"> </w:t>
      </w:r>
      <w:r>
        <w:t xml:space="preserve">enrichment whose replication and</w:t>
      </w:r>
      <w:r>
        <w:t xml:space="preserve"> </w:t>
      </w:r>
      <w:r>
        <w:t xml:space="preserve">causal gene remain open.</w:t>
      </w:r>
    </w:p>
    <w:bookmarkEnd w:id="14"/>
    <w:bookmarkStart w:id="15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primary MAGMA result is now available (superseding the earlier top-SNP-only screen), and LD-score</w:t>
      </w:r>
      <w:r>
        <w:t xml:space="preserve"> </w:t>
      </w:r>
      <w:r>
        <w:t xml:space="preserve">regression has since been run: GGE SNP-heritability is 0.091 (SE 0.004, intercept 1.058), and genetic</w:t>
      </w:r>
      <w:r>
        <w:t xml:space="preserve"> </w:t>
      </w:r>
      <w:r>
        <w:t xml:space="preserve">correlation shows a specific overlap with short sleep duration (rg = −0.12, p = 0.002) but not</w:t>
      </w:r>
      <w:r>
        <w:t xml:space="preserve"> </w:t>
      </w:r>
      <w:r>
        <w:t xml:space="preserve">chronotype. Cell-type/tissue-partitioned LDSC-SEG remains the one outstanding heritability analysis</w:t>
      </w:r>
      <w:r>
        <w:t xml:space="preserve"> </w:t>
      </w:r>
      <w:r>
        <w:t xml:space="preserve">(the precomputed annotations were not retrievable in this environment). The signal has not replicated</w:t>
      </w:r>
      <w:r>
        <w:t xml:space="preserve"> </w:t>
      </w:r>
      <w:r>
        <w:t xml:space="preserve">independently: the one biobank tested (FinnGen) was negative,</w:t>
      </w:r>
      <w:r>
        <w:t xml:space="preserve"> </w:t>
      </w:r>
      <w:r>
        <w:t xml:space="preserve">and while power and phenotype differences plausibly explain this, replication in a larger,</w:t>
      </w:r>
      <w:r>
        <w:t xml:space="preserve"> </w:t>
      </w:r>
      <w:r>
        <w:t xml:space="preserve">expert-classified GGE cohort is required before the finding can be considered established. At the lead</w:t>
      </w:r>
      <w:r>
        <w:t xml:space="preserve"> </w:t>
      </w:r>
      <w:r>
        <w:t xml:space="preserve">locus, colocalization is absent/underpowered and the causal gene (</w:t>
      </w:r>
      <w:r>
        <w:rPr>
          <w:i/>
          <w:iCs/>
        </w:rPr>
        <w:t xml:space="preserve">PER1</w:t>
      </w:r>
      <w:r>
        <w:t xml:space="preserve"> </w:t>
      </w:r>
      <w:r>
        <w:t xml:space="preserve">vs co-located</w:t>
      </w:r>
      <w:r>
        <w:t xml:space="preserve"> </w:t>
      </w:r>
      <w:r>
        <w:rPr>
          <w:i/>
          <w:iCs/>
        </w:rPr>
        <w:t xml:space="preserve">VAMP2</w:t>
      </w:r>
      <w:r>
        <w:t xml:space="preserve">/</w:t>
      </w:r>
      <w:r>
        <w:rPr>
          <w:i/>
          <w:iCs/>
        </w:rPr>
        <w:t xml:space="preserve">CTC1</w:t>
      </w:r>
      <w:r>
        <w:t xml:space="preserve">)</w:t>
      </w:r>
      <w:r>
        <w:t xml:space="preserve"> </w:t>
      </w:r>
      <w:r>
        <w:t xml:space="preserve">is unresolved; the splice-versus-expression contrast is also drawn across two GTEx releases. MR used</w:t>
      </w:r>
      <w:r>
        <w:t xml:space="preserve"> </w:t>
      </w:r>
      <w:r>
        <w:t xml:space="preserve">distance-based clumping rather than formal LD clumping. Analyses are European-ancestry; portability is</w:t>
      </w:r>
      <w:r>
        <w:t xml:space="preserve"> </w:t>
      </w:r>
      <w:r>
        <w:t xml:space="preserve">untested. We had no individual-level genotypes (no per-person polygenic classification) and no</w:t>
      </w:r>
      <w:r>
        <w:t xml:space="preserve"> </w:t>
      </w:r>
      <w:r>
        <w:t xml:space="preserve">epilepsy-surgery-outcome GWAS.</w:t>
      </w:r>
    </w:p>
    <w:bookmarkEnd w:id="15"/>
    <w:bookmarkStart w:id="1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Core circadian-oscillator common variation is enriched specifically in genetic generalized epilepsy</w:t>
      </w:r>
      <w:r>
        <w:t xml:space="preserve"> </w:t>
      </w:r>
      <w:r>
        <w:t xml:space="preserve">under an LD-aware competitive test, is GGE-specific and robust to the strongest gene, and is</w:t>
      </w:r>
      <w:r>
        <w:t xml:space="preserve"> </w:t>
      </w:r>
      <w:r>
        <w:t xml:space="preserve">independent of genetically-instrumented sleep behaviour and of steady-state clock-gene expression.</w:t>
      </w:r>
      <w:r>
        <w:t xml:space="preserve"> </w:t>
      </w:r>
      <w:r>
        <w:t xml:space="preserve">The effect has not yet replicated in an independent cohort and the causal gene at the</w:t>
      </w:r>
      <w:r>
        <w:t xml:space="preserve"> </w:t>
      </w:r>
      <w:r>
        <w:rPr>
          <w:i/>
          <w:iCs/>
        </w:rPr>
        <w:t xml:space="preserve">PER1</w:t>
      </w:r>
      <w:r>
        <w:t xml:space="preserve"> </w:t>
      </w:r>
      <w:r>
        <w:t xml:space="preserve">locus is</w:t>
      </w:r>
      <w:r>
        <w:t xml:space="preserve"> </w:t>
      </w:r>
      <w:r>
        <w:t xml:space="preserve">unresolved; independent replication in a well-powered GGE cohort and fine-mapping of</w:t>
      </w:r>
      <w:r>
        <w:t xml:space="preserve"> </w:t>
      </w:r>
      <w:r>
        <w:rPr>
          <w:i/>
          <w:iCs/>
        </w:rPr>
        <w:t xml:space="preserve">PER1</w:t>
      </w:r>
      <w:r>
        <w:t xml:space="preserve"> </w:t>
      </w:r>
      <w:r>
        <w:t xml:space="preserve">versus its</w:t>
      </w:r>
      <w:r>
        <w:t xml:space="preserve"> </w:t>
      </w:r>
      <w:r>
        <w:t xml:space="preserve">co-located neighbours are the natural next steps.</w:t>
      </w:r>
    </w:p>
    <w:bookmarkEnd w:id="16"/>
    <w:bookmarkStart w:id="17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input GWAS are public (ILAE/epiGAD; FinnGen R12; GWAS Catalog; eQTLGen; PsychENCODE; GTEx). MAGMA</w:t>
      </w:r>
      <w:r>
        <w:t xml:space="preserve"> </w:t>
      </w:r>
      <w:r>
        <w:t xml:space="preserve">v1.10 and the 1000 Genomes European reference are third-party. The full reproducible pipeline,</w:t>
      </w:r>
      <w:r>
        <w:t xml:space="preserve"> </w:t>
      </w:r>
      <w:r>
        <w:t xml:space="preserve">pre-registration, adversarial reviews, and per-analysis verdicts are in the project repository; every</w:t>
      </w:r>
      <w:r>
        <w:t xml:space="preserve"> </w:t>
      </w:r>
      <w:r>
        <w:t xml:space="preserve">result table regenerates deterministically from the pinned inputs.</w:t>
      </w:r>
    </w:p>
    <w:bookmarkEnd w:id="17"/>
    <w:bookmarkStart w:id="18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rPr>
          <w:b/>
          <w:bCs/>
        </w:rPr>
        <w:t xml:space="preserve">Table 1. LDSC genetic correlation of epilepsy with sleep traits.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GGE ~ focal (positive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0.46, 0.75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2×10⁻¹⁶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GGE ~ sleep duration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−0.20, −0.04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GGE ~ chronotype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−0.04, 0.08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Focal ~ sleep duration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−0.16, 0.11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Focal ~ chronotype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−0.07, 0.17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</w:tbl>
    <w:p>
      <w:pPr>
        <w:pStyle w:val="BodyText"/>
      </w:pPr>
      <w:r>
        <w:t xml:space="preserve">GGE, genetic generalized epilepsy. Unconstrained LDSC intercept; UK Biobank sleep GWAS have no</w:t>
      </w:r>
      <w:r>
        <w:t xml:space="preserve"> </w:t>
      </w:r>
      <w:r>
        <w:t xml:space="preserve">subject overlap with the ILAE epilepsy GWAS (cross-trait intercept ≈ 0). The GGE–focal control shares</w:t>
      </w:r>
      <w:r>
        <w:t xml:space="preserve"> </w:t>
      </w:r>
      <w:r>
        <w:t xml:space="preserve">ILAE controls and is not an independent-sample correlation.</w:t>
      </w:r>
    </w:p>
    <w:p>
      <w:pPr>
        <w:pStyle w:val="BodyText"/>
      </w:pPr>
      <w:r>
        <w:rPr>
          <w:b/>
          <w:bCs/>
        </w:rPr>
        <w:t xml:space="preserve">Table 2. Colocalization at the PER1 locus (17p13.1).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coloc(GGE, chronotype)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PP.H3 = 0.9997; PP.H4 = 5×10⁻⁶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associated, distinct causal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coloc(GGE, PER1 eQTL)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PP.H4 = 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shared 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coloc(chronotype, PER1 eQTL)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PP.H4 = 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shared 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moloc(GGE, chronotype, PER1 eQTL)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P(all-shared) ≈ 0; P(none-shared) = 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independent signals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3. LGS network receptor overlap and its robustness.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fsLR-32k (spin)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gradient-adjusted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Schaefer-400 (variogram)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Robust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mGluR5 (ABP688)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0.54, 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0.49, 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0.36, 0.028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glucose metabolism (CMRglc)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0.48, 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0.45, 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0.25, 0.005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GABA-A/BZ (flumazenil)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0.37, 0.004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0.31, 0.019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0.06, 0.72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GABA-A/BZ (Ro15-4513)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0.42, 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0.28, 0.016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0.17, 0.49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cortical myelin (control)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−0.46, 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0.14, 0.25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Values are Spearman r and p. p_spin reported at the 1000-permutation floor as</w:t>
      </w:r>
      <w:r>
        <w:t xml:space="preserve"> </w:t>
      </w:r>
      <w:r>
        <w:t xml:space="preserve">“&lt;0.001”</w:t>
      </w:r>
      <w:r>
        <w:t xml:space="preserve">. Only mGluR5</w:t>
      </w:r>
      <w:r>
        <w:t xml:space="preserve"> </w:t>
      </w:r>
      <w:r>
        <w:t xml:space="preserve">and metabolism survive both gradient control and a change of parcellation and null family.</w:t>
      </w:r>
    </w:p>
    <w:bookmarkEnd w:id="18"/>
    <w:bookmarkStart w:id="31" w:name="figures"/>
    <w:p>
      <w:pPr>
        <w:pStyle w:val="Heading2"/>
      </w:pPr>
      <w:r>
        <w:t xml:space="preserve">Figures</w:t>
      </w:r>
    </w:p>
    <w:p>
      <w:pPr>
        <w:pStyle w:val="CaptionedFigure"/>
      </w:pPr>
      <w:r>
        <w:drawing>
          <wp:inline>
            <wp:extent cx="4208996" cy="4627139"/>
            <wp:effectExtent b="0" l="0" r="0" t="0"/>
            <wp:docPr descr="Figure 1. The Lennox–Gastaut EEG-fMRI network (unthresholded t-map) projected onto the inflated cortical surface." title="" id="20" name="Picture"/>
            <a:graphic>
              <a:graphicData uri="http://schemas.openxmlformats.org/drawingml/2006/picture">
                <pic:pic>
                  <pic:nvPicPr>
                    <pic:cNvPr descr="figures/fig_lgs_surfac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996" cy="4627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The Lennox–Gastaut EEG-fMRI network (unthresholded t-map) projected onto the inflated</w:t>
      </w:r>
      <w:r>
        <w:t xml:space="preserve"> </w:t>
      </w:r>
      <w:r>
        <w:t xml:space="preserve">cortical surface.</w:t>
      </w:r>
    </w:p>
    <w:p>
      <w:pPr>
        <w:pStyle w:val="CaptionedFigure"/>
      </w:pPr>
      <w:r>
        <w:drawing>
          <wp:inline>
            <wp:extent cx="4208996" cy="4627139"/>
            <wp:effectExtent b="0" l="0" r="0" t="0"/>
            <wp:docPr descr="Figure 2. GABA-A/benzodiazepine receptor density (flumazenil PET) on the cortical surface, for visual comparison with the LGS network." title="" id="23" name="Picture"/>
            <a:graphic>
              <a:graphicData uri="http://schemas.openxmlformats.org/drawingml/2006/picture">
                <pic:pic>
                  <pic:nvPicPr>
                    <pic:cNvPr descr="figures/fig_gaba_surfac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996" cy="4627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GABA-A/benzodiazepine receptor density (flumazenil PET) on the cortical surface, for</w:t>
      </w:r>
      <w:r>
        <w:t xml:space="preserve"> </w:t>
      </w:r>
      <w:r>
        <w:t xml:space="preserve">visual comparison with the LGS network.</w:t>
      </w:r>
    </w:p>
    <w:p>
      <w:pPr>
        <w:pStyle w:val="CaptionedFigure"/>
      </w:pPr>
      <w:r>
        <w:drawing>
          <wp:inline>
            <wp:extent cx="5334000" cy="2851509"/>
            <wp:effectExtent b="0" l="0" r="0" t="0"/>
            <wp:docPr descr="Figure 3. Forest plot of LDSC genetic correlations of GGE and focal epilepsy with sleep duration and chronotype (rg with 95% CI; dashed line = no correlation)." title="" id="26" name="Picture"/>
            <a:graphic>
              <a:graphicData uri="http://schemas.openxmlformats.org/drawingml/2006/picture">
                <pic:pic>
                  <pic:nvPicPr>
                    <pic:cNvPr descr="figures/fig_rg_fores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1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Forest plot of LDSC genetic correlations of GGE and focal epilepsy with sleep</w:t>
      </w:r>
      <w:r>
        <w:t xml:space="preserve"> </w:t>
      </w:r>
      <w:r>
        <w:t xml:space="preserve">duration and chronotype (rg with 95% CI; dashed line = no correlation).</w:t>
      </w:r>
    </w:p>
    <w:p>
      <w:pPr>
        <w:pStyle w:val="CaptionedFigure"/>
      </w:pPr>
      <w:r>
        <w:drawing>
          <wp:inline>
            <wp:extent cx="5334000" cy="4987351"/>
            <wp:effectExtent b="0" l="0" r="0" t="0"/>
            <wp:docPr descr="Figure 4. The circadian × epileptic-network coupling flips sign across development. (A) The LGS EEG-fMRI network on MNI152 axial slices (cold–hot t: red/yellow = BOLD increase during generalized paroxysmal fast activity, blue = decrease; thalamic and brainstem hubs visible). (B) Mean clock-gene cortical expression at five BrainSpan developmental stages (diverging z: blue = below-average, red = above-average), each labelled with its Spearman correlation to the network. (C) The correlation runs monotonically from prenatal anticorrelation toward adult near-zero (cortex ρ = 0.80; firms to ρ = 0.90, p = 0.037 with subcortical regions). Cortical surface at BrainSpan-region resolution; exploratory (n = 15, wide per-stage CIs)." title="" id="29" name="Picture"/>
            <a:graphic>
              <a:graphicData uri="http://schemas.openxmlformats.org/drawingml/2006/picture">
                <pic:pic>
                  <pic:nvPicPr>
                    <pic:cNvPr descr="figures/fig_developmental_signflip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7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4.</w:t>
      </w:r>
      <w:r>
        <w:t xml:space="preserve"> </w:t>
      </w:r>
      <w:r>
        <w:t xml:space="preserve">The circadian × epileptic-network coupling flips sign across development. (A) The LGS</w:t>
      </w:r>
      <w:r>
        <w:t xml:space="preserve"> </w:t>
      </w:r>
      <w:r>
        <w:t xml:space="preserve">EEG-fMRI network on MNI152 axial slices (cold–hot t: red/yellow = BOLD increase during generalized</w:t>
      </w:r>
      <w:r>
        <w:t xml:space="preserve"> </w:t>
      </w:r>
      <w:r>
        <w:t xml:space="preserve">paroxysmal fast activity, blue = decrease; thalamic and brainstem hubs visible). (B) Mean clock-gene</w:t>
      </w:r>
      <w:r>
        <w:t xml:space="preserve"> </w:t>
      </w:r>
      <w:r>
        <w:t xml:space="preserve">cortical expression at five BrainSpan developmental stages (diverging z: blue = below-average, red =</w:t>
      </w:r>
      <w:r>
        <w:t xml:space="preserve"> </w:t>
      </w:r>
      <w:r>
        <w:t xml:space="preserve">above-average), each labelled with its Spearman correlation to the network. (C) The correlation runs</w:t>
      </w:r>
      <w:r>
        <w:t xml:space="preserve"> </w:t>
      </w:r>
      <w:r>
        <w:t xml:space="preserve">monotonically from prenatal anticorrelation toward adult near-zero (cortex ρ = 0.80; firms to</w:t>
      </w:r>
      <w:r>
        <w:t xml:space="preserve"> </w:t>
      </w:r>
      <w:r>
        <w:t xml:space="preserve">ρ = 0.90, p = 0.037 with subcortical regions). Cortical surface at BrainSpan-region resolution;</w:t>
      </w:r>
      <w:r>
        <w:t xml:space="preserve"> </w:t>
      </w:r>
      <w:r>
        <w:t xml:space="preserve">exploratory (n = 15, wide per-stage CIs).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2" Target="media/rId22.png" /><Relationship Type="http://schemas.openxmlformats.org/officeDocument/2006/relationships/image" Id="rId19" Target="media/rId19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Common-variant burden of the core circadian oscillator is enriched in genetic generalized epilepsy but not focal epilepsy: an LD-aware summary-statistics genetic study</dc:title>
  <dc:creator/>
  <cp:keywords/>
  <dcterms:created xsi:type="dcterms:W3CDTF">2026-07-31T16:57:24Z</dcterms:created>
  <dcterms:modified xsi:type="dcterms:W3CDTF">2026-07-31T16:57:24Z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reporting">
    <vt:lpwstr>STREGA (association) + MR-STROBE (Mendelian randomization)</vt:lpwstr>
  </property>
  <property fmtid="{D5CDD505-2E9C-101B-9397-08002B2CF9AE}" pid="4" name="status">
    <vt:lpwstr>DRAFT — numbers are from the real analyses in results/ and docs/FINDINGS_tier1-3.md.</vt:lpwstr>
  </property>
  <property fmtid="{D5CDD505-2E9C-101B-9397-08002B2CF9AE}" pid="5" name="target_journal">
    <vt:lpwstr>Epilepsia / Brain Communications / Neurology: Genetics (TBD)</vt:lpwstr>
  </property>
</Properties>
</file>