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0"/>
          <w:szCs w:val="30"/>
        </w:rPr>
        <w:t xml:space="preserve">Scanner-Normalized Paraspinal and Iliopsoas Muscle T2 Signal Predicts Functional Recovery After Lumbar Decompression: A Covariate-Adjusted Analysis</w:t>
      </w:r>
    </w:p>
    <w:p>
      <w:pPr>
        <w:spacing w:after="60"/>
      </w:pPr>
      <w:r>
        <w:rPr>
          <w:b/>
          <w:bCs/>
        </w:rPr>
        <w:t xml:space="preserve">Track: </w:t>
      </w:r>
      <w:r>
        <w:t xml:space="preserve">Spine</w:t>
      </w:r>
    </w:p>
    <w:p>
      <w:pPr>
        <w:spacing w:after="240"/>
      </w:pPr>
      <w:r>
        <w:rPr>
          <w:b/>
          <w:bCs/>
        </w:rPr>
        <w:t xml:space="preserve">Authors: </w:t>
      </w:r>
      <w:r>
        <w:t xml:space="preserve">Jimena Gonzalez-Salido; Niels Pacheco-Barrios; [co-authors]; Ziev B. Moses; Martina Stippler</w:t>
      </w:r>
    </w:p>
    <w:p>
      <w:pPr>
        <w:pStyle w:val="Heading1"/>
      </w:pPr>
      <w:r>
        <w:t xml:space="preserve">Abstract</w:t>
      </w:r>
    </w:p>
    <w:p>
      <w:pPr>
        <w:spacing w:after="160"/>
      </w:pPr>
      <w:r>
        <w:rPr>
          <w:b/>
          <w:bCs/>
        </w:rPr>
        <w:t xml:space="preserve">Introduction.  </w:t>
      </w:r>
      <w:r>
        <w:t xml:space="preserve">Paraspinal and iliopsoas muscle quality on MRI may predict recovery after lumbar decompression, but prior analyses used raw, scanner-dependent T2 intensity and unadjusted correlations, conflating muscle biology with acquisition.</w:t>
      </w:r>
    </w:p>
    <w:p>
      <w:pPr>
        <w:spacing w:after="160"/>
      </w:pPr>
      <w:r>
        <w:rPr>
          <w:b/>
          <w:bCs/>
        </w:rPr>
        <w:t xml:space="preserve">Objective.  </w:t>
      </w:r>
      <w:r>
        <w:t xml:space="preserve">To test whether scanner-normalized T2 signal and T2 heterogeneity of the paraspinal and iliopsoas muscles predict functional recovery after lumbar decompression.</w:t>
      </w:r>
    </w:p>
    <w:p>
      <w:pPr>
        <w:spacing w:after="160"/>
      </w:pPr>
      <w:r>
        <w:rPr>
          <w:b/>
          <w:bCs/>
        </w:rPr>
        <w:t xml:space="preserve">Methods.  </w:t>
      </w:r>
      <w:r>
        <w:t xml:space="preserve">In a retrospective cohort (n=385; mean age 62.8±13.4 years; 47% female), preoperative T2-weighted MRI underwent 3D segmentation of the iliopsoas and deep back muscles. Mean muscle T2 was normalized to spinal-cord signal (scanner-robust), and intramuscular heterogeneity indexed by the coefficient of variation; exposures were standardized. Multivariable regression modeled change in PROMIS Global Physical Health and Oswestry Disability Index (ODI) from 6 weeks to 1 year, adjusting for age, sex, and baseline (per 1 SD). Logistic regression modeled attainment of a minimal clinically important difference (MCID; ODI ≥12.8, PROMIS Physical Function ≥4.5). Radicular leg pain was a prespecified negative control.</w:t>
      </w:r>
    </w:p>
    <w:p>
      <w:pPr>
        <w:spacing w:after="160"/>
      </w:pPr>
      <w:r>
        <w:rPr>
          <w:b/>
          <w:bCs/>
        </w:rPr>
        <w:t xml:space="preserve">Results.  </w:t>
      </w:r>
      <w:r>
        <w:t xml:space="preserve">Higher cord-normalized iliopsoas T2 predicted greater improvement in PROMIS Global Physical Health (PH) at 3 months (β=+1.11; 95% CI 0.54 to 1.69; p&lt;0.001) and greater ODI reduction at 3 months (β=−3.05; −5.19 to −0.90; p=0.005) and 1 year (β=−2.40; −4.48 to −0.32; p=0.023); the deep back muscle showed concordant 3-month effects (PH p=0.027; ODI p=0.050). In an exploratory analysis, greater iliopsoas T2 heterogeneity was associated with lower odds of ODI MCID (OR 0.60; 0.40 to 0.91; p=0.015), but this did not replicate for PROMIS Physical Function or Global Physical Health MCID. Muscle volume and back and leg pain showed no associations.</w:t>
      </w:r>
    </w:p>
    <w:p>
      <w:pPr>
        <w:spacing w:after="160"/>
      </w:pPr>
      <w:r>
        <w:rPr>
          <w:b/>
          <w:bCs/>
        </w:rPr>
        <w:t xml:space="preserve">Conclusion.  </w:t>
      </w:r>
      <w:r>
        <w:t xml:space="preserve">Scanner-normalized paraspinal and iliopsoas T2 signal independently predicted early functional and disability improvement after lumbar decompression, including a durable 1-year disability effect not evident in unadjusted raw-signal analyses; an exploratory association between greater T2 heterogeneity and lower odds of ODI MCID did not replicate across instruments. Higher T2 tracking better recovery suggests reversible edema or inflammation rather than chronic fat; quantitative fat-water imaging is warranted.</w:t>
      </w:r>
    </w:p>
    <w:p>
      <w:pPr>
        <w:pStyle w:val="Heading1"/>
      </w:pPr>
      <w:r>
        <w:t xml:space="preserve">Figures</w:t>
      </w:r>
    </w:p>
    <w:p>
      <w:pPr>
        <w:spacing w:after="60" w:before="200"/>
        <w:jc w:val="center"/>
      </w:pPr>
      <w:r>
        <w:drawing>
          <wp:inline distT="0" distB="0" distL="0" distR="0">
            <wp:extent cx="5143500" cy="5143500"/>
            <wp:effectExtent t="0" r="0" b="0" l="0"/>
            <wp:docPr id="1" name="forest_t2_timecourse.png" descr="Figure 1. Primary analysis. Adjusted per-SD effect of cord-normalized paraspinal and iliopsoas T2 signal on change in PROMIS Global Physical Health and the Oswestry Disability Index across postoperative timepoints (age-, sex-, and baseline-adjusted; HC3 robust SE). For PH, positive values indicate improvement; for ODI, negative values indicate improvement. Reference line at 0." title="Figure 1. Primary analysis. Adjusted per-SD effect of cord-normalized paraspinal and iliopsoas T2 signal on change in PROMIS Global Physical Health and the Oswestry Disability Index across postoperative timepoints (age-, sex-, and baseline-adjusted; HC3 robust SE). For PH, positive values indicate improvement; for ODI, negative values indicate improvement. Reference line a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5143500"/>
                    </a:xfrm>
                    <a:prstGeom prst="rect">
                      <a:avLst/>
                    </a:prstGeom>
                  </pic:spPr>
                </pic:pic>
              </a:graphicData>
            </a:graphic>
          </wp:inline>
        </w:drawing>
      </w:r>
    </w:p>
    <w:p>
      <w:pPr>
        <w:spacing w:after="240"/>
      </w:pPr>
      <w:r>
        <w:rPr>
          <w:i/>
          <w:iCs/>
          <w:sz w:val="18"/>
          <w:szCs w:val="18"/>
        </w:rPr>
        <w:t xml:space="preserve">Figure 1. Primary analysis. Adjusted per-SD effect of cord-normalized paraspinal and iliopsoas T2 signal on change in PROMIS Global Physical Health and the Oswestry Disability Index across postoperative timepoints (age-, sex-, and baseline-adjusted; HC3 robust SE). For PH, positive values indicate improvement; for ODI, negative values indicate improvement. Reference line at 0.</w:t>
      </w:r>
    </w:p>
    <w:p>
      <w:pPr>
        <w:spacing w:after="60" w:before="200"/>
        <w:jc w:val="center"/>
      </w:pPr>
      <w:r>
        <w:drawing>
          <wp:inline distT="0" distB="0" distL="0" distR="0">
            <wp:extent cx="5943600" cy="2943225"/>
            <wp:effectExtent t="0" r="0" b="0" l="0"/>
            <wp:docPr id="1" name="graphical_abstract.png" descr="Figure 2. Visual summary of the secondary heterogeneity analysis. (A) Achievement of ODI MCID at one year by tertile of preoperative iliopsoas T2 heterogeneity. (B) PROMIS Physical Function recovery by low versus high heterogeneity. Error bars, 95% CI." title="Figure 2. Visual summary of the secondary heterogeneity analysis. (A) Achievement of ODI MCID at one year by tertile of preoperative iliopsoas T2 heterogeneity. (B) PROMIS Physical Function recovery by low versus high heterogeneity. Error bars,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43225"/>
                    </a:xfrm>
                    <a:prstGeom prst="rect">
                      <a:avLst/>
                    </a:prstGeom>
                  </pic:spPr>
                </pic:pic>
              </a:graphicData>
            </a:graphic>
          </wp:inline>
        </w:drawing>
      </w:r>
    </w:p>
    <w:p>
      <w:pPr>
        <w:spacing w:after="240"/>
      </w:pPr>
      <w:r>
        <w:rPr>
          <w:i/>
          <w:iCs/>
          <w:sz w:val="18"/>
          <w:szCs w:val="18"/>
        </w:rPr>
        <w:t xml:space="preserve">Figure 2. Visual summary of the secondary heterogeneity analysis. (A) Achievement of ODI MCID at one year by tertile of preoperative iliopsoas T2 heterogeneity. (B) PROMIS Physical Function recovery by low versus high heterogeneity. Error bars, 95% CI.</w:t>
      </w:r>
    </w:p>
    <w:p>
      <w:pPr>
        <w:spacing w:after="60" w:before="200"/>
        <w:jc w:val="center"/>
      </w:pPr>
      <w:r>
        <w:drawing>
          <wp:inline distT="0" distB="0" distL="0" distR="0">
            <wp:extent cx="5334000" cy="4171950"/>
            <wp:effectExtent t="0" r="0" b="0" l="0"/>
            <wp:docPr id="1" name="forest_mcid.png" descr="Figure 3. Exploratory secondary analysis. Adjusted odds ratios (per 1 SD) for achieving MCID at one year, contrasting muscle size (spine-normalized volume) with quality (T2 heterogeneity) for each muscle across three instruments (Global Physical Health, ODI, PROMIS Physical Function). The iliopsoas heterogeneity association is significant for ODI MCID only and does not replicate on the other instruments; reference line at OR=1." title="Figure 3. Exploratory secondary analysis. Adjusted odds ratios (per 1 SD) for achieving MCID at one year, contrasting muscle size (spine-normalized volume) with quality (T2 heterogeneity) for each muscle across three instruments (Global Physical Health, ODI, PROMIS Physical Function). The iliopsoas heterogeneity association is significant for ODI MCID only and does not replicate on the other instruments; reference line at O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71950"/>
                    </a:xfrm>
                    <a:prstGeom prst="rect">
                      <a:avLst/>
                    </a:prstGeom>
                  </pic:spPr>
                </pic:pic>
              </a:graphicData>
            </a:graphic>
          </wp:inline>
        </w:drawing>
      </w:r>
    </w:p>
    <w:p>
      <w:pPr>
        <w:spacing w:after="240"/>
      </w:pPr>
      <w:r>
        <w:rPr>
          <w:i/>
          <w:iCs/>
          <w:sz w:val="18"/>
          <w:szCs w:val="18"/>
        </w:rPr>
        <w:t xml:space="preserve">Figure 3. Exploratory secondary analysis. Adjusted odds ratios (per 1 SD) for achieving MCID at one year, contrasting muscle size (spine-normalized volume) with quality (T2 heterogeneity) for each muscle across three instruments (Global Physical Health, ODI, PROMIS Physical Function). The iliopsoas heterogeneity association is significant for ODI MCID only and does not replicate on the other instruments; reference line at OR=1.</w:t>
      </w:r>
    </w:p>
    <w:p>
      <w:pPr>
        <w:spacing w:after="60" w:before="200"/>
        <w:jc w:val="center"/>
      </w:pPr>
      <w:r>
        <w:drawing>
          <wp:inline distT="0" distB="0" distL="0" distR="0">
            <wp:extent cx="5143500" cy="2876550"/>
            <wp:effectExtent t="0" r="0" b="0" l="0"/>
            <wp:docPr id="1" name="mcid_by_tertile.png" descr="Figure 4. Percentage achieving ODI and PROMIS Physical Function MCID at one year across iliopsoas T2-heterogeneity tertiles. Error bars, Wilson 95% CI; n per bar." title="Figure 4. Percentage achieving ODI and PROMIS Physical Function MCID at one year across iliopsoas T2-heterogeneity tertiles. Error bars, Wilson 95% CI; n per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76550"/>
                    </a:xfrm>
                    <a:prstGeom prst="rect">
                      <a:avLst/>
                    </a:prstGeom>
                  </pic:spPr>
                </pic:pic>
              </a:graphicData>
            </a:graphic>
          </wp:inline>
        </w:drawing>
      </w:r>
    </w:p>
    <w:p>
      <w:pPr>
        <w:spacing w:after="240"/>
      </w:pPr>
      <w:r>
        <w:rPr>
          <w:i/>
          <w:iCs/>
          <w:sz w:val="18"/>
          <w:szCs w:val="18"/>
        </w:rPr>
        <w:t xml:space="preserve">Figure 4. Percentage achieving ODI and PROMIS Physical Function MCID at one year across iliopsoas T2-heterogeneity tertiles. Error bars, Wilson 95% CI; n per bar.</w:t>
      </w:r>
    </w:p>
    <w:p>
      <w:pPr>
        <w:spacing w:after="60" w:before="200"/>
        <w:jc w:val="center"/>
      </w:pPr>
      <w:r>
        <w:drawing>
          <wp:inline distT="0" distB="0" distL="0" distR="0">
            <wp:extent cx="5143500" cy="4591050"/>
            <wp:effectExtent t="0" r="0" b="0" l="0"/>
            <wp:docPr id="1" name="forest_pf_legpain.png" descr="Figure 5. Per-SD associations of each muscle exposure with one-year PROMIS Physical Function (continuous) and the leg-pain negative control; reference line at 0." title="Figure 5. Per-SD associations of each muscle exposure with one-year PROMIS Physical Function (continuous) and the leg-pain negative control; reference line a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591050"/>
                    </a:xfrm>
                    <a:prstGeom prst="rect">
                      <a:avLst/>
                    </a:prstGeom>
                  </pic:spPr>
                </pic:pic>
              </a:graphicData>
            </a:graphic>
          </wp:inline>
        </w:drawing>
      </w:r>
    </w:p>
    <w:p>
      <w:pPr>
        <w:spacing w:after="240"/>
      </w:pPr>
      <w:r>
        <w:rPr>
          <w:i/>
          <w:iCs/>
          <w:sz w:val="18"/>
          <w:szCs w:val="18"/>
        </w:rPr>
        <w:t xml:space="preserve">Figure 5. Per-SD associations of each muscle exposure with one-year PROMIS Physical Function (continuous) and the leg-pain negative control; reference line at 0.</w:t>
      </w:r>
    </w:p>
    <w:p>
      <w:pPr>
        <w:spacing w:before="240"/>
      </w:pPr>
      <w:r>
        <w:rPr>
          <w:i/>
          <w:iCs/>
          <w:color w:val="777777"/>
          <w:sz w:val="16"/>
          <w:szCs w:val="16"/>
        </w:rPr>
        <w:t xml:space="preserve">Sensitivity: the exploratory iliopsoas heterogeneity association was significant for ODI MCID only and did not replicate on PROMIS Physical Function MCID (OR 0.70; p=0.06) or Global Physical Health MCID, with the Global-PH MCID null stable across thresholds of 3–5 T-score points (OR 0.92–1.06; all p&gt;0.6). Conventional T2 is a proxy pending validation against quantitative fat-water imaging. Generated from the analysis pipeline in this repository (code only; no patient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dc8655f0c2e69b335191ffe15d60276bc5a219.png"/><Relationship Id="rId8" Type="http://schemas.openxmlformats.org/officeDocument/2006/relationships/image" Target="media/81a2f71dab0c4376896d848456573fb2346c00c8.png"/><Relationship Id="rId9" Type="http://schemas.openxmlformats.org/officeDocument/2006/relationships/image" Target="media/7b44583d5136205cb1d60103ef64122e3f862afc.png"/><Relationship Id="rId10" Type="http://schemas.openxmlformats.org/officeDocument/2006/relationships/image" Target="media/91ef5474915c62b1090a2eb010b39c8a92ba83ee.png"/><Relationship Id="rId11" Type="http://schemas.openxmlformats.org/officeDocument/2006/relationships/image" Target="media/93d3d65a98b4bf3c4f9048841fdfe69fce6d3e1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2026-05-26T22:32:04.252Z</dcterms:created>
  <dcterms:modified xsi:type="dcterms:W3CDTF">2026-05-26T22:32:04.252Z</dcterms:modified>
</cp:coreProperties>
</file>

<file path=docProps/custom.xml><?xml version="1.0" encoding="utf-8"?>
<Properties xmlns="http://schemas.openxmlformats.org/officeDocument/2006/custom-properties" xmlns:vt="http://schemas.openxmlformats.org/officeDocument/2006/docPropsVTypes"/>
</file>