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Onderhoud &amp; support</w:t>
      </w:r>
    </w:p>
    <w:p>
      <w:pPr>
        <w:pStyle w:val="Subtitle"/>
      </w:pPr>
      <w:r>
        <w:t>Duidelijke afspraken na livegang.</w:t>
      </w:r>
    </w:p>
    <w:p>
      <w:pPr>
        <w:pStyle w:val="Heading1"/>
      </w:pPr>
      <w:r>
        <w:t>Pakket</w:t>
      </w:r>
    </w:p>
    <w:p>
      <w:r>
        <w:t>[Naam en maandbedrag]; start [datum]; facturatie [periode].</w:t>
      </w:r>
    </w:p>
    <w:p>
      <w:pPr>
        <w:pStyle w:val="Heading1"/>
      </w:pPr>
      <w:r>
        <w:t>Inbegrepen</w:t>
      </w:r>
    </w:p>
    <w:p>
      <w:r>
        <w:t>[Updates, monitoring, back-ups, reactietijd, aantal supporturen].</w:t>
      </w:r>
    </w:p>
    <w:p>
      <w:pPr>
        <w:pStyle w:val="Heading1"/>
      </w:pPr>
      <w:r>
        <w:t>Niet inbegrepen</w:t>
      </w:r>
    </w:p>
    <w:p>
      <w:r>
        <w:t>[Nieuwe features, niet-gemelde systemen, licenties en aanvullende werkzaamheden].</w:t>
      </w:r>
    </w:p>
    <w:p>
      <w:pPr>
        <w:pStyle w:val="Heading1"/>
      </w:pPr>
      <w:r>
        <w:t>Meldingen</w:t>
      </w:r>
    </w:p>
    <w:p>
      <w:r>
        <w:t>[Supportadres, werkdagen, urgentieklassen].</w:t>
      </w:r>
    </w:p>
    <w:p>
      <w:pPr>
        <w:pStyle w:val="Heading1"/>
      </w:pPr>
      <w:r>
        <w:t>Toegang en gegevens</w:t>
      </w:r>
    </w:p>
    <w:p>
      <w:r>
        <w:t>[Beheerrechten, security, AVG, bewaring, herstel].</w:t>
      </w:r>
    </w:p>
    <w:p>
      <w:pPr>
        <w:pStyle w:val="Heading1"/>
      </w:pPr>
      <w:r>
        <w:t>Looptijd en opzegging</w:t>
      </w:r>
    </w:p>
    <w:p>
      <w:r>
        <w:t>[Opzegtermijn, indexatie en overdracht; juridisch controleren].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