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B6A5" w14:textId="77777777" w:rsidR="00E36921" w:rsidRDefault="00C840BD">
      <w:pPr>
        <w:ind w:left="74"/>
        <w:jc w:val="right"/>
        <w:rPr>
          <w:rFonts w:hint="eastAsia"/>
          <w:color w:val="A9A9A9"/>
        </w:rPr>
      </w:pPr>
      <w:r>
        <w:rPr>
          <w:rFonts w:ascii="Arial" w:eastAsia="Times New Roman" w:hAnsi="Arial" w:cs="Arial"/>
          <w:i/>
          <w:iCs/>
          <w:color w:val="A9A9A9"/>
        </w:rPr>
        <w:t>OASIS edits 10-23 to GTRI 10-16 revisions</w:t>
      </w:r>
    </w:p>
    <w:p w14:paraId="6DD4B081" w14:textId="77777777" w:rsidR="00E36921" w:rsidRDefault="00E36921">
      <w:pPr>
        <w:ind w:left="74"/>
        <w:jc w:val="center"/>
        <w:rPr>
          <w:rFonts w:ascii="Times New Roman" w:eastAsia="Times New Roman" w:hAnsi="Times New Roman" w:cs="Times New Roman"/>
        </w:rPr>
      </w:pPr>
    </w:p>
    <w:p w14:paraId="13843988" w14:textId="77777777" w:rsidR="00E36921" w:rsidRDefault="00C840BD">
      <w:pPr>
        <w:ind w:left="74"/>
        <w:jc w:val="center"/>
        <w:rPr>
          <w:rFonts w:ascii="Times New Roman" w:eastAsia="Times New Roman" w:hAnsi="Times New Roman" w:cs="Times New Roman"/>
        </w:rPr>
      </w:pPr>
      <w:r>
        <w:rPr>
          <w:rFonts w:ascii="Courier New" w:eastAsia="Times New Roman" w:hAnsi="Courier New" w:cs="Arial"/>
          <w:b/>
          <w:bCs/>
          <w:i/>
          <w:iCs/>
          <w:color w:val="000000"/>
          <w:sz w:val="32"/>
          <w:szCs w:val="32"/>
        </w:rPr>
        <w:t>OASIS NIEMOpen-GTRI</w:t>
      </w:r>
    </w:p>
    <w:p w14:paraId="529FC2D7" w14:textId="77777777" w:rsidR="00E36921" w:rsidRDefault="00C840BD">
      <w:pPr>
        <w:ind w:left="40"/>
        <w:jc w:val="center"/>
        <w:rPr>
          <w:rFonts w:ascii="Times New Roman" w:eastAsia="Times New Roman" w:hAnsi="Times New Roman" w:cs="Times New Roman"/>
        </w:rPr>
      </w:pPr>
      <w:r>
        <w:rPr>
          <w:rFonts w:ascii="Courier New" w:eastAsia="Times New Roman" w:hAnsi="Courier New" w:cs="Courier New"/>
          <w:b/>
          <w:bCs/>
          <w:color w:val="000000"/>
          <w:sz w:val="40"/>
          <w:szCs w:val="40"/>
        </w:rPr>
        <w:t>Work Order</w:t>
      </w:r>
    </w:p>
    <w:p w14:paraId="560280EE" w14:textId="69972F01" w:rsidR="00E36921" w:rsidRDefault="00C840BD">
      <w:pPr>
        <w:ind w:left="17"/>
        <w:jc w:val="center"/>
        <w:rPr>
          <w:rFonts w:ascii="Courier New" w:eastAsia="Times New Roman" w:hAnsi="Courier New" w:cs="Courier New"/>
          <w:b/>
          <w:bCs/>
          <w:color w:val="000000"/>
        </w:rPr>
      </w:pPr>
      <w:r>
        <w:rPr>
          <w:rFonts w:ascii="Courier New" w:eastAsia="Times New Roman" w:hAnsi="Courier New" w:cs="Times New Roman"/>
          <w:b/>
          <w:bCs/>
          <w:sz w:val="32"/>
          <w:szCs w:val="32"/>
        </w:rPr>
        <w:t>No.202</w:t>
      </w:r>
      <w:r w:rsidR="008A1D88">
        <w:rPr>
          <w:rFonts w:ascii="Courier New" w:eastAsia="Times New Roman" w:hAnsi="Courier New" w:cs="Times New Roman"/>
          <w:b/>
          <w:bCs/>
          <w:sz w:val="32"/>
          <w:szCs w:val="32"/>
        </w:rPr>
        <w:t>5</w:t>
      </w:r>
      <w:r>
        <w:rPr>
          <w:rFonts w:ascii="Courier New" w:eastAsia="Times New Roman" w:hAnsi="Courier New" w:cs="Times New Roman"/>
          <w:b/>
          <w:bCs/>
          <w:sz w:val="32"/>
          <w:szCs w:val="32"/>
        </w:rPr>
        <w:t>-1: MODEL VERSION (RELEASE) AND TOOL SUPPORT</w:t>
      </w:r>
    </w:p>
    <w:p w14:paraId="39190799" w14:textId="77777777" w:rsidR="00E36921" w:rsidRDefault="00E36921">
      <w:pPr>
        <w:spacing w:after="115"/>
        <w:ind w:right="2700"/>
        <w:rPr>
          <w:rFonts w:ascii="Courier New" w:eastAsia="Times New Roman" w:hAnsi="Courier New" w:cs="Courier New"/>
          <w:b/>
          <w:bCs/>
          <w:color w:val="000000"/>
          <w:sz w:val="32"/>
          <w:szCs w:val="32"/>
        </w:rPr>
      </w:pPr>
    </w:p>
    <w:p w14:paraId="104549F5" w14:textId="77777777" w:rsidR="00E36921" w:rsidRDefault="00C840BD">
      <w:pPr>
        <w:spacing w:after="115"/>
        <w:ind w:right="2700"/>
        <w:rPr>
          <w:rFonts w:ascii="Courier New" w:eastAsia="Times New Roman" w:hAnsi="Courier New" w:cs="Courier New"/>
          <w:b/>
          <w:bCs/>
          <w:color w:val="000000"/>
          <w:sz w:val="32"/>
          <w:szCs w:val="32"/>
        </w:rPr>
      </w:pPr>
      <w:r>
        <w:rPr>
          <w:rFonts w:ascii="Courier New" w:eastAsia="Times New Roman" w:hAnsi="Courier New" w:cs="Courier New"/>
          <w:b/>
          <w:bCs/>
          <w:color w:val="000000"/>
          <w:sz w:val="32"/>
          <w:szCs w:val="32"/>
        </w:rPr>
        <w:t>Scope of Work under this Order:</w:t>
      </w:r>
    </w:p>
    <w:p w14:paraId="4D32F985" w14:textId="74CF77D8" w:rsidR="00E36921" w:rsidRDefault="00C840BD">
      <w:pPr>
        <w:spacing w:after="115"/>
        <w:ind w:right="269"/>
        <w:rPr>
          <w:rFonts w:ascii="Arial" w:eastAsia="Times New Roman" w:hAnsi="Arial" w:cs="Courier New"/>
          <w:color w:val="000000"/>
        </w:rPr>
      </w:pPr>
      <w:r>
        <w:rPr>
          <w:rFonts w:ascii="Arial" w:eastAsia="Times New Roman" w:hAnsi="Arial" w:cs="Courier New"/>
          <w:color w:val="000000"/>
        </w:rPr>
        <w:t>Tracking, coordination, execution and publication of major and minor versions of the NIEM Open data model</w:t>
      </w:r>
      <w:r w:rsidR="008A1D88">
        <w:rPr>
          <w:rFonts w:ascii="Arial" w:eastAsia="Times New Roman" w:hAnsi="Arial" w:cs="Courier New"/>
          <w:color w:val="000000"/>
        </w:rPr>
        <w:t>, supporting tools, and training</w:t>
      </w:r>
      <w:r>
        <w:rPr>
          <w:rFonts w:ascii="Arial" w:eastAsia="Times New Roman" w:hAnsi="Arial" w:cs="Courier New"/>
          <w:color w:val="000000"/>
        </w:rPr>
        <w:t xml:space="preserve">.                                                                                           </w:t>
      </w:r>
    </w:p>
    <w:p w14:paraId="379B4207" w14:textId="77777777" w:rsidR="00E36921" w:rsidRDefault="00E36921">
      <w:pPr>
        <w:spacing w:after="115"/>
        <w:ind w:right="2789"/>
        <w:rPr>
          <w:rFonts w:ascii="Courier New" w:eastAsia="Times New Roman" w:hAnsi="Courier New" w:cs="Courier New"/>
          <w:b/>
          <w:bCs/>
          <w:color w:val="000000"/>
          <w:sz w:val="32"/>
          <w:szCs w:val="32"/>
        </w:rPr>
      </w:pPr>
    </w:p>
    <w:p w14:paraId="5A40D0CC" w14:textId="77777777" w:rsidR="00E36921" w:rsidRDefault="00C840BD">
      <w:pPr>
        <w:spacing w:after="115"/>
        <w:ind w:right="2789"/>
        <w:rPr>
          <w:rFonts w:hint="eastAsia"/>
        </w:rPr>
      </w:pPr>
      <w:r>
        <w:rPr>
          <w:rFonts w:ascii="Courier New" w:eastAsia="Times New Roman" w:hAnsi="Courier New" w:cs="Courier New"/>
          <w:b/>
          <w:bCs/>
          <w:color w:val="000000"/>
          <w:sz w:val="32"/>
          <w:szCs w:val="32"/>
        </w:rPr>
        <w:t>List Significant Deliverables under this Order and anticipated Timeline for delivery:</w:t>
      </w:r>
      <w:r>
        <w:rPr>
          <w:rFonts w:ascii="Arial" w:eastAsia="Times New Roman" w:hAnsi="Arial" w:cs="Courier New"/>
          <w:color w:val="000000"/>
        </w:rPr>
        <w:t xml:space="preserve">                                                         </w:t>
      </w:r>
    </w:p>
    <w:p w14:paraId="0396FC2D" w14:textId="01D022E8" w:rsidR="00E36921" w:rsidRDefault="00C840BD">
      <w:pPr>
        <w:pStyle w:val="ListParagraph"/>
        <w:spacing w:after="115"/>
        <w:ind w:left="0"/>
        <w:contextualSpacing w:val="0"/>
        <w:rPr>
          <w:rFonts w:hint="eastAsia"/>
        </w:rPr>
      </w:pPr>
      <w:r>
        <w:t xml:space="preserve">    1.  GTRI will </w:t>
      </w:r>
      <w:r w:rsidR="0099735A">
        <w:t>plan</w:t>
      </w:r>
      <w:r>
        <w:t>, coordinat</w:t>
      </w:r>
      <w:r w:rsidR="0099735A">
        <w:t>e</w:t>
      </w:r>
      <w:r>
        <w:t>, and execut</w:t>
      </w:r>
      <w:r w:rsidR="0099735A">
        <w:t>e</w:t>
      </w:r>
      <w:r>
        <w:t xml:space="preserve"> </w:t>
      </w:r>
      <w:r w:rsidR="00A35135">
        <w:t xml:space="preserve">the next </w:t>
      </w:r>
      <w:r>
        <w:t>annual NIEMOpen model release</w:t>
      </w:r>
      <w:r w:rsidR="00A35135">
        <w:t xml:space="preserve"> (6.1)</w:t>
      </w:r>
      <w:r w:rsidR="0099735A">
        <w:t xml:space="preserve"> in coordination with the NTAC and NBAC</w:t>
      </w:r>
      <w:r>
        <w:t xml:space="preserve">.  </w:t>
      </w:r>
      <w:r>
        <w:rPr>
          <w:rFonts w:ascii="Arial" w:eastAsia="Times New Roman" w:hAnsi="Arial" w:cs="Courier New"/>
        </w:rPr>
        <w:t xml:space="preserve">GTRI will manage and update the NIEMOpen model, and </w:t>
      </w:r>
      <w:r w:rsidR="00A35135">
        <w:rPr>
          <w:rFonts w:ascii="Arial" w:eastAsia="Times New Roman" w:hAnsi="Arial" w:cs="Courier New"/>
        </w:rPr>
        <w:t xml:space="preserve">generate schemas, documentation, and other supporting artifacts </w:t>
      </w:r>
      <w:r>
        <w:rPr>
          <w:rFonts w:ascii="Arial" w:eastAsia="Times New Roman" w:hAnsi="Arial" w:cs="Courier New"/>
        </w:rPr>
        <w:t xml:space="preserve">for </w:t>
      </w:r>
      <w:r w:rsidR="00A9755F">
        <w:rPr>
          <w:rFonts w:ascii="Arial" w:eastAsia="Times New Roman" w:hAnsi="Arial" w:cs="Courier New"/>
        </w:rPr>
        <w:t xml:space="preserve">the </w:t>
      </w:r>
      <w:r>
        <w:rPr>
          <w:rFonts w:ascii="Arial" w:eastAsia="Times New Roman" w:hAnsi="Arial" w:cs="Courier New"/>
        </w:rPr>
        <w:t xml:space="preserve">release, as directed by the PGB.  </w:t>
      </w:r>
      <w:r>
        <w:t>(M</w:t>
      </w:r>
      <w:r w:rsidR="0099735A">
        <w:t>inor</w:t>
      </w:r>
      <w:r>
        <w:t xml:space="preserve"> version 6</w:t>
      </w:r>
      <w:r w:rsidR="0099735A">
        <w:t>.1</w:t>
      </w:r>
      <w:r w:rsidR="00A35135">
        <w:t xml:space="preserve"> PSD01</w:t>
      </w:r>
      <w:r>
        <w:t xml:space="preserve"> </w:t>
      </w:r>
      <w:r w:rsidR="0099735A">
        <w:t>is the target for this Work Order, w</w:t>
      </w:r>
      <w:r>
        <w:t xml:space="preserve">ith a target release date of </w:t>
      </w:r>
      <w:commentRangeStart w:id="0"/>
      <w:r>
        <w:t>12/31/202</w:t>
      </w:r>
      <w:r w:rsidR="0099735A">
        <w:t>5</w:t>
      </w:r>
      <w:commentRangeEnd w:id="0"/>
      <w:r w:rsidR="00A9755F">
        <w:rPr>
          <w:rStyle w:val="CommentReference"/>
          <w:rFonts w:cs="Mangal"/>
        </w:rPr>
        <w:commentReference w:id="0"/>
      </w:r>
      <w:r>
        <w:t xml:space="preserve">, subject to </w:t>
      </w:r>
      <w:r w:rsidR="00A35135">
        <w:t xml:space="preserve">the timing of domain inputs, level of effort, </w:t>
      </w:r>
      <w:r>
        <w:t xml:space="preserve">and prioritization by PGB.) </w:t>
      </w:r>
    </w:p>
    <w:p w14:paraId="52550A8F" w14:textId="77777777" w:rsidR="00E36921" w:rsidRDefault="00E36921">
      <w:pPr>
        <w:pStyle w:val="ListParagraph"/>
        <w:spacing w:after="115"/>
        <w:ind w:left="0"/>
        <w:contextualSpacing w:val="0"/>
        <w:rPr>
          <w:rFonts w:hint="eastAsia"/>
        </w:rPr>
      </w:pPr>
    </w:p>
    <w:p w14:paraId="23830357" w14:textId="2FCFE3E8" w:rsidR="00E36921" w:rsidRDefault="00C840BD">
      <w:pPr>
        <w:pStyle w:val="ListParagraph"/>
        <w:spacing w:after="115"/>
        <w:ind w:left="0"/>
        <w:contextualSpacing w:val="0"/>
        <w:rPr>
          <w:rFonts w:ascii="Arial" w:eastAsia="Times New Roman" w:hAnsi="Arial" w:cs="Courier New"/>
        </w:rPr>
      </w:pPr>
      <w:r>
        <w:t xml:space="preserve">    2.   GTRI will collect, track, </w:t>
      </w:r>
      <w:r w:rsidR="0099735A">
        <w:t>and document</w:t>
      </w:r>
      <w:r>
        <w:t xml:space="preserve"> any NIEMOpen issues not included in version 6</w:t>
      </w:r>
      <w:r w:rsidR="0099735A">
        <w:t>.1</w:t>
      </w:r>
      <w:r>
        <w:t xml:space="preserve"> </w:t>
      </w:r>
      <w:r w:rsidR="0099735A">
        <w:t xml:space="preserve">for consideration </w:t>
      </w:r>
      <w:r>
        <w:t xml:space="preserve">into future releases through NBAC.  </w:t>
      </w:r>
      <w:r>
        <w:rPr>
          <w:rFonts w:ascii="Arial" w:eastAsia="Times New Roman" w:hAnsi="Arial" w:cs="Courier New"/>
        </w:rPr>
        <w:t>(continuous)</w:t>
      </w:r>
    </w:p>
    <w:p w14:paraId="7423EFF4" w14:textId="77777777" w:rsidR="00E36921" w:rsidRDefault="00E36921">
      <w:pPr>
        <w:pStyle w:val="ListParagraph"/>
        <w:spacing w:after="115"/>
        <w:ind w:left="0"/>
        <w:contextualSpacing w:val="0"/>
        <w:rPr>
          <w:rFonts w:ascii="Arial" w:eastAsia="Times New Roman" w:hAnsi="Arial" w:cs="Courier New"/>
        </w:rPr>
      </w:pPr>
    </w:p>
    <w:p w14:paraId="2CCA132F" w14:textId="18C5D8A1" w:rsidR="00E36921" w:rsidRDefault="00C840BD">
      <w:pPr>
        <w:spacing w:after="115"/>
        <w:ind w:right="269"/>
        <w:rPr>
          <w:rFonts w:ascii="Arial" w:eastAsia="Times New Roman" w:hAnsi="Arial" w:cs="Courier New"/>
        </w:rPr>
      </w:pPr>
      <w:r>
        <w:rPr>
          <w:rFonts w:ascii="Arial" w:eastAsia="Times New Roman" w:hAnsi="Arial" w:cs="Courier New"/>
        </w:rPr>
        <w:t xml:space="preserve">    </w:t>
      </w:r>
      <w:r w:rsidR="0099735A">
        <w:rPr>
          <w:rFonts w:ascii="Arial" w:eastAsia="Times New Roman" w:hAnsi="Arial" w:cs="Courier New"/>
        </w:rPr>
        <w:t>3</w:t>
      </w:r>
      <w:r>
        <w:rPr>
          <w:rFonts w:ascii="Arial" w:eastAsia="Times New Roman" w:hAnsi="Arial" w:cs="Courier New"/>
        </w:rPr>
        <w:t xml:space="preserve">.  GTRI will </w:t>
      </w:r>
      <w:r w:rsidR="0099735A">
        <w:rPr>
          <w:rFonts w:ascii="Arial" w:eastAsia="Times New Roman" w:hAnsi="Arial" w:cs="Courier New"/>
        </w:rPr>
        <w:t>make use of NIEMOpen repositories to</w:t>
      </w:r>
      <w:r>
        <w:rPr>
          <w:rFonts w:ascii="Arial" w:eastAsia="Times New Roman" w:hAnsi="Arial" w:cs="Courier New"/>
        </w:rPr>
        <w:t xml:space="preserve"> host and publish </w:t>
      </w:r>
      <w:r w:rsidR="0099735A">
        <w:rPr>
          <w:rFonts w:ascii="Arial" w:eastAsia="Times New Roman" w:hAnsi="Arial" w:cs="Courier New"/>
        </w:rPr>
        <w:t xml:space="preserve">all 6.1 related artifacts and make available </w:t>
      </w:r>
      <w:r>
        <w:rPr>
          <w:rFonts w:ascii="Arial" w:eastAsia="Times New Roman" w:hAnsi="Arial" w:cs="Courier New"/>
        </w:rPr>
        <w:t>to all potential stakeholders and users of the NIEMOpen model</w:t>
      </w:r>
      <w:r w:rsidR="0099735A">
        <w:rPr>
          <w:rFonts w:ascii="Arial" w:eastAsia="Times New Roman" w:hAnsi="Arial" w:cs="Courier New"/>
        </w:rPr>
        <w:t>.</w:t>
      </w:r>
    </w:p>
    <w:p w14:paraId="791466DC" w14:textId="77777777" w:rsidR="0099735A" w:rsidRDefault="0099735A">
      <w:pPr>
        <w:spacing w:after="115"/>
        <w:ind w:right="269"/>
        <w:rPr>
          <w:rFonts w:ascii="Arial" w:eastAsia="Times New Roman" w:hAnsi="Arial" w:cs="Courier New"/>
        </w:rPr>
      </w:pPr>
    </w:p>
    <w:p w14:paraId="5F4EAFE3" w14:textId="4BC0196A" w:rsidR="00E36921" w:rsidRDefault="0099735A" w:rsidP="0099735A">
      <w:pPr>
        <w:spacing w:after="115"/>
        <w:ind w:right="269"/>
        <w:rPr>
          <w:rFonts w:ascii="Arial" w:eastAsia="Times New Roman" w:hAnsi="Arial" w:cs="Courier New"/>
        </w:rPr>
      </w:pPr>
      <w:r>
        <w:rPr>
          <w:rFonts w:ascii="Arial" w:eastAsia="Times New Roman" w:hAnsi="Arial" w:cs="Courier New"/>
        </w:rPr>
        <w:t xml:space="preserve">    4.   GTRI will update </w:t>
      </w:r>
      <w:r w:rsidR="009A1502">
        <w:rPr>
          <w:rFonts w:ascii="Arial" w:eastAsia="Times New Roman" w:hAnsi="Arial" w:cs="Courier New"/>
        </w:rPr>
        <w:t xml:space="preserve">NIEM API 2.0 to add functionality to perform quality assurance of </w:t>
      </w:r>
      <w:r w:rsidR="00EF4835">
        <w:rPr>
          <w:rFonts w:ascii="Arial" w:eastAsia="Times New Roman" w:hAnsi="Arial" w:cs="Courier New"/>
        </w:rPr>
        <w:t xml:space="preserve">change requests and the </w:t>
      </w:r>
      <w:r w:rsidR="009A1502">
        <w:rPr>
          <w:rFonts w:ascii="Arial" w:eastAsia="Times New Roman" w:hAnsi="Arial" w:cs="Courier New"/>
        </w:rPr>
        <w:t xml:space="preserve">NIEMOpen model release, to automate updates to database content, to automate the </w:t>
      </w:r>
      <w:r w:rsidR="00EF4835">
        <w:rPr>
          <w:rFonts w:ascii="Arial" w:eastAsia="Times New Roman" w:hAnsi="Arial" w:cs="Courier New"/>
        </w:rPr>
        <w:t xml:space="preserve">generation </w:t>
      </w:r>
      <w:r w:rsidR="009A1502">
        <w:rPr>
          <w:rFonts w:ascii="Arial" w:eastAsia="Times New Roman" w:hAnsi="Arial" w:cs="Courier New"/>
        </w:rPr>
        <w:t>of model release artifacts (</w:t>
      </w:r>
      <w:proofErr w:type="gramStart"/>
      <w:r w:rsidR="009A1502">
        <w:rPr>
          <w:rFonts w:ascii="Arial" w:eastAsia="Times New Roman" w:hAnsi="Arial" w:cs="Courier New"/>
        </w:rPr>
        <w:t>e.g.</w:t>
      </w:r>
      <w:proofErr w:type="gramEnd"/>
      <w:r w:rsidR="009A1502">
        <w:rPr>
          <w:rFonts w:ascii="Arial" w:eastAsia="Times New Roman" w:hAnsi="Arial" w:cs="Courier New"/>
        </w:rPr>
        <w:t xml:space="preserve"> </w:t>
      </w:r>
      <w:r w:rsidR="00EF4835">
        <w:rPr>
          <w:rFonts w:ascii="Arial" w:eastAsia="Times New Roman" w:hAnsi="Arial" w:cs="Courier New"/>
        </w:rPr>
        <w:t xml:space="preserve">schemas, </w:t>
      </w:r>
      <w:r w:rsidR="009A1502">
        <w:rPr>
          <w:rFonts w:ascii="Arial" w:eastAsia="Times New Roman" w:hAnsi="Arial" w:cs="Courier New"/>
        </w:rPr>
        <w:t xml:space="preserve">change log, statistics report, CSV files), to integrate with the latest version of the </w:t>
      </w:r>
      <w:r w:rsidR="00EF4835">
        <w:rPr>
          <w:rFonts w:ascii="Arial" w:eastAsia="Times New Roman" w:hAnsi="Arial" w:cs="Courier New"/>
        </w:rPr>
        <w:t>Common Model Format (</w:t>
      </w:r>
      <w:r w:rsidR="009A1502">
        <w:rPr>
          <w:rFonts w:ascii="Arial" w:eastAsia="Times New Roman" w:hAnsi="Arial" w:cs="Courier New"/>
        </w:rPr>
        <w:t xml:space="preserve">CMF) tool, and </w:t>
      </w:r>
      <w:r w:rsidR="00EE3FE1">
        <w:rPr>
          <w:rFonts w:ascii="Arial" w:eastAsia="Times New Roman" w:hAnsi="Arial" w:cs="Courier New"/>
        </w:rPr>
        <w:t xml:space="preserve">to </w:t>
      </w:r>
      <w:r w:rsidR="009A1502">
        <w:rPr>
          <w:rFonts w:ascii="Arial" w:eastAsia="Times New Roman" w:hAnsi="Arial" w:cs="Courier New"/>
        </w:rPr>
        <w:t>update the NIEM Toolbox user interface to accommodate these new/improved functionalities.</w:t>
      </w:r>
    </w:p>
    <w:p w14:paraId="4CBEFFE1" w14:textId="77777777" w:rsidR="0099735A" w:rsidRDefault="0099735A" w:rsidP="0099735A">
      <w:pPr>
        <w:spacing w:after="115"/>
        <w:ind w:right="269"/>
        <w:rPr>
          <w:rFonts w:ascii="Arial" w:eastAsia="Times New Roman" w:hAnsi="Arial" w:cs="Courier New"/>
        </w:rPr>
      </w:pPr>
    </w:p>
    <w:p w14:paraId="68BE920C" w14:textId="2F879D6C" w:rsidR="00E36921" w:rsidRDefault="00C840BD">
      <w:pPr>
        <w:spacing w:after="115"/>
        <w:ind w:right="269"/>
        <w:rPr>
          <w:rFonts w:ascii="Arial" w:eastAsia="Times New Roman" w:hAnsi="Arial" w:cs="Courier New"/>
        </w:rPr>
      </w:pPr>
      <w:r>
        <w:rPr>
          <w:rFonts w:ascii="Arial" w:eastAsia="Times New Roman" w:hAnsi="Arial" w:cs="Courier New"/>
        </w:rPr>
        <w:t xml:space="preserve">    </w:t>
      </w:r>
      <w:r w:rsidR="0099735A">
        <w:rPr>
          <w:rFonts w:ascii="Arial" w:eastAsia="Times New Roman" w:hAnsi="Arial" w:cs="Courier New"/>
        </w:rPr>
        <w:t>5</w:t>
      </w:r>
      <w:r>
        <w:rPr>
          <w:rFonts w:ascii="Arial" w:eastAsia="Times New Roman" w:hAnsi="Arial" w:cs="Courier New"/>
        </w:rPr>
        <w:t xml:space="preserve">.   GTRI will </w:t>
      </w:r>
      <w:r w:rsidR="0099735A">
        <w:rPr>
          <w:rFonts w:ascii="Arial" w:eastAsia="Times New Roman" w:hAnsi="Arial" w:cs="Courier New"/>
        </w:rPr>
        <w:t xml:space="preserve">update </w:t>
      </w:r>
      <w:r w:rsidR="009A1502">
        <w:rPr>
          <w:rFonts w:ascii="Arial" w:eastAsia="Times New Roman" w:hAnsi="Arial" w:cs="Courier New"/>
        </w:rPr>
        <w:t>NIEMOpen technical training material</w:t>
      </w:r>
      <w:r w:rsidR="00EE3FE1">
        <w:rPr>
          <w:rFonts w:ascii="Arial" w:eastAsia="Times New Roman" w:hAnsi="Arial" w:cs="Courier New"/>
        </w:rPr>
        <w:t>, including</w:t>
      </w:r>
      <w:r w:rsidR="009A1502">
        <w:rPr>
          <w:rFonts w:ascii="Arial" w:eastAsia="Times New Roman" w:hAnsi="Arial" w:cs="Courier New"/>
        </w:rPr>
        <w:t xml:space="preserve"> </w:t>
      </w:r>
      <w:r w:rsidR="00EE3FE1">
        <w:rPr>
          <w:rFonts w:ascii="Arial" w:eastAsia="Times New Roman" w:hAnsi="Arial" w:cs="Courier New"/>
        </w:rPr>
        <w:t xml:space="preserve">new NIEM Toolbox functionality, updates based on new message specification guidance from the NTAC, and remaining </w:t>
      </w:r>
      <w:r w:rsidR="00A86B22">
        <w:rPr>
          <w:rFonts w:ascii="Arial" w:eastAsia="Times New Roman" w:hAnsi="Arial" w:cs="Courier New"/>
        </w:rPr>
        <w:t xml:space="preserve">updates </w:t>
      </w:r>
      <w:r w:rsidR="00EE3FE1">
        <w:rPr>
          <w:rFonts w:ascii="Arial" w:eastAsia="Times New Roman" w:hAnsi="Arial" w:cs="Courier New"/>
        </w:rPr>
        <w:t xml:space="preserve">for NDR 6.0 </w:t>
      </w:r>
      <w:r w:rsidR="00A86B22">
        <w:rPr>
          <w:rFonts w:ascii="Arial" w:eastAsia="Times New Roman" w:hAnsi="Arial" w:cs="Courier New"/>
        </w:rPr>
        <w:t xml:space="preserve">changes </w:t>
      </w:r>
      <w:r w:rsidR="00EE3FE1">
        <w:rPr>
          <w:rFonts w:ascii="Arial" w:eastAsia="Times New Roman" w:hAnsi="Arial" w:cs="Courier New"/>
        </w:rPr>
        <w:t>and NIEM JSON</w:t>
      </w:r>
      <w:r w:rsidR="00A86B22">
        <w:rPr>
          <w:rFonts w:ascii="Arial" w:eastAsia="Times New Roman" w:hAnsi="Arial" w:cs="Courier New"/>
        </w:rPr>
        <w:t xml:space="preserve"> support</w:t>
      </w:r>
      <w:r>
        <w:rPr>
          <w:rFonts w:ascii="Arial" w:eastAsia="Times New Roman" w:hAnsi="Arial" w:cs="Courier New"/>
        </w:rPr>
        <w:t>.</w:t>
      </w:r>
    </w:p>
    <w:p w14:paraId="71F5B67D" w14:textId="77777777" w:rsidR="00E36921" w:rsidRDefault="00E36921">
      <w:pPr>
        <w:pStyle w:val="ListParagraph"/>
        <w:spacing w:after="115"/>
        <w:ind w:left="0"/>
        <w:contextualSpacing w:val="0"/>
        <w:rPr>
          <w:rFonts w:eastAsia="Times New Roman" w:cs="Courier New"/>
          <w:b/>
          <w:bCs/>
          <w:color w:val="000000"/>
        </w:rPr>
      </w:pPr>
    </w:p>
    <w:p w14:paraId="7A66DB55" w14:textId="05AE7B70" w:rsidR="00E36921" w:rsidRDefault="00C840BD">
      <w:pPr>
        <w:pStyle w:val="ListParagraph"/>
        <w:spacing w:after="115"/>
        <w:ind w:left="0"/>
        <w:contextualSpacing w:val="0"/>
        <w:rPr>
          <w:rFonts w:eastAsia="Times New Roman" w:cs="Courier New"/>
          <w:color w:val="000000"/>
        </w:rPr>
      </w:pPr>
      <w:r>
        <w:rPr>
          <w:rFonts w:ascii="Arial" w:eastAsia="Times New Roman" w:hAnsi="Arial" w:cs="Courier New"/>
          <w:color w:val="000000"/>
        </w:rPr>
        <w:lastRenderedPageBreak/>
        <w:t xml:space="preserve">The period of performance for this work order is expected to be </w:t>
      </w:r>
      <w:r w:rsidR="00500676" w:rsidRPr="002C67EB">
        <w:rPr>
          <w:rFonts w:ascii="Arial" w:eastAsia="Times New Roman" w:hAnsi="Arial" w:cs="Courier New"/>
          <w:color w:val="000000"/>
        </w:rPr>
        <w:t>12</w:t>
      </w:r>
      <w:r w:rsidRPr="002C67EB">
        <w:rPr>
          <w:rFonts w:ascii="Arial" w:eastAsia="Times New Roman" w:hAnsi="Arial" w:cs="Courier New"/>
          <w:color w:val="000000"/>
        </w:rPr>
        <w:t xml:space="preserve"> months</w:t>
      </w:r>
      <w:r>
        <w:rPr>
          <w:rFonts w:ascii="Arial" w:eastAsia="Times New Roman" w:hAnsi="Arial" w:cs="Courier New"/>
          <w:color w:val="000000"/>
        </w:rPr>
        <w:t xml:space="preserve"> from date of execution (or signature).</w:t>
      </w:r>
    </w:p>
    <w:p w14:paraId="56F94AE2" w14:textId="77777777" w:rsidR="00E36921" w:rsidRDefault="00E36921">
      <w:pPr>
        <w:spacing w:after="115" w:line="216" w:lineRule="auto"/>
        <w:ind w:right="2789"/>
        <w:rPr>
          <w:rFonts w:ascii="Courier New" w:hAnsi="Courier New"/>
          <w:b/>
          <w:bCs/>
          <w:sz w:val="32"/>
          <w:szCs w:val="32"/>
        </w:rPr>
      </w:pPr>
    </w:p>
    <w:p w14:paraId="34BA9572" w14:textId="77777777" w:rsidR="00E36921" w:rsidRDefault="00C840BD">
      <w:pPr>
        <w:spacing w:after="115" w:line="216" w:lineRule="auto"/>
        <w:ind w:right="2789"/>
        <w:rPr>
          <w:rFonts w:ascii="Courier New" w:hAnsi="Courier New"/>
          <w:b/>
          <w:bCs/>
          <w:sz w:val="32"/>
          <w:szCs w:val="32"/>
        </w:rPr>
      </w:pPr>
      <w:r>
        <w:rPr>
          <w:rFonts w:ascii="Courier New" w:hAnsi="Courier New"/>
          <w:b/>
          <w:bCs/>
          <w:sz w:val="32"/>
          <w:szCs w:val="32"/>
        </w:rPr>
        <w:t>Contractor's estimate of the hours (or comparable metric) of effort required by this Order:</w:t>
      </w:r>
    </w:p>
    <w:tbl>
      <w:tblPr>
        <w:tblW w:w="10820" w:type="dxa"/>
        <w:tblLook w:val="04A0" w:firstRow="1" w:lastRow="0" w:firstColumn="1" w:lastColumn="0" w:noHBand="0" w:noVBand="1"/>
      </w:tblPr>
      <w:tblGrid>
        <w:gridCol w:w="3055"/>
        <w:gridCol w:w="2160"/>
        <w:gridCol w:w="1605"/>
        <w:gridCol w:w="2175"/>
        <w:gridCol w:w="1825"/>
      </w:tblGrid>
      <w:tr w:rsidR="006D376F" w:rsidRPr="006D376F" w14:paraId="2926F868" w14:textId="77777777" w:rsidTr="006D376F">
        <w:trPr>
          <w:trHeight w:val="918"/>
        </w:trPr>
        <w:tc>
          <w:tcPr>
            <w:tcW w:w="3055" w:type="dxa"/>
            <w:tcBorders>
              <w:top w:val="single" w:sz="4" w:space="0" w:color="auto"/>
              <w:left w:val="single" w:sz="4" w:space="0" w:color="auto"/>
              <w:bottom w:val="single" w:sz="4" w:space="0" w:color="auto"/>
              <w:right w:val="single" w:sz="4" w:space="0" w:color="auto"/>
            </w:tcBorders>
            <w:shd w:val="clear" w:color="000000" w:fill="C5D9F1"/>
            <w:hideMark/>
          </w:tcPr>
          <w:p w14:paraId="50A8420D"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Contractor Name: GTRI</w:t>
            </w:r>
            <w:r w:rsidRPr="006D376F">
              <w:rPr>
                <w:rFonts w:ascii="Calibri" w:eastAsia="Times New Roman" w:hAnsi="Calibri" w:cs="Calibri"/>
                <w:b/>
                <w:bCs/>
                <w:color w:val="000000"/>
                <w:kern w:val="0"/>
                <w:sz w:val="22"/>
                <w:szCs w:val="22"/>
                <w:lang w:eastAsia="en-US" w:bidi="ar-SA"/>
              </w:rPr>
              <w:br/>
              <w:t>POP:  10/01/2023 - 9/30/2024</w:t>
            </w:r>
          </w:p>
        </w:tc>
        <w:tc>
          <w:tcPr>
            <w:tcW w:w="2160" w:type="dxa"/>
            <w:tcBorders>
              <w:top w:val="single" w:sz="4" w:space="0" w:color="auto"/>
              <w:left w:val="nil"/>
              <w:bottom w:val="single" w:sz="4" w:space="0" w:color="auto"/>
              <w:right w:val="single" w:sz="4" w:space="0" w:color="auto"/>
            </w:tcBorders>
            <w:shd w:val="clear" w:color="000000" w:fill="C5D9F1"/>
            <w:hideMark/>
          </w:tcPr>
          <w:p w14:paraId="61FADF5D"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Position Description</w:t>
            </w:r>
          </w:p>
        </w:tc>
        <w:tc>
          <w:tcPr>
            <w:tcW w:w="1605" w:type="dxa"/>
            <w:tcBorders>
              <w:top w:val="single" w:sz="4" w:space="0" w:color="auto"/>
              <w:left w:val="nil"/>
              <w:bottom w:val="single" w:sz="4" w:space="0" w:color="auto"/>
              <w:right w:val="single" w:sz="4" w:space="0" w:color="auto"/>
            </w:tcBorders>
            <w:shd w:val="clear" w:color="000000" w:fill="C5D9F1"/>
            <w:hideMark/>
          </w:tcPr>
          <w:p w14:paraId="7057D790"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Level of Effort (hours based on current funding)</w:t>
            </w:r>
          </w:p>
        </w:tc>
        <w:tc>
          <w:tcPr>
            <w:tcW w:w="2175" w:type="dxa"/>
            <w:tcBorders>
              <w:top w:val="single" w:sz="4" w:space="0" w:color="auto"/>
              <w:left w:val="nil"/>
              <w:bottom w:val="single" w:sz="4" w:space="0" w:color="auto"/>
              <w:right w:val="single" w:sz="4" w:space="0" w:color="auto"/>
            </w:tcBorders>
            <w:shd w:val="clear" w:color="000000" w:fill="C5D9F1"/>
            <w:hideMark/>
          </w:tcPr>
          <w:p w14:paraId="74F594EA"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Hourly Labor Rate (average including fee)</w:t>
            </w:r>
          </w:p>
        </w:tc>
        <w:tc>
          <w:tcPr>
            <w:tcW w:w="1825" w:type="dxa"/>
            <w:tcBorders>
              <w:top w:val="single" w:sz="4" w:space="0" w:color="auto"/>
              <w:left w:val="nil"/>
              <w:bottom w:val="single" w:sz="4" w:space="0" w:color="auto"/>
              <w:right w:val="single" w:sz="4" w:space="0" w:color="auto"/>
            </w:tcBorders>
            <w:shd w:val="clear" w:color="000000" w:fill="C5D9F1"/>
            <w:hideMark/>
          </w:tcPr>
          <w:p w14:paraId="0C5EBA8A"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 xml:space="preserve">Total Cost </w:t>
            </w:r>
          </w:p>
        </w:tc>
      </w:tr>
      <w:tr w:rsidR="006D376F" w:rsidRPr="006D376F" w14:paraId="7BCE7C4F" w14:textId="77777777" w:rsidTr="006D376F">
        <w:trPr>
          <w:trHeight w:val="690"/>
        </w:trPr>
        <w:tc>
          <w:tcPr>
            <w:tcW w:w="3055" w:type="dxa"/>
            <w:tcBorders>
              <w:top w:val="nil"/>
              <w:left w:val="single" w:sz="4" w:space="0" w:color="auto"/>
              <w:bottom w:val="single" w:sz="4" w:space="0" w:color="auto"/>
              <w:right w:val="single" w:sz="4" w:space="0" w:color="auto"/>
            </w:tcBorders>
            <w:shd w:val="clear" w:color="auto" w:fill="auto"/>
            <w:noWrap/>
            <w:vAlign w:val="bottom"/>
            <w:hideMark/>
          </w:tcPr>
          <w:p w14:paraId="57147111"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GTRI LCAT</w:t>
            </w:r>
          </w:p>
        </w:tc>
        <w:tc>
          <w:tcPr>
            <w:tcW w:w="2160" w:type="dxa"/>
            <w:tcBorders>
              <w:top w:val="nil"/>
              <w:left w:val="nil"/>
              <w:bottom w:val="single" w:sz="4" w:space="0" w:color="auto"/>
              <w:right w:val="single" w:sz="4" w:space="0" w:color="auto"/>
            </w:tcBorders>
            <w:shd w:val="clear" w:color="auto" w:fill="auto"/>
            <w:noWrap/>
            <w:vAlign w:val="bottom"/>
            <w:hideMark/>
          </w:tcPr>
          <w:p w14:paraId="4642775C"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 </w:t>
            </w:r>
          </w:p>
        </w:tc>
        <w:tc>
          <w:tcPr>
            <w:tcW w:w="1605" w:type="dxa"/>
            <w:tcBorders>
              <w:top w:val="nil"/>
              <w:left w:val="nil"/>
              <w:bottom w:val="single" w:sz="4" w:space="0" w:color="auto"/>
              <w:right w:val="single" w:sz="4" w:space="0" w:color="auto"/>
            </w:tcBorders>
            <w:shd w:val="clear" w:color="auto" w:fill="auto"/>
            <w:noWrap/>
            <w:vAlign w:val="bottom"/>
            <w:hideMark/>
          </w:tcPr>
          <w:p w14:paraId="7EE9EA9F"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 </w:t>
            </w:r>
          </w:p>
        </w:tc>
        <w:tc>
          <w:tcPr>
            <w:tcW w:w="2175" w:type="dxa"/>
            <w:tcBorders>
              <w:top w:val="nil"/>
              <w:left w:val="nil"/>
              <w:bottom w:val="single" w:sz="4" w:space="0" w:color="auto"/>
              <w:right w:val="single" w:sz="4" w:space="0" w:color="auto"/>
            </w:tcBorders>
            <w:shd w:val="clear" w:color="auto" w:fill="auto"/>
            <w:vAlign w:val="bottom"/>
            <w:hideMark/>
          </w:tcPr>
          <w:p w14:paraId="6EDACCAC"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 </w:t>
            </w:r>
          </w:p>
        </w:tc>
        <w:tc>
          <w:tcPr>
            <w:tcW w:w="1825" w:type="dxa"/>
            <w:tcBorders>
              <w:top w:val="nil"/>
              <w:left w:val="nil"/>
              <w:bottom w:val="single" w:sz="4" w:space="0" w:color="auto"/>
              <w:right w:val="single" w:sz="4" w:space="0" w:color="auto"/>
            </w:tcBorders>
            <w:shd w:val="clear" w:color="auto" w:fill="auto"/>
            <w:vAlign w:val="bottom"/>
            <w:hideMark/>
          </w:tcPr>
          <w:p w14:paraId="5AEAC683" w14:textId="77777777" w:rsidR="006D376F" w:rsidRPr="006D376F" w:rsidRDefault="006D376F" w:rsidP="006D376F">
            <w:pPr>
              <w:suppressAutoHyphens w:val="0"/>
              <w:rPr>
                <w:rFonts w:ascii="Calibri" w:eastAsia="Times New Roman" w:hAnsi="Calibri" w:cs="Calibri"/>
                <w:b/>
                <w:bCs/>
                <w:color w:val="000000"/>
                <w:kern w:val="0"/>
                <w:sz w:val="22"/>
                <w:szCs w:val="22"/>
                <w:lang w:eastAsia="en-US" w:bidi="ar-SA"/>
              </w:rPr>
            </w:pPr>
            <w:r w:rsidRPr="006D376F">
              <w:rPr>
                <w:rFonts w:ascii="Calibri" w:eastAsia="Times New Roman" w:hAnsi="Calibri" w:cs="Calibri"/>
                <w:b/>
                <w:bCs/>
                <w:color w:val="000000"/>
                <w:kern w:val="0"/>
                <w:sz w:val="22"/>
                <w:szCs w:val="22"/>
                <w:lang w:eastAsia="en-US" w:bidi="ar-SA"/>
              </w:rPr>
              <w:t> </w:t>
            </w:r>
          </w:p>
        </w:tc>
      </w:tr>
      <w:tr w:rsidR="006D376F" w:rsidRPr="006D376F" w14:paraId="727A30AC" w14:textId="77777777" w:rsidTr="006D376F">
        <w:trPr>
          <w:trHeight w:val="408"/>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DA283F0"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Senior Research Scientist</w:t>
            </w:r>
          </w:p>
        </w:tc>
        <w:tc>
          <w:tcPr>
            <w:tcW w:w="2160" w:type="dxa"/>
            <w:tcBorders>
              <w:top w:val="nil"/>
              <w:left w:val="nil"/>
              <w:bottom w:val="single" w:sz="4" w:space="0" w:color="auto"/>
              <w:right w:val="single" w:sz="4" w:space="0" w:color="auto"/>
            </w:tcBorders>
            <w:shd w:val="clear" w:color="auto" w:fill="auto"/>
            <w:vAlign w:val="center"/>
            <w:hideMark/>
          </w:tcPr>
          <w:p w14:paraId="5EAC77D6"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data modeler</w:t>
            </w:r>
          </w:p>
        </w:tc>
        <w:tc>
          <w:tcPr>
            <w:tcW w:w="1605" w:type="dxa"/>
            <w:tcBorders>
              <w:top w:val="nil"/>
              <w:left w:val="nil"/>
              <w:bottom w:val="single" w:sz="4" w:space="0" w:color="auto"/>
              <w:right w:val="single" w:sz="4" w:space="0" w:color="auto"/>
            </w:tcBorders>
            <w:shd w:val="clear" w:color="auto" w:fill="auto"/>
            <w:vAlign w:val="center"/>
            <w:hideMark/>
          </w:tcPr>
          <w:p w14:paraId="197E2B14" w14:textId="059647DB" w:rsidR="006D376F" w:rsidRPr="006D376F" w:rsidRDefault="00443F27" w:rsidP="006D376F">
            <w:pPr>
              <w:suppressAutoHyphens w:val="0"/>
              <w:jc w:val="right"/>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360</w:t>
            </w:r>
          </w:p>
        </w:tc>
        <w:tc>
          <w:tcPr>
            <w:tcW w:w="2175" w:type="dxa"/>
            <w:tcBorders>
              <w:top w:val="nil"/>
              <w:left w:val="nil"/>
              <w:bottom w:val="single" w:sz="4" w:space="0" w:color="auto"/>
              <w:right w:val="single" w:sz="4" w:space="0" w:color="auto"/>
            </w:tcBorders>
            <w:shd w:val="clear" w:color="auto" w:fill="auto"/>
            <w:noWrap/>
            <w:vAlign w:val="bottom"/>
            <w:hideMark/>
          </w:tcPr>
          <w:p w14:paraId="18476C0B" w14:textId="63B808C4"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$2</w:t>
            </w:r>
            <w:r w:rsidR="00443F27">
              <w:rPr>
                <w:rFonts w:ascii="Calibri" w:eastAsia="Times New Roman" w:hAnsi="Calibri" w:cs="Calibri"/>
                <w:color w:val="000000"/>
                <w:kern w:val="0"/>
                <w:sz w:val="22"/>
                <w:szCs w:val="22"/>
                <w:lang w:eastAsia="en-US" w:bidi="ar-SA"/>
              </w:rPr>
              <w:t>45</w:t>
            </w:r>
            <w:r w:rsidRPr="006D376F">
              <w:rPr>
                <w:rFonts w:ascii="Calibri" w:eastAsia="Times New Roman" w:hAnsi="Calibri" w:cs="Calibri"/>
                <w:color w:val="000000"/>
                <w:kern w:val="0"/>
                <w:sz w:val="22"/>
                <w:szCs w:val="22"/>
                <w:lang w:eastAsia="en-US" w:bidi="ar-SA"/>
              </w:rPr>
              <w:t xml:space="preserve">.00 </w:t>
            </w:r>
          </w:p>
        </w:tc>
        <w:tc>
          <w:tcPr>
            <w:tcW w:w="1825" w:type="dxa"/>
            <w:tcBorders>
              <w:top w:val="nil"/>
              <w:left w:val="nil"/>
              <w:bottom w:val="single" w:sz="4" w:space="0" w:color="auto"/>
              <w:right w:val="single" w:sz="4" w:space="0" w:color="auto"/>
            </w:tcBorders>
            <w:shd w:val="clear" w:color="auto" w:fill="auto"/>
            <w:noWrap/>
            <w:vAlign w:val="bottom"/>
            <w:hideMark/>
          </w:tcPr>
          <w:p w14:paraId="0708AA4E" w14:textId="5D502F8F"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88</w:t>
            </w: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200</w:t>
            </w:r>
            <w:r w:rsidRPr="006D376F">
              <w:rPr>
                <w:rFonts w:ascii="Calibri" w:eastAsia="Times New Roman" w:hAnsi="Calibri" w:cs="Calibri"/>
                <w:color w:val="000000"/>
                <w:kern w:val="0"/>
                <w:sz w:val="22"/>
                <w:szCs w:val="22"/>
                <w:lang w:eastAsia="en-US" w:bidi="ar-SA"/>
              </w:rPr>
              <w:t xml:space="preserve">.00 </w:t>
            </w:r>
          </w:p>
        </w:tc>
      </w:tr>
      <w:tr w:rsidR="006D376F" w:rsidRPr="006D376F" w14:paraId="3AEB6753" w14:textId="77777777" w:rsidTr="006D376F">
        <w:trPr>
          <w:trHeight w:val="408"/>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4AA3B7B"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Senior Research Scientist</w:t>
            </w:r>
          </w:p>
        </w:tc>
        <w:tc>
          <w:tcPr>
            <w:tcW w:w="2160" w:type="dxa"/>
            <w:tcBorders>
              <w:top w:val="nil"/>
              <w:left w:val="nil"/>
              <w:bottom w:val="single" w:sz="4" w:space="0" w:color="auto"/>
              <w:right w:val="single" w:sz="4" w:space="0" w:color="auto"/>
            </w:tcBorders>
            <w:shd w:val="clear" w:color="auto" w:fill="auto"/>
            <w:vAlign w:val="center"/>
            <w:hideMark/>
          </w:tcPr>
          <w:p w14:paraId="21B8C769"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data engineer</w:t>
            </w:r>
          </w:p>
        </w:tc>
        <w:tc>
          <w:tcPr>
            <w:tcW w:w="1605" w:type="dxa"/>
            <w:tcBorders>
              <w:top w:val="nil"/>
              <w:left w:val="nil"/>
              <w:bottom w:val="single" w:sz="4" w:space="0" w:color="auto"/>
              <w:right w:val="single" w:sz="4" w:space="0" w:color="auto"/>
            </w:tcBorders>
            <w:shd w:val="clear" w:color="auto" w:fill="auto"/>
            <w:vAlign w:val="center"/>
            <w:hideMark/>
          </w:tcPr>
          <w:p w14:paraId="48C6C5EF" w14:textId="48963817" w:rsidR="006D376F" w:rsidRPr="006D376F" w:rsidRDefault="00443F27" w:rsidP="006D376F">
            <w:pPr>
              <w:suppressAutoHyphens w:val="0"/>
              <w:jc w:val="right"/>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40</w:t>
            </w:r>
          </w:p>
        </w:tc>
        <w:tc>
          <w:tcPr>
            <w:tcW w:w="2175" w:type="dxa"/>
            <w:tcBorders>
              <w:top w:val="nil"/>
              <w:left w:val="nil"/>
              <w:bottom w:val="single" w:sz="4" w:space="0" w:color="auto"/>
              <w:right w:val="single" w:sz="4" w:space="0" w:color="auto"/>
            </w:tcBorders>
            <w:shd w:val="clear" w:color="auto" w:fill="auto"/>
            <w:noWrap/>
            <w:vAlign w:val="bottom"/>
            <w:hideMark/>
          </w:tcPr>
          <w:p w14:paraId="0CA443E9" w14:textId="09D19BAD"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$2</w:t>
            </w:r>
            <w:r w:rsidR="00443F27">
              <w:rPr>
                <w:rFonts w:ascii="Calibri" w:eastAsia="Times New Roman" w:hAnsi="Calibri" w:cs="Calibri"/>
                <w:color w:val="000000"/>
                <w:kern w:val="0"/>
                <w:sz w:val="22"/>
                <w:szCs w:val="22"/>
                <w:lang w:eastAsia="en-US" w:bidi="ar-SA"/>
              </w:rPr>
              <w:t>60</w:t>
            </w:r>
            <w:r w:rsidRPr="006D376F">
              <w:rPr>
                <w:rFonts w:ascii="Calibri" w:eastAsia="Times New Roman" w:hAnsi="Calibri" w:cs="Calibri"/>
                <w:color w:val="000000"/>
                <w:kern w:val="0"/>
                <w:sz w:val="22"/>
                <w:szCs w:val="22"/>
                <w:lang w:eastAsia="en-US" w:bidi="ar-SA"/>
              </w:rPr>
              <w:t xml:space="preserve">.00 </w:t>
            </w:r>
          </w:p>
        </w:tc>
        <w:tc>
          <w:tcPr>
            <w:tcW w:w="1825" w:type="dxa"/>
            <w:tcBorders>
              <w:top w:val="nil"/>
              <w:left w:val="nil"/>
              <w:bottom w:val="single" w:sz="4" w:space="0" w:color="auto"/>
              <w:right w:val="single" w:sz="4" w:space="0" w:color="auto"/>
            </w:tcBorders>
            <w:shd w:val="clear" w:color="auto" w:fill="auto"/>
            <w:noWrap/>
            <w:vAlign w:val="bottom"/>
            <w:hideMark/>
          </w:tcPr>
          <w:p w14:paraId="14CDEC35" w14:textId="49733865"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10</w:t>
            </w: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400</w:t>
            </w:r>
            <w:r w:rsidRPr="006D376F">
              <w:rPr>
                <w:rFonts w:ascii="Calibri" w:eastAsia="Times New Roman" w:hAnsi="Calibri" w:cs="Calibri"/>
                <w:color w:val="000000"/>
                <w:kern w:val="0"/>
                <w:sz w:val="22"/>
                <w:szCs w:val="22"/>
                <w:lang w:eastAsia="en-US" w:bidi="ar-SA"/>
              </w:rPr>
              <w:t xml:space="preserve">.00 </w:t>
            </w:r>
          </w:p>
        </w:tc>
      </w:tr>
      <w:tr w:rsidR="006D376F" w:rsidRPr="006D376F" w14:paraId="42FCD3CE" w14:textId="77777777" w:rsidTr="006D376F">
        <w:trPr>
          <w:trHeight w:val="408"/>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3E7AC39"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Senior Research Scientist</w:t>
            </w:r>
          </w:p>
        </w:tc>
        <w:tc>
          <w:tcPr>
            <w:tcW w:w="2160" w:type="dxa"/>
            <w:tcBorders>
              <w:top w:val="nil"/>
              <w:left w:val="nil"/>
              <w:bottom w:val="single" w:sz="4" w:space="0" w:color="auto"/>
              <w:right w:val="single" w:sz="4" w:space="0" w:color="auto"/>
            </w:tcBorders>
            <w:shd w:val="clear" w:color="auto" w:fill="auto"/>
            <w:vAlign w:val="center"/>
            <w:hideMark/>
          </w:tcPr>
          <w:p w14:paraId="19C6F514"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project manager</w:t>
            </w:r>
          </w:p>
        </w:tc>
        <w:tc>
          <w:tcPr>
            <w:tcW w:w="1605" w:type="dxa"/>
            <w:tcBorders>
              <w:top w:val="nil"/>
              <w:left w:val="nil"/>
              <w:bottom w:val="single" w:sz="4" w:space="0" w:color="auto"/>
              <w:right w:val="single" w:sz="4" w:space="0" w:color="auto"/>
            </w:tcBorders>
            <w:shd w:val="clear" w:color="auto" w:fill="auto"/>
            <w:vAlign w:val="center"/>
            <w:hideMark/>
          </w:tcPr>
          <w:p w14:paraId="00B4C92D" w14:textId="68E046C4" w:rsidR="006D376F" w:rsidRPr="006D376F" w:rsidRDefault="00282376" w:rsidP="006D376F">
            <w:pPr>
              <w:suppressAutoHyphens w:val="0"/>
              <w:jc w:val="right"/>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6.7</w:t>
            </w:r>
          </w:p>
        </w:tc>
        <w:tc>
          <w:tcPr>
            <w:tcW w:w="2175" w:type="dxa"/>
            <w:tcBorders>
              <w:top w:val="nil"/>
              <w:left w:val="nil"/>
              <w:bottom w:val="single" w:sz="4" w:space="0" w:color="auto"/>
              <w:right w:val="single" w:sz="4" w:space="0" w:color="auto"/>
            </w:tcBorders>
            <w:shd w:val="clear" w:color="auto" w:fill="auto"/>
            <w:noWrap/>
            <w:vAlign w:val="bottom"/>
            <w:hideMark/>
          </w:tcPr>
          <w:p w14:paraId="32966CB6" w14:textId="36C1E813"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20</w:t>
            </w:r>
            <w:r w:rsidR="00282376">
              <w:rPr>
                <w:rFonts w:ascii="Calibri" w:eastAsia="Times New Roman" w:hAnsi="Calibri" w:cs="Calibri"/>
                <w:color w:val="000000"/>
                <w:kern w:val="0"/>
                <w:sz w:val="22"/>
                <w:szCs w:val="22"/>
                <w:lang w:eastAsia="en-US" w:bidi="ar-SA"/>
              </w:rPr>
              <w:t>7</w:t>
            </w:r>
            <w:r w:rsidRPr="006D376F">
              <w:rPr>
                <w:rFonts w:ascii="Calibri" w:eastAsia="Times New Roman" w:hAnsi="Calibri" w:cs="Calibri"/>
                <w:color w:val="000000"/>
                <w:kern w:val="0"/>
                <w:sz w:val="22"/>
                <w:szCs w:val="22"/>
                <w:lang w:eastAsia="en-US" w:bidi="ar-SA"/>
              </w:rPr>
              <w:t xml:space="preserve">.00 </w:t>
            </w:r>
          </w:p>
        </w:tc>
        <w:tc>
          <w:tcPr>
            <w:tcW w:w="1825" w:type="dxa"/>
            <w:tcBorders>
              <w:top w:val="nil"/>
              <w:left w:val="nil"/>
              <w:bottom w:val="single" w:sz="4" w:space="0" w:color="auto"/>
              <w:right w:val="single" w:sz="4" w:space="0" w:color="auto"/>
            </w:tcBorders>
            <w:shd w:val="clear" w:color="auto" w:fill="auto"/>
            <w:noWrap/>
            <w:vAlign w:val="bottom"/>
            <w:hideMark/>
          </w:tcPr>
          <w:p w14:paraId="4FD53FC9" w14:textId="7F07CDA0"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1</w:t>
            </w:r>
            <w:r w:rsidR="00282376">
              <w:rPr>
                <w:rFonts w:ascii="Calibri" w:eastAsia="Times New Roman" w:hAnsi="Calibri" w:cs="Calibri"/>
                <w:color w:val="000000"/>
                <w:kern w:val="0"/>
                <w:sz w:val="22"/>
                <w:szCs w:val="22"/>
                <w:lang w:eastAsia="en-US" w:bidi="ar-SA"/>
              </w:rPr>
              <w:t>,</w:t>
            </w:r>
            <w:r w:rsidR="00443F27">
              <w:rPr>
                <w:rFonts w:ascii="Calibri" w:eastAsia="Times New Roman" w:hAnsi="Calibri" w:cs="Calibri"/>
                <w:color w:val="000000"/>
                <w:kern w:val="0"/>
                <w:sz w:val="22"/>
                <w:szCs w:val="22"/>
                <w:lang w:eastAsia="en-US" w:bidi="ar-SA"/>
              </w:rPr>
              <w:t>400</w:t>
            </w:r>
            <w:r w:rsidRPr="006D376F">
              <w:rPr>
                <w:rFonts w:ascii="Calibri" w:eastAsia="Times New Roman" w:hAnsi="Calibri" w:cs="Calibri"/>
                <w:color w:val="000000"/>
                <w:kern w:val="0"/>
                <w:sz w:val="22"/>
                <w:szCs w:val="22"/>
                <w:lang w:eastAsia="en-US" w:bidi="ar-SA"/>
              </w:rPr>
              <w:t xml:space="preserve">.00 </w:t>
            </w:r>
          </w:p>
        </w:tc>
      </w:tr>
      <w:tr w:rsidR="006D376F" w:rsidRPr="006D376F" w14:paraId="6255BEE0" w14:textId="77777777" w:rsidTr="006D376F">
        <w:trPr>
          <w:trHeight w:val="288"/>
        </w:trPr>
        <w:tc>
          <w:tcPr>
            <w:tcW w:w="3055" w:type="dxa"/>
            <w:tcBorders>
              <w:top w:val="nil"/>
              <w:left w:val="nil"/>
              <w:bottom w:val="nil"/>
              <w:right w:val="nil"/>
            </w:tcBorders>
            <w:shd w:val="clear" w:color="auto" w:fill="auto"/>
            <w:noWrap/>
            <w:vAlign w:val="bottom"/>
            <w:hideMark/>
          </w:tcPr>
          <w:p w14:paraId="78565675" w14:textId="77777777"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p>
        </w:tc>
        <w:tc>
          <w:tcPr>
            <w:tcW w:w="2160" w:type="dxa"/>
            <w:tcBorders>
              <w:top w:val="nil"/>
              <w:left w:val="nil"/>
              <w:bottom w:val="nil"/>
              <w:right w:val="nil"/>
            </w:tcBorders>
            <w:shd w:val="clear" w:color="auto" w:fill="auto"/>
            <w:noWrap/>
            <w:vAlign w:val="bottom"/>
            <w:hideMark/>
          </w:tcPr>
          <w:p w14:paraId="233FB16E" w14:textId="77777777" w:rsidR="006D376F" w:rsidRPr="006D376F" w:rsidRDefault="006D376F" w:rsidP="006D376F">
            <w:pPr>
              <w:suppressAutoHyphens w:val="0"/>
              <w:rPr>
                <w:rFonts w:ascii="Times New Roman" w:eastAsia="Times New Roman" w:hAnsi="Times New Roman" w:cs="Times New Roman"/>
                <w:kern w:val="0"/>
                <w:sz w:val="20"/>
                <w:szCs w:val="20"/>
                <w:lang w:eastAsia="en-US" w:bidi="ar-SA"/>
              </w:rPr>
            </w:pPr>
          </w:p>
        </w:tc>
        <w:tc>
          <w:tcPr>
            <w:tcW w:w="1605" w:type="dxa"/>
            <w:tcBorders>
              <w:top w:val="nil"/>
              <w:left w:val="nil"/>
              <w:bottom w:val="nil"/>
              <w:right w:val="nil"/>
            </w:tcBorders>
            <w:shd w:val="clear" w:color="auto" w:fill="auto"/>
            <w:noWrap/>
            <w:vAlign w:val="bottom"/>
            <w:hideMark/>
          </w:tcPr>
          <w:p w14:paraId="5D86843A" w14:textId="77777777" w:rsidR="006D376F" w:rsidRPr="006D376F" w:rsidRDefault="006D376F" w:rsidP="006D376F">
            <w:pPr>
              <w:suppressAutoHyphens w:val="0"/>
              <w:rPr>
                <w:rFonts w:ascii="Times New Roman" w:eastAsia="Times New Roman" w:hAnsi="Times New Roman" w:cs="Times New Roman"/>
                <w:kern w:val="0"/>
                <w:sz w:val="20"/>
                <w:szCs w:val="20"/>
                <w:lang w:eastAsia="en-US" w:bidi="ar-SA"/>
              </w:rPr>
            </w:pPr>
          </w:p>
        </w:tc>
        <w:tc>
          <w:tcPr>
            <w:tcW w:w="2175" w:type="dxa"/>
            <w:tcBorders>
              <w:top w:val="nil"/>
              <w:left w:val="nil"/>
              <w:bottom w:val="nil"/>
              <w:right w:val="nil"/>
            </w:tcBorders>
            <w:shd w:val="clear" w:color="auto" w:fill="auto"/>
            <w:noWrap/>
            <w:vAlign w:val="bottom"/>
            <w:hideMark/>
          </w:tcPr>
          <w:p w14:paraId="0C8B98EA" w14:textId="77777777" w:rsidR="006D376F" w:rsidRPr="006D376F" w:rsidRDefault="006D376F" w:rsidP="006D376F">
            <w:pPr>
              <w:suppressAutoHyphens w:val="0"/>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Total</w:t>
            </w:r>
          </w:p>
        </w:tc>
        <w:tc>
          <w:tcPr>
            <w:tcW w:w="1825" w:type="dxa"/>
            <w:tcBorders>
              <w:top w:val="nil"/>
              <w:left w:val="single" w:sz="4" w:space="0" w:color="auto"/>
              <w:bottom w:val="nil"/>
              <w:right w:val="single" w:sz="4" w:space="0" w:color="auto"/>
            </w:tcBorders>
            <w:shd w:val="clear" w:color="auto" w:fill="auto"/>
            <w:noWrap/>
            <w:vAlign w:val="bottom"/>
            <w:hideMark/>
          </w:tcPr>
          <w:p w14:paraId="6275F570" w14:textId="77777777" w:rsidR="006D376F" w:rsidRPr="006D376F" w:rsidRDefault="006D376F" w:rsidP="006D376F">
            <w:pPr>
              <w:suppressAutoHyphens w:val="0"/>
              <w:jc w:val="right"/>
              <w:rPr>
                <w:rFonts w:ascii="Calibri" w:eastAsia="Times New Roman" w:hAnsi="Calibri" w:cs="Calibri"/>
                <w:color w:val="000000"/>
                <w:kern w:val="0"/>
                <w:sz w:val="22"/>
                <w:szCs w:val="22"/>
                <w:lang w:eastAsia="en-US" w:bidi="ar-SA"/>
              </w:rPr>
            </w:pPr>
            <w:r w:rsidRPr="006D376F">
              <w:rPr>
                <w:rFonts w:ascii="Calibri" w:eastAsia="Times New Roman" w:hAnsi="Calibri" w:cs="Calibri"/>
                <w:color w:val="000000"/>
                <w:kern w:val="0"/>
                <w:sz w:val="22"/>
                <w:szCs w:val="22"/>
                <w:lang w:eastAsia="en-US" w:bidi="ar-SA"/>
              </w:rPr>
              <w:t xml:space="preserve">$100,000.00 </w:t>
            </w:r>
          </w:p>
        </w:tc>
      </w:tr>
    </w:tbl>
    <w:p w14:paraId="75040BFB" w14:textId="6D00D528" w:rsidR="00E36921" w:rsidRDefault="00E36921">
      <w:pPr>
        <w:spacing w:after="115"/>
        <w:ind w:right="269"/>
        <w:jc w:val="right"/>
        <w:rPr>
          <w:rFonts w:ascii="Arial" w:eastAsia="Times New Roman" w:hAnsi="Arial" w:cs="Courier New"/>
          <w:color w:val="0000FF"/>
        </w:rPr>
      </w:pPr>
    </w:p>
    <w:p w14:paraId="374C86A8" w14:textId="615A8152" w:rsidR="00E36921" w:rsidRDefault="00C840BD">
      <w:pPr>
        <w:spacing w:after="115"/>
        <w:ind w:right="269"/>
        <w:rPr>
          <w:rFonts w:ascii="Arial" w:eastAsia="Times New Roman" w:hAnsi="Arial" w:cs="Courier New"/>
        </w:rPr>
      </w:pPr>
      <w:r>
        <w:rPr>
          <w:rFonts w:ascii="Arial" w:eastAsia="Times New Roman" w:hAnsi="Arial" w:cs="Courier New"/>
        </w:rPr>
        <w:t>The number of hours estimated in the table above are GTRI best guesses to deliver the NIEM 6.</w:t>
      </w:r>
      <w:r w:rsidR="002C67EB">
        <w:rPr>
          <w:rFonts w:ascii="Arial" w:eastAsia="Times New Roman" w:hAnsi="Arial" w:cs="Courier New"/>
        </w:rPr>
        <w:t>1</w:t>
      </w:r>
      <w:r>
        <w:rPr>
          <w:rFonts w:ascii="Arial" w:eastAsia="Times New Roman" w:hAnsi="Arial" w:cs="Courier New"/>
        </w:rPr>
        <w:t xml:space="preserve"> release</w:t>
      </w:r>
      <w:r w:rsidR="002C67EB">
        <w:rPr>
          <w:rFonts w:ascii="Arial" w:eastAsia="Times New Roman" w:hAnsi="Arial" w:cs="Courier New"/>
        </w:rPr>
        <w:t xml:space="preserve"> and updates to the NIEM API 2.0 tool</w:t>
      </w:r>
      <w:r>
        <w:rPr>
          <w:rFonts w:ascii="Arial" w:eastAsia="Times New Roman" w:hAnsi="Arial" w:cs="Courier New"/>
        </w:rPr>
        <w:t xml:space="preserve">.  There are external factors that will impact the timeline such as </w:t>
      </w:r>
      <w:r w:rsidR="00EF4835">
        <w:rPr>
          <w:rFonts w:ascii="Arial" w:eastAsia="Times New Roman" w:hAnsi="Arial" w:cs="Courier New"/>
        </w:rPr>
        <w:t xml:space="preserve">the </w:t>
      </w:r>
      <w:r w:rsidR="00EE3FE1">
        <w:rPr>
          <w:rFonts w:ascii="Arial" w:eastAsia="Times New Roman" w:hAnsi="Arial" w:cs="Courier New"/>
        </w:rPr>
        <w:t xml:space="preserve">level of effort required to review and address QA issues in change requests and the </w:t>
      </w:r>
      <w:r w:rsidR="006F0A81">
        <w:rPr>
          <w:rFonts w:ascii="Arial" w:eastAsia="Times New Roman" w:hAnsi="Arial" w:cs="Courier New"/>
        </w:rPr>
        <w:t>number</w:t>
      </w:r>
      <w:r>
        <w:rPr>
          <w:rFonts w:ascii="Arial" w:eastAsia="Times New Roman" w:hAnsi="Arial" w:cs="Courier New"/>
        </w:rPr>
        <w:t xml:space="preserve"> of comments received during draft model review.  </w:t>
      </w:r>
    </w:p>
    <w:p w14:paraId="50669943" w14:textId="77777777" w:rsidR="002C67EB" w:rsidRDefault="00C840BD" w:rsidP="002C67EB">
      <w:pPr>
        <w:suppressAutoHyphens w:val="0"/>
        <w:autoSpaceDE w:val="0"/>
        <w:autoSpaceDN w:val="0"/>
        <w:adjustRightInd w:val="0"/>
        <w:rPr>
          <w:rFonts w:ascii="ArialMT" w:hAnsi="ArialMT" w:cs="ArialMT"/>
          <w:kern w:val="0"/>
          <w:lang w:bidi="ar-SA"/>
        </w:rPr>
      </w:pPr>
      <w:r>
        <w:rPr>
          <w:rFonts w:ascii="Arial" w:eastAsia="Times New Roman" w:hAnsi="Arial" w:cs="Courier New"/>
        </w:rPr>
        <w:t>Actual hours completed per month are to be invoiced and reported to the PGB within 12 days of the end of each calendar month.  OASIS will pay within 30 days of receipt of invoice, subject to PGB officer confirmation of performance</w:t>
      </w:r>
      <w:r>
        <w:rPr>
          <w:rFonts w:ascii="Arial" w:eastAsia="Times New Roman" w:hAnsi="Arial" w:cs="Courier New"/>
          <w:b/>
          <w:bCs/>
        </w:rPr>
        <w:t>.</w:t>
      </w:r>
      <w:r w:rsidR="002C67EB">
        <w:rPr>
          <w:rFonts w:ascii="Arial" w:eastAsia="Times New Roman" w:hAnsi="Arial" w:cs="Courier New"/>
          <w:b/>
          <w:bCs/>
        </w:rPr>
        <w:t xml:space="preserve">  </w:t>
      </w:r>
      <w:r w:rsidR="002C67EB">
        <w:rPr>
          <w:rFonts w:ascii="ArialMT" w:hAnsi="ArialMT" w:cs="ArialMT"/>
          <w:kern w:val="0"/>
          <w:lang w:bidi="ar-SA"/>
        </w:rPr>
        <w:t>The foregoing estimates and</w:t>
      </w:r>
    </w:p>
    <w:p w14:paraId="0B128FE3"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 xml:space="preserve">actual invoices will be computed on a </w:t>
      </w:r>
      <w:proofErr w:type="gramStart"/>
      <w:r>
        <w:rPr>
          <w:rFonts w:ascii="ArialMT" w:hAnsi="ArialMT" w:cs="ArialMT"/>
          <w:kern w:val="0"/>
          <w:lang w:bidi="ar-SA"/>
        </w:rPr>
        <w:t>Cost Plus</w:t>
      </w:r>
      <w:proofErr w:type="gramEnd"/>
      <w:r>
        <w:rPr>
          <w:rFonts w:ascii="ArialMT" w:hAnsi="ArialMT" w:cs="ArialMT"/>
          <w:kern w:val="0"/>
          <w:lang w:bidi="ar-SA"/>
        </w:rPr>
        <w:t xml:space="preserve"> Fixed Fee basis, with all such charges,</w:t>
      </w:r>
    </w:p>
    <w:p w14:paraId="6226A432"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fees, and costs being included in a single blended rate, consistent with the 'indirect cost</w:t>
      </w:r>
    </w:p>
    <w:p w14:paraId="7F75FCDC"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recovery' terms below, and with Contractor's ability to make the periodic hourly labor rate</w:t>
      </w:r>
    </w:p>
    <w:p w14:paraId="6C7276EF"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pricing adjustments to their actual rates as notified from time to time as provided in the</w:t>
      </w:r>
    </w:p>
    <w:p w14:paraId="0DD6B938" w14:textId="7E49A821" w:rsidR="00E36921" w:rsidRDefault="002C67EB" w:rsidP="002C67EB">
      <w:pPr>
        <w:spacing w:after="115"/>
        <w:ind w:right="269"/>
        <w:rPr>
          <w:rFonts w:hint="eastAsia"/>
        </w:rPr>
      </w:pPr>
      <w:r>
        <w:rPr>
          <w:rFonts w:ascii="ArialMT" w:hAnsi="ArialMT" w:cs="ArialMT"/>
          <w:kern w:val="0"/>
          <w:lang w:bidi="ar-SA"/>
        </w:rPr>
        <w:t>GTRI-OASIS master agreement ("Independent Contractor Agreement").</w:t>
      </w:r>
    </w:p>
    <w:p w14:paraId="004630A0" w14:textId="77777777" w:rsidR="00E36921" w:rsidRDefault="00E36921">
      <w:pPr>
        <w:spacing w:after="115" w:line="216" w:lineRule="auto"/>
        <w:rPr>
          <w:rFonts w:ascii="Arial" w:hAnsi="Arial"/>
          <w:b/>
          <w:bCs/>
          <w:color w:val="C71585"/>
        </w:rPr>
      </w:pPr>
    </w:p>
    <w:p w14:paraId="1FC427B8" w14:textId="77777777" w:rsidR="00E36921" w:rsidRDefault="00C840BD">
      <w:pPr>
        <w:spacing w:after="115" w:line="216" w:lineRule="auto"/>
        <w:ind w:right="2789"/>
        <w:rPr>
          <w:rFonts w:ascii="Courier New" w:hAnsi="Courier New"/>
          <w:b/>
          <w:bCs/>
          <w:sz w:val="32"/>
          <w:szCs w:val="32"/>
        </w:rPr>
      </w:pPr>
      <w:r>
        <w:rPr>
          <w:rFonts w:ascii="Courier New" w:hAnsi="Courier New"/>
          <w:b/>
          <w:bCs/>
          <w:sz w:val="32"/>
          <w:szCs w:val="32"/>
        </w:rPr>
        <w:t>Applicable blended hourly rate (or unit rate or similar if applicable) for this work:</w:t>
      </w:r>
    </w:p>
    <w:p w14:paraId="433488A8" w14:textId="77777777" w:rsidR="00E36921" w:rsidRDefault="00C840BD">
      <w:pPr>
        <w:spacing w:after="115"/>
        <w:ind w:right="269"/>
        <w:rPr>
          <w:rFonts w:ascii="Arial" w:eastAsia="Times New Roman" w:hAnsi="Arial" w:cs="Courier New"/>
        </w:rPr>
      </w:pPr>
      <w:r>
        <w:rPr>
          <w:rFonts w:ascii="Arial" w:eastAsia="Times New Roman" w:hAnsi="Arial" w:cs="Courier New"/>
        </w:rPr>
        <w:t>See table above</w:t>
      </w:r>
    </w:p>
    <w:p w14:paraId="516B7C0F" w14:textId="77777777" w:rsidR="00E36921" w:rsidRDefault="00E36921">
      <w:pPr>
        <w:spacing w:after="115"/>
        <w:ind w:right="2789"/>
        <w:rPr>
          <w:rFonts w:ascii="Courier New" w:hAnsi="Courier New"/>
          <w:b/>
          <w:bCs/>
          <w:sz w:val="32"/>
          <w:szCs w:val="32"/>
        </w:rPr>
      </w:pPr>
    </w:p>
    <w:p w14:paraId="23831BED" w14:textId="77777777" w:rsidR="00E36921" w:rsidRDefault="00C840BD">
      <w:pPr>
        <w:spacing w:after="115"/>
        <w:ind w:right="2789"/>
        <w:rPr>
          <w:rFonts w:ascii="Courier New" w:hAnsi="Courier New"/>
          <w:b/>
          <w:bCs/>
          <w:sz w:val="32"/>
          <w:szCs w:val="32"/>
        </w:rPr>
      </w:pPr>
      <w:r>
        <w:rPr>
          <w:rFonts w:ascii="Courier New" w:hAnsi="Courier New"/>
          <w:b/>
          <w:bCs/>
          <w:sz w:val="32"/>
          <w:szCs w:val="32"/>
        </w:rPr>
        <w:t>Contractor's estimated cost of supplies and other non-labor costs and expenses for this work:</w:t>
      </w:r>
    </w:p>
    <w:p w14:paraId="77D309B8" w14:textId="77777777" w:rsidR="00E36921" w:rsidRDefault="00C840BD">
      <w:pPr>
        <w:spacing w:after="115"/>
        <w:ind w:right="269"/>
        <w:rPr>
          <w:rFonts w:ascii="Arial" w:eastAsia="Times New Roman" w:hAnsi="Arial" w:cs="Courier New"/>
          <w:color w:val="000000"/>
        </w:rPr>
      </w:pPr>
      <w:r>
        <w:rPr>
          <w:rFonts w:ascii="Arial" w:eastAsia="Times New Roman" w:hAnsi="Arial" w:cs="Courier New"/>
          <w:color w:val="000000"/>
        </w:rPr>
        <w:t>$_____0_____</w:t>
      </w:r>
    </w:p>
    <w:p w14:paraId="7628C1A4" w14:textId="77777777" w:rsidR="00E36921" w:rsidRDefault="00E36921">
      <w:pPr>
        <w:spacing w:after="115"/>
        <w:ind w:right="269"/>
        <w:rPr>
          <w:rFonts w:ascii="Arial" w:eastAsia="Times New Roman" w:hAnsi="Arial" w:cs="Courier New"/>
          <w:color w:val="000000"/>
        </w:rPr>
      </w:pPr>
    </w:p>
    <w:p w14:paraId="14999CB4" w14:textId="77777777" w:rsidR="00E36921" w:rsidRDefault="00C840BD">
      <w:pPr>
        <w:spacing w:after="115"/>
        <w:ind w:right="2789"/>
        <w:rPr>
          <w:rFonts w:ascii="Courier New" w:hAnsi="Courier New"/>
          <w:b/>
          <w:bCs/>
          <w:sz w:val="32"/>
          <w:szCs w:val="32"/>
        </w:rPr>
      </w:pPr>
      <w:r>
        <w:rPr>
          <w:rFonts w:ascii="Courier New" w:hAnsi="Courier New"/>
          <w:b/>
          <w:bCs/>
          <w:sz w:val="32"/>
          <w:szCs w:val="32"/>
        </w:rPr>
        <w:t xml:space="preserve">Applicable Contractor's indirect cost recovery charges applicable to for such work and expenses: </w:t>
      </w:r>
    </w:p>
    <w:p w14:paraId="7C0D58B4"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Contractor's hourly rates estimated above and as invoiced to OASIS are all-in rates,</w:t>
      </w:r>
    </w:p>
    <w:p w14:paraId="2710FE68" w14:textId="77777777" w:rsidR="002C67EB" w:rsidRDefault="002C67EB" w:rsidP="002C67EB">
      <w:pPr>
        <w:suppressAutoHyphens w:val="0"/>
        <w:autoSpaceDE w:val="0"/>
        <w:autoSpaceDN w:val="0"/>
        <w:adjustRightInd w:val="0"/>
        <w:rPr>
          <w:rFonts w:ascii="ArialMT" w:hAnsi="ArialMT" w:cs="ArialMT"/>
          <w:kern w:val="0"/>
          <w:lang w:bidi="ar-SA"/>
        </w:rPr>
      </w:pPr>
      <w:r>
        <w:rPr>
          <w:rFonts w:ascii="ArialMT" w:hAnsi="ArialMT" w:cs="ArialMT"/>
          <w:kern w:val="0"/>
          <w:lang w:bidi="ar-SA"/>
        </w:rPr>
        <w:t>including all costs and fees as calculated in CPFF accounting for the work (as noted</w:t>
      </w:r>
    </w:p>
    <w:p w14:paraId="55880714" w14:textId="65F5F043" w:rsidR="00E36921" w:rsidRDefault="002C67EB" w:rsidP="002C67EB">
      <w:pPr>
        <w:spacing w:after="115"/>
        <w:ind w:right="2700"/>
        <w:rPr>
          <w:rFonts w:ascii="ArialMT" w:hAnsi="ArialMT" w:cs="ArialMT"/>
          <w:kern w:val="0"/>
          <w:lang w:bidi="ar-SA"/>
        </w:rPr>
      </w:pPr>
      <w:r>
        <w:rPr>
          <w:rFonts w:ascii="ArialMT" w:hAnsi="ArialMT" w:cs="ArialMT"/>
          <w:kern w:val="0"/>
          <w:lang w:bidi="ar-SA"/>
        </w:rPr>
        <w:t>above), as well as any other fees or costs, and any other similar charges.</w:t>
      </w:r>
    </w:p>
    <w:p w14:paraId="270F1A06" w14:textId="77777777" w:rsidR="002C67EB" w:rsidRDefault="002C67EB" w:rsidP="002C67EB">
      <w:pPr>
        <w:spacing w:after="115"/>
        <w:ind w:right="2700"/>
        <w:rPr>
          <w:rFonts w:ascii="Courier New" w:hAnsi="Courier New"/>
          <w:b/>
          <w:bCs/>
          <w:sz w:val="32"/>
          <w:szCs w:val="32"/>
        </w:rPr>
      </w:pPr>
    </w:p>
    <w:p w14:paraId="5E84630E" w14:textId="2AE66C7A" w:rsidR="00E36921" w:rsidRDefault="00C840BD">
      <w:pPr>
        <w:spacing w:after="115"/>
        <w:ind w:right="2700"/>
        <w:rPr>
          <w:rFonts w:hint="eastAsia"/>
        </w:rPr>
      </w:pPr>
      <w:r>
        <w:rPr>
          <w:rFonts w:ascii="Courier New" w:hAnsi="Courier New"/>
          <w:b/>
          <w:bCs/>
          <w:sz w:val="32"/>
          <w:szCs w:val="32"/>
        </w:rPr>
        <w:t>Contract Cost</w:t>
      </w:r>
      <w:r w:rsidR="000C1102">
        <w:rPr>
          <w:rFonts w:ascii="Courier New" w:hAnsi="Courier New"/>
          <w:b/>
          <w:bCs/>
          <w:sz w:val="32"/>
          <w:szCs w:val="32"/>
        </w:rPr>
        <w:t xml:space="preserve"> </w:t>
      </w:r>
      <w:r>
        <w:rPr>
          <w:rFonts w:ascii="Courier New" w:hAnsi="Courier New"/>
          <w:b/>
          <w:bCs/>
          <w:sz w:val="32"/>
          <w:szCs w:val="32"/>
        </w:rPr>
        <w:t>Limitation for this</w:t>
      </w:r>
      <w:r w:rsidR="002C67EB">
        <w:rPr>
          <w:rFonts w:ascii="Courier New" w:hAnsi="Courier New"/>
          <w:b/>
          <w:bCs/>
          <w:sz w:val="32"/>
          <w:szCs w:val="32"/>
        </w:rPr>
        <w:t xml:space="preserve"> </w:t>
      </w:r>
      <w:r>
        <w:rPr>
          <w:rFonts w:ascii="Courier New" w:hAnsi="Courier New"/>
          <w:b/>
          <w:bCs/>
          <w:sz w:val="32"/>
          <w:szCs w:val="32"/>
        </w:rPr>
        <w:t>Work Order:</w:t>
      </w:r>
      <w:r>
        <w:rPr>
          <w:rFonts w:ascii="Times New Roman" w:eastAsia="Times New Roman" w:hAnsi="Times New Roman" w:cs="Times New Roman"/>
        </w:rPr>
        <w:t xml:space="preserve">              </w:t>
      </w:r>
    </w:p>
    <w:p w14:paraId="78FA4A9A" w14:textId="11182D0A" w:rsidR="00E36921" w:rsidRDefault="00C840BD">
      <w:pPr>
        <w:spacing w:after="115"/>
        <w:ind w:right="269"/>
        <w:rPr>
          <w:rFonts w:hint="eastAsia"/>
          <w:color w:val="0000FF"/>
        </w:rPr>
      </w:pPr>
      <w:r w:rsidRPr="00495240">
        <w:rPr>
          <w:rFonts w:ascii="Arial" w:eastAsia="Times New Roman" w:hAnsi="Arial" w:cs="Courier New"/>
          <w:highlight w:val="yellow"/>
        </w:rPr>
        <w:t>$</w:t>
      </w:r>
      <w:r w:rsidRPr="00495240">
        <w:rPr>
          <w:rFonts w:ascii="Arial" w:eastAsia="Times New Roman" w:hAnsi="Arial" w:cs="Courier New"/>
          <w:b/>
          <w:bCs/>
          <w:highlight w:val="yellow"/>
        </w:rPr>
        <w:t>100,000</w:t>
      </w:r>
      <w:r>
        <w:rPr>
          <w:rFonts w:ascii="Arial" w:eastAsia="Times New Roman" w:hAnsi="Arial" w:cs="Courier New"/>
        </w:rPr>
        <w:t xml:space="preserve"> </w:t>
      </w:r>
    </w:p>
    <w:p w14:paraId="350CE54A" w14:textId="77777777" w:rsidR="00E36921" w:rsidRDefault="00E36921">
      <w:pPr>
        <w:spacing w:after="58"/>
        <w:rPr>
          <w:rFonts w:ascii="Times New Roman" w:eastAsia="Times New Roman" w:hAnsi="Times New Roman" w:cs="Times New Roman"/>
          <w:color w:val="0000FF"/>
        </w:rPr>
      </w:pPr>
    </w:p>
    <w:p w14:paraId="4AC51EB9" w14:textId="77777777" w:rsidR="00E36921" w:rsidRDefault="00E36921">
      <w:pPr>
        <w:spacing w:after="58"/>
        <w:rPr>
          <w:rFonts w:ascii="Times New Roman" w:eastAsia="Times New Roman" w:hAnsi="Times New Roman" w:cs="Times New Roman"/>
        </w:rPr>
      </w:pPr>
    </w:p>
    <w:p w14:paraId="07388D0E" w14:textId="77777777" w:rsidR="00E36921" w:rsidRDefault="00C840BD">
      <w:pPr>
        <w:spacing w:after="58"/>
        <w:rPr>
          <w:rFonts w:ascii="Courier New" w:eastAsia="Times New Roman" w:hAnsi="Courier New" w:cs="Courier New"/>
          <w:b/>
          <w:bCs/>
          <w:color w:val="000000"/>
          <w:sz w:val="32"/>
          <w:szCs w:val="32"/>
        </w:rPr>
      </w:pPr>
      <w:r>
        <w:rPr>
          <w:rFonts w:ascii="Courier New" w:eastAsia="Times New Roman" w:hAnsi="Courier New" w:cs="Courier New"/>
          <w:b/>
          <w:bCs/>
          <w:color w:val="000000"/>
          <w:sz w:val="32"/>
          <w:szCs w:val="32"/>
        </w:rPr>
        <w:t>APPROVED</w:t>
      </w:r>
    </w:p>
    <w:p w14:paraId="1F881081" w14:textId="77777777" w:rsidR="00E36921" w:rsidRDefault="00E36921">
      <w:pPr>
        <w:rPr>
          <w:rFonts w:ascii="Times New Roman" w:eastAsia="Times New Roman" w:hAnsi="Times New Roman" w:cs="Times New Roman"/>
        </w:rPr>
      </w:pPr>
    </w:p>
    <w:tbl>
      <w:tblPr>
        <w:tblW w:w="8910" w:type="dxa"/>
        <w:tblLayout w:type="fixed"/>
        <w:tblCellMar>
          <w:top w:w="101" w:type="dxa"/>
          <w:left w:w="86" w:type="dxa"/>
          <w:bottom w:w="58" w:type="dxa"/>
          <w:right w:w="101" w:type="dxa"/>
        </w:tblCellMar>
        <w:tblLook w:val="04A0" w:firstRow="1" w:lastRow="0" w:firstColumn="1" w:lastColumn="0" w:noHBand="0" w:noVBand="1"/>
      </w:tblPr>
      <w:tblGrid>
        <w:gridCol w:w="4502"/>
        <w:gridCol w:w="4408"/>
      </w:tblGrid>
      <w:tr w:rsidR="00E36921" w14:paraId="6F639504" w14:textId="77777777">
        <w:trPr>
          <w:trHeight w:val="326"/>
        </w:trPr>
        <w:tc>
          <w:tcPr>
            <w:tcW w:w="4501" w:type="dxa"/>
            <w:tcBorders>
              <w:top w:val="single" w:sz="8" w:space="0" w:color="000000"/>
              <w:left w:val="single" w:sz="8" w:space="0" w:color="000000"/>
              <w:bottom w:val="single" w:sz="8" w:space="0" w:color="000000"/>
            </w:tcBorders>
          </w:tcPr>
          <w:p w14:paraId="41EDE41A" w14:textId="77777777" w:rsidR="00E36921" w:rsidRDefault="00C840BD">
            <w:pPr>
              <w:widowControl w:val="0"/>
              <w:ind w:left="132"/>
              <w:rPr>
                <w:rFonts w:ascii="Times New Roman" w:eastAsia="Times New Roman" w:hAnsi="Times New Roman" w:cs="Times New Roman"/>
              </w:rPr>
            </w:pPr>
            <w:r>
              <w:rPr>
                <w:rFonts w:ascii="Arial" w:eastAsia="Times New Roman" w:hAnsi="Arial" w:cs="Arial"/>
                <w:color w:val="000000"/>
              </w:rPr>
              <w:t>For Contractor </w:t>
            </w:r>
          </w:p>
        </w:tc>
        <w:tc>
          <w:tcPr>
            <w:tcW w:w="4408" w:type="dxa"/>
            <w:tcBorders>
              <w:top w:val="single" w:sz="8" w:space="0" w:color="000000"/>
              <w:left w:val="single" w:sz="8" w:space="0" w:color="000000"/>
              <w:bottom w:val="single" w:sz="8" w:space="0" w:color="000000"/>
              <w:right w:val="single" w:sz="8" w:space="0" w:color="000000"/>
            </w:tcBorders>
          </w:tcPr>
          <w:p w14:paraId="5E549EF9" w14:textId="77777777" w:rsidR="00E36921" w:rsidRDefault="00C840BD">
            <w:pPr>
              <w:widowControl w:val="0"/>
              <w:ind w:left="130"/>
              <w:rPr>
                <w:rFonts w:ascii="Times New Roman" w:eastAsia="Times New Roman" w:hAnsi="Times New Roman" w:cs="Times New Roman"/>
              </w:rPr>
            </w:pPr>
            <w:r>
              <w:rPr>
                <w:rFonts w:ascii="Arial" w:eastAsia="Times New Roman" w:hAnsi="Arial" w:cs="Arial"/>
                <w:color w:val="000000"/>
              </w:rPr>
              <w:t>For OASIS Open</w:t>
            </w:r>
          </w:p>
        </w:tc>
      </w:tr>
      <w:tr w:rsidR="00E36921" w14:paraId="1A4909BB" w14:textId="77777777">
        <w:trPr>
          <w:trHeight w:val="630"/>
        </w:trPr>
        <w:tc>
          <w:tcPr>
            <w:tcW w:w="4501" w:type="dxa"/>
            <w:tcBorders>
              <w:left w:val="single" w:sz="8" w:space="0" w:color="000000"/>
              <w:bottom w:val="single" w:sz="8" w:space="0" w:color="000000"/>
            </w:tcBorders>
          </w:tcPr>
          <w:p w14:paraId="5A589D22" w14:textId="77777777" w:rsidR="00E36921" w:rsidRDefault="00C840BD">
            <w:pPr>
              <w:widowControl w:val="0"/>
              <w:ind w:left="131"/>
              <w:rPr>
                <w:rFonts w:ascii="Times New Roman" w:eastAsia="Times New Roman" w:hAnsi="Times New Roman" w:cs="Times New Roman"/>
              </w:rPr>
            </w:pPr>
            <w:r>
              <w:rPr>
                <w:rFonts w:ascii="Arial" w:eastAsia="Times New Roman" w:hAnsi="Arial" w:cs="Arial"/>
                <w:color w:val="000000"/>
              </w:rPr>
              <w:t>Name, title </w:t>
            </w:r>
          </w:p>
        </w:tc>
        <w:tc>
          <w:tcPr>
            <w:tcW w:w="4408" w:type="dxa"/>
            <w:tcBorders>
              <w:left w:val="single" w:sz="8" w:space="0" w:color="000000"/>
              <w:bottom w:val="single" w:sz="8" w:space="0" w:color="000000"/>
              <w:right w:val="single" w:sz="8" w:space="0" w:color="000000"/>
            </w:tcBorders>
          </w:tcPr>
          <w:p w14:paraId="149103BC" w14:textId="77777777" w:rsidR="00E36921" w:rsidRDefault="00C840BD">
            <w:pPr>
              <w:widowControl w:val="0"/>
              <w:ind w:left="128"/>
              <w:rPr>
                <w:rFonts w:ascii="Times New Roman" w:eastAsia="Times New Roman" w:hAnsi="Times New Roman" w:cs="Times New Roman"/>
              </w:rPr>
            </w:pPr>
            <w:r>
              <w:rPr>
                <w:rFonts w:ascii="Arial" w:eastAsia="Times New Roman" w:hAnsi="Arial" w:cs="Arial"/>
                <w:color w:val="000000"/>
              </w:rPr>
              <w:t>Name, title</w:t>
            </w:r>
          </w:p>
        </w:tc>
      </w:tr>
      <w:tr w:rsidR="00E36921" w14:paraId="4A0200EB" w14:textId="77777777">
        <w:trPr>
          <w:trHeight w:val="615"/>
        </w:trPr>
        <w:tc>
          <w:tcPr>
            <w:tcW w:w="4501" w:type="dxa"/>
            <w:tcBorders>
              <w:left w:val="single" w:sz="8" w:space="0" w:color="000000"/>
              <w:bottom w:val="single" w:sz="8" w:space="0" w:color="000000"/>
            </w:tcBorders>
          </w:tcPr>
          <w:p w14:paraId="7F071AE1" w14:textId="77777777" w:rsidR="00E36921" w:rsidRDefault="00C840BD">
            <w:pPr>
              <w:widowControl w:val="0"/>
              <w:ind w:left="123"/>
              <w:rPr>
                <w:rFonts w:ascii="Times New Roman" w:eastAsia="Times New Roman" w:hAnsi="Times New Roman" w:cs="Times New Roman"/>
              </w:rPr>
            </w:pPr>
            <w:r>
              <w:rPr>
                <w:rFonts w:ascii="Arial" w:eastAsia="Times New Roman" w:hAnsi="Arial" w:cs="Arial"/>
                <w:color w:val="000000"/>
              </w:rPr>
              <w:t>Signature </w:t>
            </w:r>
          </w:p>
        </w:tc>
        <w:tc>
          <w:tcPr>
            <w:tcW w:w="4408" w:type="dxa"/>
            <w:tcBorders>
              <w:left w:val="single" w:sz="8" w:space="0" w:color="000000"/>
              <w:bottom w:val="single" w:sz="8" w:space="0" w:color="000000"/>
              <w:right w:val="single" w:sz="8" w:space="0" w:color="000000"/>
            </w:tcBorders>
          </w:tcPr>
          <w:p w14:paraId="4E9F22AC" w14:textId="77777777" w:rsidR="00E36921" w:rsidRDefault="00C840BD">
            <w:pPr>
              <w:widowControl w:val="0"/>
              <w:ind w:left="121"/>
              <w:rPr>
                <w:rFonts w:ascii="Times New Roman" w:eastAsia="Times New Roman" w:hAnsi="Times New Roman" w:cs="Times New Roman"/>
              </w:rPr>
            </w:pPr>
            <w:r>
              <w:rPr>
                <w:rFonts w:ascii="Arial" w:eastAsia="Times New Roman" w:hAnsi="Arial" w:cs="Arial"/>
                <w:color w:val="000000"/>
              </w:rPr>
              <w:t>Signature</w:t>
            </w:r>
          </w:p>
        </w:tc>
      </w:tr>
      <w:tr w:rsidR="00E36921" w14:paraId="2C6C8911" w14:textId="77777777">
        <w:trPr>
          <w:trHeight w:val="660"/>
        </w:trPr>
        <w:tc>
          <w:tcPr>
            <w:tcW w:w="4501" w:type="dxa"/>
            <w:tcBorders>
              <w:left w:val="single" w:sz="8" w:space="0" w:color="000000"/>
              <w:bottom w:val="single" w:sz="8" w:space="0" w:color="000000"/>
            </w:tcBorders>
          </w:tcPr>
          <w:p w14:paraId="49EA0871" w14:textId="77777777" w:rsidR="00E36921" w:rsidRDefault="00C840BD">
            <w:pPr>
              <w:widowControl w:val="0"/>
              <w:ind w:left="131"/>
              <w:rPr>
                <w:rFonts w:ascii="Times New Roman" w:eastAsia="Times New Roman" w:hAnsi="Times New Roman" w:cs="Times New Roman"/>
              </w:rPr>
            </w:pPr>
            <w:r>
              <w:rPr>
                <w:rFonts w:ascii="Arial" w:eastAsia="Times New Roman" w:hAnsi="Arial" w:cs="Arial"/>
                <w:color w:val="000000"/>
              </w:rPr>
              <w:t>Date </w:t>
            </w:r>
          </w:p>
        </w:tc>
        <w:tc>
          <w:tcPr>
            <w:tcW w:w="4408" w:type="dxa"/>
            <w:tcBorders>
              <w:left w:val="single" w:sz="8" w:space="0" w:color="000000"/>
              <w:bottom w:val="single" w:sz="8" w:space="0" w:color="000000"/>
              <w:right w:val="single" w:sz="8" w:space="0" w:color="000000"/>
            </w:tcBorders>
          </w:tcPr>
          <w:p w14:paraId="3252C56C" w14:textId="77777777" w:rsidR="00E36921" w:rsidRDefault="00C840BD">
            <w:pPr>
              <w:widowControl w:val="0"/>
              <w:ind w:left="128"/>
              <w:rPr>
                <w:rFonts w:ascii="Times New Roman" w:eastAsia="Times New Roman" w:hAnsi="Times New Roman" w:cs="Times New Roman"/>
              </w:rPr>
            </w:pPr>
            <w:r>
              <w:rPr>
                <w:rFonts w:ascii="Arial" w:eastAsia="Times New Roman" w:hAnsi="Arial" w:cs="Arial"/>
                <w:color w:val="000000"/>
              </w:rPr>
              <w:t>Date</w:t>
            </w:r>
            <w:r>
              <w:rPr>
                <w:rFonts w:ascii="Times New Roman" w:eastAsia="Times New Roman" w:hAnsi="Times New Roman" w:cs="Times New Roman"/>
                <w:color w:val="000000"/>
              </w:rPr>
              <w:t xml:space="preserve">                             </w:t>
            </w:r>
          </w:p>
        </w:tc>
      </w:tr>
      <w:tr w:rsidR="00E36921" w14:paraId="6F96A79C" w14:textId="77777777">
        <w:trPr>
          <w:trHeight w:val="660"/>
        </w:trPr>
        <w:tc>
          <w:tcPr>
            <w:tcW w:w="8909" w:type="dxa"/>
            <w:gridSpan w:val="2"/>
            <w:tcBorders>
              <w:left w:val="single" w:sz="8" w:space="0" w:color="000000"/>
              <w:bottom w:val="single" w:sz="8" w:space="0" w:color="000000"/>
              <w:right w:val="single" w:sz="8" w:space="0" w:color="000000"/>
            </w:tcBorders>
          </w:tcPr>
          <w:p w14:paraId="5AD319EE" w14:textId="77777777" w:rsidR="00E36921" w:rsidRDefault="00C840BD">
            <w:pPr>
              <w:widowControl w:val="0"/>
              <w:spacing w:line="216" w:lineRule="auto"/>
              <w:ind w:left="131"/>
              <w:jc w:val="center"/>
              <w:rPr>
                <w:rFonts w:ascii="Times New Roman" w:eastAsia="Times New Roman" w:hAnsi="Times New Roman" w:cs="Times New Roman"/>
              </w:rPr>
            </w:pPr>
            <w:r>
              <w:rPr>
                <w:rFonts w:ascii="Times New Roman" w:eastAsia="Times New Roman" w:hAnsi="Times New Roman" w:cs="Times New Roman"/>
              </w:rPr>
              <w:t>Signatures only valid when estimated hours and dollar amounts are completed</w:t>
            </w:r>
          </w:p>
        </w:tc>
      </w:tr>
    </w:tbl>
    <w:p w14:paraId="01A8F7F3" w14:textId="77777777" w:rsidR="00E36921" w:rsidRDefault="00E36921">
      <w:pPr>
        <w:ind w:left="74"/>
        <w:rPr>
          <w:rFonts w:ascii="Times New Roman" w:eastAsia="Times New Roman" w:hAnsi="Times New Roman" w:cs="Times New Roman"/>
        </w:rPr>
      </w:pPr>
    </w:p>
    <w:sectPr w:rsidR="00E3692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Medlin" w:date="2025-05-02T08:24:00Z" w:initials="MC">
    <w:p w14:paraId="4710F893" w14:textId="62530E88" w:rsidR="00A9755F" w:rsidRDefault="00A9755F">
      <w:pPr>
        <w:pStyle w:val="CommentText"/>
        <w:rPr>
          <w:rFonts w:hint="eastAsia"/>
        </w:rPr>
      </w:pPr>
      <w:r>
        <w:rPr>
          <w:rStyle w:val="CommentReference"/>
          <w:rFonts w:hint="eastAsia"/>
        </w:rPr>
        <w:annotationRef/>
      </w:r>
      <w:r>
        <w:t xml:space="preserve">This date might be </w:t>
      </w:r>
      <w:r w:rsidR="00EA102E">
        <w:t>really</w:t>
      </w:r>
      <w:r>
        <w:t xml:space="preserve"> tight.  If we don’t get the initial content from the new domains for another couple of months</w:t>
      </w:r>
      <w:r w:rsidR="00EF4835">
        <w:t xml:space="preserve"> </w:t>
      </w:r>
      <w:r>
        <w:t>(</w:t>
      </w:r>
      <w:r w:rsidR="00EF4835">
        <w:t>and that’s if their timeline doesn’t slip</w:t>
      </w:r>
      <w:r>
        <w:t xml:space="preserve">), </w:t>
      </w:r>
      <w:r w:rsidR="00EA102E">
        <w:t xml:space="preserve">and it’s expected to be 1,000+ new elements, </w:t>
      </w:r>
      <w:r>
        <w:t>we’ll only have a few months before the holidays start.</w:t>
      </w:r>
    </w:p>
    <w:p w14:paraId="14DC5B45" w14:textId="77777777" w:rsidR="00EA102E" w:rsidRDefault="00EA102E">
      <w:pPr>
        <w:pStyle w:val="CommentText"/>
        <w:rPr>
          <w:rFonts w:hint="eastAsia"/>
        </w:rPr>
      </w:pPr>
    </w:p>
    <w:p w14:paraId="18C7E2C0" w14:textId="0BD2014C" w:rsidR="00EA102E" w:rsidRDefault="00EA102E">
      <w:pPr>
        <w:pStyle w:val="CommentText"/>
        <w:rPr>
          <w:rFonts w:hint="eastAsia"/>
        </w:rPr>
      </w:pPr>
      <w:r>
        <w:t xml:space="preserve">Maybe we try to move the annual release date later, like Jun 30 2026 for 6.1 PSD01.  That should give us time to </w:t>
      </w:r>
      <w:r w:rsidR="00EF4835">
        <w:t xml:space="preserve">also </w:t>
      </w:r>
      <w:r>
        <w:t>get PS01 approved (assuming no major issues) by Sep 30, which lines up with our funding cycle</w:t>
      </w:r>
      <w:r w:rsidR="00EF4835">
        <w:t xml:space="preserve"> and gets the deadline away from the holidays each year</w:t>
      </w:r>
      <w:r>
        <w:t>.</w:t>
      </w:r>
    </w:p>
    <w:p w14:paraId="66F7F22B" w14:textId="77777777" w:rsidR="00EF4835" w:rsidRDefault="00EF4835">
      <w:pPr>
        <w:pStyle w:val="CommentText"/>
        <w:rPr>
          <w:rFonts w:hint="eastAsia"/>
        </w:rPr>
      </w:pPr>
    </w:p>
    <w:p w14:paraId="7AC17F3E" w14:textId="362A5D1C" w:rsidR="00EF4835" w:rsidRDefault="00EF4835">
      <w:pPr>
        <w:pStyle w:val="CommentText"/>
        <w:rPr>
          <w:rFonts w:hint="eastAsia"/>
        </w:rPr>
      </w:pPr>
      <w:r>
        <w:t>We could also suggest putting out a 6.1 alpha by the end of this year to make an early draft (subject to change) of updated NCIC codes and MilOps content available to early adopters.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17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16FA8D" w16cex:dateUtc="2025-05-02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17F3E" w16cid:durableId="7316FA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Medlin">
    <w15:presenceInfo w15:providerId="AD" w15:userId="S-1-5-21-527609689-337038170-4246949088-3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21"/>
    <w:rsid w:val="000C1102"/>
    <w:rsid w:val="00282376"/>
    <w:rsid w:val="002C67EB"/>
    <w:rsid w:val="003D0430"/>
    <w:rsid w:val="00443F27"/>
    <w:rsid w:val="00495240"/>
    <w:rsid w:val="004B09B0"/>
    <w:rsid w:val="00500676"/>
    <w:rsid w:val="00652333"/>
    <w:rsid w:val="006D376F"/>
    <w:rsid w:val="006F0A81"/>
    <w:rsid w:val="008A047E"/>
    <w:rsid w:val="008A1D88"/>
    <w:rsid w:val="0099735A"/>
    <w:rsid w:val="009A1502"/>
    <w:rsid w:val="00A33AA3"/>
    <w:rsid w:val="00A35135"/>
    <w:rsid w:val="00A86B22"/>
    <w:rsid w:val="00A9755F"/>
    <w:rsid w:val="00B907FF"/>
    <w:rsid w:val="00C4024E"/>
    <w:rsid w:val="00C840BD"/>
    <w:rsid w:val="00E36921"/>
    <w:rsid w:val="00EA102E"/>
    <w:rsid w:val="00EE3FE1"/>
    <w:rsid w:val="00EF48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74D7"/>
  <w15:docId w15:val="{AB664BAD-8905-465D-B667-F563678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NSimSun" w:hAnsi="Liberation Sans"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20588A"/>
    <w:rPr>
      <w:sz w:val="16"/>
      <w:szCs w:val="16"/>
    </w:rPr>
  </w:style>
  <w:style w:type="character" w:customStyle="1" w:styleId="CommentTextChar">
    <w:name w:val="Comment Text Char"/>
    <w:basedOn w:val="DefaultParagraphFont"/>
    <w:link w:val="CommentText"/>
    <w:uiPriority w:val="99"/>
    <w:semiHidden/>
    <w:qFormat/>
    <w:rsid w:val="0020588A"/>
    <w:rPr>
      <w:rFonts w:cs="Mangal"/>
      <w:sz w:val="20"/>
      <w:szCs w:val="18"/>
    </w:rPr>
  </w:style>
  <w:style w:type="character" w:customStyle="1" w:styleId="CommentSubjectChar">
    <w:name w:val="Comment Subject Char"/>
    <w:basedOn w:val="CommentTextChar"/>
    <w:link w:val="CommentSubject"/>
    <w:uiPriority w:val="99"/>
    <w:semiHidden/>
    <w:qFormat/>
    <w:rsid w:val="0020588A"/>
    <w:rPr>
      <w:rFonts w:cs="Mangal"/>
      <w:b/>
      <w:bCs/>
      <w:sz w:val="20"/>
      <w:szCs w:val="18"/>
    </w:rPr>
  </w:style>
  <w:style w:type="character" w:styleId="LineNumber">
    <w:name w:val="line number"/>
  </w:style>
  <w:style w:type="paragraph" w:customStyle="1" w:styleId="Heading">
    <w:name w:val="Heading"/>
    <w:basedOn w:val="Normal"/>
    <w:next w:val="BodyText"/>
    <w:qFormat/>
    <w:pPr>
      <w:keepNext/>
      <w:spacing w:before="240" w:after="120"/>
    </w:pPr>
    <w:rPr>
      <w:rFont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CommentText">
    <w:name w:val="annotation text"/>
    <w:basedOn w:val="Normal"/>
    <w:link w:val="CommentTextChar"/>
    <w:uiPriority w:val="99"/>
    <w:semiHidden/>
    <w:unhideWhenUsed/>
    <w:qFormat/>
    <w:rsid w:val="0020588A"/>
    <w:rPr>
      <w:rFonts w:cs="Mangal"/>
      <w:sz w:val="20"/>
      <w:szCs w:val="18"/>
    </w:rPr>
  </w:style>
  <w:style w:type="paragraph" w:styleId="CommentSubject">
    <w:name w:val="annotation subject"/>
    <w:basedOn w:val="CommentText"/>
    <w:next w:val="CommentText"/>
    <w:link w:val="CommentSubjectChar"/>
    <w:uiPriority w:val="99"/>
    <w:semiHidden/>
    <w:unhideWhenUsed/>
    <w:qFormat/>
    <w:rsid w:val="0020588A"/>
    <w:rPr>
      <w:b/>
      <w:bCs/>
    </w:rPr>
  </w:style>
  <w:style w:type="paragraph" w:styleId="Revision">
    <w:name w:val="Revision"/>
    <w:hidden/>
    <w:uiPriority w:val="99"/>
    <w:semiHidden/>
    <w:rsid w:val="00A35135"/>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GTRI NIEMOpen 2023 contract SOW 2 - release support</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GTRI NIEMOpen 2023 contract SOW 2 - release support</dc:title>
  <dc:subject/>
  <dc:creator>Jamie Clark</dc:creator>
  <dc:description/>
  <cp:lastModifiedBy>Dotson, Mark</cp:lastModifiedBy>
  <cp:revision>3</cp:revision>
  <dcterms:created xsi:type="dcterms:W3CDTF">2025-05-02T14:42:00Z</dcterms:created>
  <dcterms:modified xsi:type="dcterms:W3CDTF">2025-05-02T14:45:00Z</dcterms:modified>
  <dc:language>en-US</dc:language>
</cp:coreProperties>
</file>