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Noto Sans CJK SC" w:hAnsi="Noto Sans CJK SC" w:eastAsia="Noto Sans CJK SC"/>
          <w:b/>
          <w:i w:val="0"/>
          <w:color w:val="215791"/>
          <w:sz w:val="52"/>
        </w:rPr>
        <w:t>开发任务拆分清单</w:t>
      </w:r>
    </w:p>
    <w:p>
      <w:pPr>
        <w:jc w:val="left"/>
      </w:pPr>
      <w:r>
        <w:rPr>
          <w:rFonts w:ascii="Noto Sans CJK SC" w:hAnsi="Noto Sans CJK SC" w:eastAsia="Noto Sans CJK SC"/>
          <w:b w:val="0"/>
          <w:i w:val="0"/>
          <w:color w:val="666E77"/>
          <w:sz w:val="24"/>
        </w:rPr>
        <w:t>四大市场股票思路网站 / Codex · Claude Delivery Plan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352"/>
            <w:shd w:fill="215791"/>
          </w:tcPr>
          <w:p>
            <w:pPr>
              <w:spacing w:before="2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6912"/>
      </w:tblGrid>
      <w:tr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文档类型</w:t>
            </w:r>
          </w:p>
        </w:tc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产品设计 / 原型结构 / 开发拆分</w:t>
            </w:r>
          </w:p>
        </w:tc>
      </w:tr>
      <w:tr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版本</w:t>
            </w:r>
          </w:p>
        </w:tc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V1.0</w:t>
            </w:r>
          </w:p>
        </w:tc>
      </w:tr>
      <w:tr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编制</w:t>
            </w:r>
          </w:p>
        </w:tc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OpenAI / ChatGPT</w:t>
            </w:r>
          </w:p>
        </w:tc>
      </w:tr>
      <w:tr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日期</w:t>
            </w:r>
          </w:p>
        </w:tc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2026-04</w:t>
            </w:r>
          </w:p>
        </w:tc>
      </w:tr>
    </w:tbl>
    <w:p/>
    <w:p>
      <w:pPr>
        <w:pStyle w:val="BodySmall"/>
        <w:spacing w:before="480" w:line="300" w:lineRule="auto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说明：本文件用于产品、设计、前端、后端和 AI 编码助手的统一协作，内容可直接作为原型设计与开发拆分依据。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1. 文档目标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本文件用于把 PRD 和页面原型进一步拆解为可执行任务，供产品、前端、后端以及 AI 编码助手直接使用。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把大需求拆到页面、组件、接口、规则和验收标准层。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明确哪些任务更适合 Codex，哪些任务更适合 Claude。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降低“需求很清楚但代码落不下来”的执行损耗。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让首版开发尽快形成从首页到详情页的闭环。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B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i w:val="0"/>
                <w:color w:val="215791"/>
                <w:sz w:val="21"/>
              </w:rPr>
              <w:t>协作原则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Codex 优先承担结构化、组件化、可直接编码的任务。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Claude 优先承担文案、字段定义、说明文档、接口样例和规则补全。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前端与后端都必须围绕统一字段和统一规则中心工作。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2. 总体开发阶段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建议按“先框架、后页面、再规则、再用户能力、最后优化上线”的顺序推进。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阶段</w:t>
            </w:r>
          </w:p>
        </w:tc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主题</w:t>
            </w:r>
          </w:p>
        </w:tc>
        <w:tc>
          <w:tcPr>
            <w:tcW w:type="dxa" w:w="705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主要产出</w:t>
            </w:r>
          </w:p>
        </w:tc>
      </w:tr>
      <w:tr>
        <w:tc>
          <w:tcPr>
            <w:tcW w:type="dxa" w:w="12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Phase 1</w:t>
            </w:r>
          </w:p>
        </w:tc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项目骨架</w:t>
            </w:r>
          </w:p>
        </w:tc>
        <w:tc>
          <w:tcPr>
            <w:tcW w:type="dxa" w:w="705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前端项目、基础路由、全局样式、目录规范</w:t>
            </w:r>
          </w:p>
        </w:tc>
      </w:tr>
      <w:tr>
        <w:tc>
          <w:tcPr>
            <w:tcW w:type="dxa" w:w="12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Phase 2</w:t>
            </w:r>
          </w:p>
        </w:tc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页面骨架</w:t>
            </w:r>
          </w:p>
        </w:tc>
        <w:tc>
          <w:tcPr>
            <w:tcW w:type="dxa" w:w="705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首页、市场页、榜单页、详情页、场景页空壳</w:t>
            </w:r>
          </w:p>
        </w:tc>
      </w:tr>
      <w:tr>
        <w:tc>
          <w:tcPr>
            <w:tcW w:type="dxa" w:w="12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Phase 3</w:t>
            </w:r>
          </w:p>
        </w:tc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组件开发</w:t>
            </w:r>
          </w:p>
        </w:tc>
        <w:tc>
          <w:tcPr>
            <w:tcW w:type="dxa" w:w="705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卡片、列表、筛选器、结论卡、状态组件、拦截层</w:t>
            </w:r>
          </w:p>
        </w:tc>
      </w:tr>
      <w:tr>
        <w:tc>
          <w:tcPr>
            <w:tcW w:type="dxa" w:w="12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Phase 4</w:t>
            </w:r>
          </w:p>
        </w:tc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数据与规则</w:t>
            </w:r>
          </w:p>
        </w:tc>
        <w:tc>
          <w:tcPr>
            <w:tcW w:type="dxa" w:w="705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mock 数据、字段结构、可买规则、不能买场景规则</w:t>
            </w:r>
          </w:p>
        </w:tc>
      </w:tr>
      <w:tr>
        <w:tc>
          <w:tcPr>
            <w:tcW w:type="dxa" w:w="12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Phase 5</w:t>
            </w:r>
          </w:p>
        </w:tc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用户能力</w:t>
            </w:r>
          </w:p>
        </w:tc>
        <w:tc>
          <w:tcPr>
            <w:tcW w:type="dxa" w:w="705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登录、自选、提醒、订阅态控制</w:t>
            </w:r>
          </w:p>
        </w:tc>
      </w:tr>
      <w:tr>
        <w:tc>
          <w:tcPr>
            <w:tcW w:type="dxa" w:w="12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Phase 6</w:t>
            </w:r>
          </w:p>
        </w:tc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联调上线</w:t>
            </w:r>
          </w:p>
        </w:tc>
        <w:tc>
          <w:tcPr>
            <w:tcW w:type="dxa" w:w="705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接口联调、异常态、埋点、性能优化、部署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3. 前端任务拆分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优先完成用户能看见、能跳转、能筛选、能收藏的最小闭环。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任务编号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任务名称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说明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FE-01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项目初始化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创建前端项目、路由、状态管理、主题变量、基础目录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FE-02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全局布局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实现顶部导航、页脚、内容容器、权限占位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FE-03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首页开发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实现 Hero、市场总览、机会榜、不能买榜、订阅模块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FE-04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市场页模板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实现 market 参数化页面模板与核心模块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FE-05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榜单页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实现机会榜、不能买榜、高风险榜、场景筛选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FE-06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股票详情页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实现基础信息、结论卡、入选理由、不能买判断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FE-07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场景详情页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实现场景说明、识别方法、关联股票、替代建议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FE-08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搜索页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实现名称/代码搜索、列表结果与跳转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FE-09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自选与提醒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实现收藏、提醒弹层、提醒列表和状态展示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FE-10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订阅与权限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实现权益拦截、会员状态与可见性控制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4. 后端任务拆分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后端重点在统一字段、统一规则和统一输出，避免后面改动成本过高。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任务编号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任务名称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说明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BE-01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基础服务骨架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完成应用骨架、模块划分、配置、日志与错误处理中间层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BE-02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股票主数据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统一股票基础字段、市场字段、标签字段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BE-03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规则引擎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支持可买规则与不能买场景规则配置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BE-04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评分引擎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输出思路匹配度、风险等级、不能买命中分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BE-05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首页接口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汇总四市场摘要、榜单摘要、风险摘要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BE-06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市场页接口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输出市场说明、思路卡、风险卡、榜单数据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BE-07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详情页接口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输出股票详情、标签、场景命中、关联内容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BE-08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场景页接口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输出场景定义、识别方法、关联股票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BE-09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搜索接口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支持按代码/名称模糊匹配</w:t>
            </w:r>
          </w:p>
        </w:tc>
      </w:tr>
      <w:tr>
        <w:tc>
          <w:tcPr>
            <w:tcW w:type="dxa" w:w="136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BE-10</w:t>
            </w:r>
          </w:p>
        </w:tc>
        <w:tc>
          <w:tcPr>
            <w:tcW w:type="dxa" w:w="216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用户系统</w:t>
            </w:r>
          </w:p>
        </w:tc>
        <w:tc>
          <w:tcPr>
            <w:tcW w:type="dxa" w:w="68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登录、收藏、自选、提醒、权限与订阅状态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5. 给 Codex 的开发任务清单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下列任务适合直接转成 AI 编码指令或 issue 卡片。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19"/>
              </w:rPr>
              <w:t>编号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19"/>
              </w:rPr>
              <w:t>任务</w:t>
            </w:r>
          </w:p>
        </w:tc>
        <w:tc>
          <w:tcPr>
            <w:tcW w:type="dxa" w:w="367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19"/>
              </w:rPr>
              <w:t>目标</w:t>
            </w:r>
          </w:p>
        </w:tc>
        <w:tc>
          <w:tcPr>
            <w:tcW w:type="dxa" w:w="194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19"/>
              </w:rPr>
              <w:t>输出</w:t>
            </w:r>
          </w:p>
        </w:tc>
        <w:tc>
          <w:tcPr>
            <w:tcW w:type="dxa" w:w="208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19"/>
              </w:rPr>
              <w:t>验收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CDX-01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首页页面结构</w:t>
            </w:r>
          </w:p>
        </w:tc>
        <w:tc>
          <w:tcPr>
            <w:tcW w:type="dxa" w:w="367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根据页面原型文档实现首页静态骨架和 mock 数据渲染</w:t>
            </w:r>
          </w:p>
        </w:tc>
        <w:tc>
          <w:tcPr>
            <w:tcW w:type="dxa" w:w="194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首页 React/Vue 页面</w:t>
            </w:r>
          </w:p>
        </w:tc>
        <w:tc>
          <w:tcPr>
            <w:tcW w:type="dxa" w:w="208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模块齐全、响应式正常、样式统一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CDX-02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市场页通用模板</w:t>
            </w:r>
          </w:p>
        </w:tc>
        <w:tc>
          <w:tcPr>
            <w:tcW w:type="dxa" w:w="367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实现 MarketPage 通用页面，支持中国/美国/日本/香港传参</w:t>
            </w:r>
          </w:p>
        </w:tc>
        <w:tc>
          <w:tcPr>
            <w:tcW w:type="dxa" w:w="194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MarketPage 组件</w:t>
            </w:r>
          </w:p>
        </w:tc>
        <w:tc>
          <w:tcPr>
            <w:tcW w:type="dxa" w:w="208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4 个市场页可复用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CDX-03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股票详情页</w:t>
            </w:r>
          </w:p>
        </w:tc>
        <w:tc>
          <w:tcPr>
            <w:tcW w:type="dxa" w:w="367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实现 StockDetail 页面，含买入理由和不能买判断</w:t>
            </w:r>
          </w:p>
        </w:tc>
        <w:tc>
          <w:tcPr>
            <w:tcW w:type="dxa" w:w="194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StockDetail 页面</w:t>
            </w:r>
          </w:p>
        </w:tc>
        <w:tc>
          <w:tcPr>
            <w:tcW w:type="dxa" w:w="208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支持状态切换和风险标签跳转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CDX-04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不能买场景详情页</w:t>
            </w:r>
          </w:p>
        </w:tc>
        <w:tc>
          <w:tcPr>
            <w:tcW w:type="dxa" w:w="367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实现场景详情结构和关联股票列表</w:t>
            </w:r>
          </w:p>
        </w:tc>
        <w:tc>
          <w:tcPr>
            <w:tcW w:type="dxa" w:w="194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AvoidScenarioDetail 页面</w:t>
            </w:r>
          </w:p>
        </w:tc>
        <w:tc>
          <w:tcPr>
            <w:tcW w:type="dxa" w:w="208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支持从详情页和榜单页跳转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CDX-05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榜单列表组件</w:t>
            </w:r>
          </w:p>
        </w:tc>
        <w:tc>
          <w:tcPr>
            <w:tcW w:type="dxa" w:w="367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实现通用榜单列表与排序切换</w:t>
            </w:r>
          </w:p>
        </w:tc>
        <w:tc>
          <w:tcPr>
            <w:tcW w:type="dxa" w:w="194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List 组件</w:t>
            </w:r>
          </w:p>
        </w:tc>
        <w:tc>
          <w:tcPr>
            <w:tcW w:type="dxa" w:w="208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可被机会榜/风险榜复用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CDX-06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筛选器逻辑</w:t>
            </w:r>
          </w:p>
        </w:tc>
        <w:tc>
          <w:tcPr>
            <w:tcW w:type="dxa" w:w="367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实现市场、思路、风险、多条件筛选和一键排除</w:t>
            </w:r>
          </w:p>
        </w:tc>
        <w:tc>
          <w:tcPr>
            <w:tcW w:type="dxa" w:w="194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筛选逻辑与 UI</w:t>
            </w:r>
          </w:p>
        </w:tc>
        <w:tc>
          <w:tcPr>
            <w:tcW w:type="dxa" w:w="208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多条件联动正确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CDX-07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结论卡组件</w:t>
            </w:r>
          </w:p>
        </w:tc>
        <w:tc>
          <w:tcPr>
            <w:tcW w:type="dxa" w:w="367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实现关注/观察/回避三态结论卡</w:t>
            </w:r>
          </w:p>
        </w:tc>
        <w:tc>
          <w:tcPr>
            <w:tcW w:type="dxa" w:w="194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ConclusionCard</w:t>
            </w:r>
          </w:p>
        </w:tc>
        <w:tc>
          <w:tcPr>
            <w:tcW w:type="dxa" w:w="208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状态样式清晰、字段可配置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CDX-08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权限拦截层</w:t>
            </w:r>
          </w:p>
        </w:tc>
        <w:tc>
          <w:tcPr>
            <w:tcW w:type="dxa" w:w="367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实现未登录/未订阅时的拦截与引导弹层</w:t>
            </w:r>
          </w:p>
        </w:tc>
        <w:tc>
          <w:tcPr>
            <w:tcW w:type="dxa" w:w="194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PermissionGate</w:t>
            </w:r>
          </w:p>
        </w:tc>
        <w:tc>
          <w:tcPr>
            <w:tcW w:type="dxa" w:w="208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不会误拦截免费内容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CDX-09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自选与提醒组件</w:t>
            </w:r>
          </w:p>
        </w:tc>
        <w:tc>
          <w:tcPr>
            <w:tcW w:type="dxa" w:w="367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实现加入自选、提醒开关和提示反馈</w:t>
            </w:r>
          </w:p>
        </w:tc>
        <w:tc>
          <w:tcPr>
            <w:tcW w:type="dxa" w:w="194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Favorite + Alert 组件</w:t>
            </w:r>
          </w:p>
        </w:tc>
        <w:tc>
          <w:tcPr>
            <w:tcW w:type="dxa" w:w="208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状态稳定且可复用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CDX-10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页面状态组件</w:t>
            </w:r>
          </w:p>
        </w:tc>
        <w:tc>
          <w:tcPr>
            <w:tcW w:type="dxa" w:w="367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实现加载、空态、异常态与骨架屏</w:t>
            </w:r>
          </w:p>
        </w:tc>
        <w:tc>
          <w:tcPr>
            <w:tcW w:type="dxa" w:w="194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Loading/Empty/Error 组件</w:t>
            </w:r>
          </w:p>
        </w:tc>
        <w:tc>
          <w:tcPr>
            <w:tcW w:type="dxa" w:w="208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全站统一</w:t>
            </w:r>
          </w:p>
        </w:tc>
      </w:tr>
    </w:tbl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5.1 推荐给 Codex 的任务格式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任务名：一句话说明任务边界。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目标：说明该任务解决什么问题。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输入：引用 PRD、页面原型、字段字典或 mock 数据。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输出：页面、组件、接口、逻辑函数或测试脚本。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约束：技术栈、状态管理、命名规范、权限规则。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验收：页面是否可访问、逻辑是否正确、是否支持扩展。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B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i w:val="0"/>
                <w:color w:val="215791"/>
                <w:sz w:val="21"/>
              </w:rPr>
              <w:t>Codex 提示词模板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请基于页面原型结构文档实现 [页面/组件名称]。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技术栈：React/Next.js（或 Vue/Nuxt），TypeScript，Tailwind。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要求：支持 mock 数据、响应式、空态、异常态、未订阅拦截。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输出：完整文件结构、代码、必要注释、mock 示例、验收说明。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6. 给 Claude 的任务清单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下列任务适合由 Claude 输出文档、字段和规则说明，再交给开发或测试继续使用。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编号</w:t>
            </w:r>
          </w:p>
        </w:tc>
        <w:tc>
          <w:tcPr>
            <w:tcW w:type="dxa" w:w="244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任务名称</w:t>
            </w:r>
          </w:p>
        </w:tc>
        <w:tc>
          <w:tcPr>
            <w:tcW w:type="dxa" w:w="66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说明</w:t>
            </w:r>
          </w:p>
        </w:tc>
      </w:tr>
      <w:tr>
        <w:tc>
          <w:tcPr>
            <w:tcW w:type="dxa" w:w="12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CLD-01</w:t>
            </w:r>
          </w:p>
        </w:tc>
        <w:tc>
          <w:tcPr>
            <w:tcW w:type="dxa" w:w="244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页面文案整理</w:t>
            </w:r>
          </w:p>
        </w:tc>
        <w:tc>
          <w:tcPr>
            <w:tcW w:type="dxa" w:w="66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输出首页、市场页、榜单页、详情页的标题、副标题、按钮文案</w:t>
            </w:r>
          </w:p>
        </w:tc>
      </w:tr>
      <w:tr>
        <w:tc>
          <w:tcPr>
            <w:tcW w:type="dxa" w:w="12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CLD-02</w:t>
            </w:r>
          </w:p>
        </w:tc>
        <w:tc>
          <w:tcPr>
            <w:tcW w:type="dxa" w:w="244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空态与异常态文案</w:t>
            </w:r>
          </w:p>
        </w:tc>
        <w:tc>
          <w:tcPr>
            <w:tcW w:type="dxa" w:w="66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输出无结果、无权限、加载失败、未登录等说明</w:t>
            </w:r>
          </w:p>
        </w:tc>
      </w:tr>
      <w:tr>
        <w:tc>
          <w:tcPr>
            <w:tcW w:type="dxa" w:w="12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CLD-03</w:t>
            </w:r>
          </w:p>
        </w:tc>
        <w:tc>
          <w:tcPr>
            <w:tcW w:type="dxa" w:w="244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字段定义文档</w:t>
            </w:r>
          </w:p>
        </w:tc>
        <w:tc>
          <w:tcPr>
            <w:tcW w:type="dxa" w:w="66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统一股票、榜单、场景、用户字段命名与注释</w:t>
            </w:r>
          </w:p>
        </w:tc>
      </w:tr>
      <w:tr>
        <w:tc>
          <w:tcPr>
            <w:tcW w:type="dxa" w:w="12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CLD-04</w:t>
            </w:r>
          </w:p>
        </w:tc>
        <w:tc>
          <w:tcPr>
            <w:tcW w:type="dxa" w:w="244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不能买场景知识库</w:t>
            </w:r>
          </w:p>
        </w:tc>
        <w:tc>
          <w:tcPr>
            <w:tcW w:type="dxa" w:w="66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按四市场输出 5~10 个标准化不能买场景文案</w:t>
            </w:r>
          </w:p>
        </w:tc>
      </w:tr>
      <w:tr>
        <w:tc>
          <w:tcPr>
            <w:tcW w:type="dxa" w:w="12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CLD-05</w:t>
            </w:r>
          </w:p>
        </w:tc>
        <w:tc>
          <w:tcPr>
            <w:tcW w:type="dxa" w:w="244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交互规则说明</w:t>
            </w:r>
          </w:p>
        </w:tc>
        <w:tc>
          <w:tcPr>
            <w:tcW w:type="dxa" w:w="66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将点击、筛选、跳转、弹层、权限逻辑整理成开发说明</w:t>
            </w:r>
          </w:p>
        </w:tc>
      </w:tr>
      <w:tr>
        <w:tc>
          <w:tcPr>
            <w:tcW w:type="dxa" w:w="12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CLD-06</w:t>
            </w:r>
          </w:p>
        </w:tc>
        <w:tc>
          <w:tcPr>
            <w:tcW w:type="dxa" w:w="244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API 响应样例</w:t>
            </w:r>
          </w:p>
        </w:tc>
        <w:tc>
          <w:tcPr>
            <w:tcW w:type="dxa" w:w="66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为核心接口提供 JSON 样例与字段说明</w:t>
            </w:r>
          </w:p>
        </w:tc>
      </w:tr>
      <w:tr>
        <w:tc>
          <w:tcPr>
            <w:tcW w:type="dxa" w:w="12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CLD-07</w:t>
            </w:r>
          </w:p>
        </w:tc>
        <w:tc>
          <w:tcPr>
            <w:tcW w:type="dxa" w:w="244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测试用例初稿</w:t>
            </w:r>
          </w:p>
        </w:tc>
        <w:tc>
          <w:tcPr>
            <w:tcW w:type="dxa" w:w="66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按页面和流程整理前端基础测试点</w:t>
            </w:r>
          </w:p>
        </w:tc>
      </w:tr>
      <w:tr>
        <w:tc>
          <w:tcPr>
            <w:tcW w:type="dxa" w:w="12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CLD-08</w:t>
            </w:r>
          </w:p>
        </w:tc>
        <w:tc>
          <w:tcPr>
            <w:tcW w:type="dxa" w:w="244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埋点方案</w:t>
            </w:r>
          </w:p>
        </w:tc>
        <w:tc>
          <w:tcPr>
            <w:tcW w:type="dxa" w:w="66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输出关键页面与关键按钮的埋点建议</w:t>
            </w:r>
          </w:p>
        </w:tc>
      </w:tr>
    </w:tbl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6.1 推荐给 Claude 的任务格式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输入：PRD 文档、页面原型文档、业务规则。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输出：文案稿、字段表、接口说明、异常态说明、知识库说明。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要求：语言统一、字段统一、可直接被前端后端引用。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注意：所有“不能买场景”命名和定义应保持全站一致。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B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i w:val="0"/>
                <w:color w:val="215791"/>
                <w:sz w:val="21"/>
              </w:rPr>
              <w:t>Claude 提示词模板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请基于 PRD 与页面原型文档，输出 [页面文案 / 字段定义 / 场景知识库 / 接口样例]。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要求：结构清晰、命名统一、可直接交给产品、前端、后端和测试使用。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请额外补充空态、异常态和权限态的文案。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7. 推荐的 issue 拆分方式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建议每个 issue 尽量满足‘单人 0.5~2 天可完成、可验收、可回归’。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Issue 类型</w:t>
            </w:r>
          </w:p>
        </w:tc>
        <w:tc>
          <w:tcPr>
            <w:tcW w:type="dxa" w:w="360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典型任务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备注</w:t>
            </w:r>
          </w:p>
        </w:tc>
      </w:tr>
      <w:tr>
        <w:tc>
          <w:tcPr>
            <w:tcW w:type="dxa" w:w="14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页面类</w:t>
            </w:r>
          </w:p>
        </w:tc>
        <w:tc>
          <w:tcPr>
            <w:tcW w:type="dxa" w:w="360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首页静态骨架 / 市场页模板 / 详情页结构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可由前端或 Codex 独立完成</w:t>
            </w:r>
          </w:p>
        </w:tc>
      </w:tr>
      <w:tr>
        <w:tc>
          <w:tcPr>
            <w:tcW w:type="dxa" w:w="14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组件类</w:t>
            </w:r>
          </w:p>
        </w:tc>
        <w:tc>
          <w:tcPr>
            <w:tcW w:type="dxa" w:w="360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结论卡 / 场景卡 / 股票列表 / 筛选器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应优先复用，避免散落在页面中</w:t>
            </w:r>
          </w:p>
        </w:tc>
      </w:tr>
      <w:tr>
        <w:tc>
          <w:tcPr>
            <w:tcW w:type="dxa" w:w="14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逻辑类</w:t>
            </w:r>
          </w:p>
        </w:tc>
        <w:tc>
          <w:tcPr>
            <w:tcW w:type="dxa" w:w="360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只看可买 / 排除高风险 / 命中场景判断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需要前后端字段和规则对齐</w:t>
            </w:r>
          </w:p>
        </w:tc>
      </w:tr>
      <w:tr>
        <w:tc>
          <w:tcPr>
            <w:tcW w:type="dxa" w:w="14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数据类</w:t>
            </w:r>
          </w:p>
        </w:tc>
        <w:tc>
          <w:tcPr>
            <w:tcW w:type="dxa" w:w="360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字段定义 / mock 数据 / 接口返回结构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先定结构，再写页面</w:t>
            </w:r>
          </w:p>
        </w:tc>
      </w:tr>
      <w:tr>
        <w:tc>
          <w:tcPr>
            <w:tcW w:type="dxa" w:w="14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用户类</w:t>
            </w:r>
          </w:p>
        </w:tc>
        <w:tc>
          <w:tcPr>
            <w:tcW w:type="dxa" w:w="360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登录 / 自选 / 提醒 / 订阅拦截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与产品转化直接相关</w:t>
            </w:r>
          </w:p>
        </w:tc>
      </w:tr>
      <w:tr>
        <w:tc>
          <w:tcPr>
            <w:tcW w:type="dxa" w:w="144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质量类</w:t>
            </w:r>
          </w:p>
        </w:tc>
        <w:tc>
          <w:tcPr>
            <w:tcW w:type="dxa" w:w="360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埋点 / 异常态 / 测试点 / 性能优化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临上线前必须补齐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8. 接口与数据协作说明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建议在编码前先完成字段字典和接口契约，降低返工。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先定义股票主表字段：symbol、market、name、industry、price、risk_score、strategy_tags 等。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再定义场景字段：avoid_scene_code、avoid_scene_name、avoid_score、risk_tags、avoid_reason。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首页、市场页、详情页、场景页的接口尽量聚合输出，减少前端拼接成本。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榜单接口需要同时返回：股票摘要、入选理由、风险等级、命中场景。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权限相关接口需要明确：未登录、已登录未订阅、已订阅三种状态。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9. 建议的开发顺序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以下顺序更容易快速看到成果，也方便 AI 编码助手分批交付。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顺序</w:t>
            </w:r>
          </w:p>
        </w:tc>
        <w:tc>
          <w:tcPr>
            <w:tcW w:type="dxa" w:w="403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建议先做什么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原因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1</w:t>
            </w:r>
          </w:p>
        </w:tc>
        <w:tc>
          <w:tcPr>
            <w:tcW w:type="dxa" w:w="403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首页 + 市场页 + 股票详情页骨架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最快形成完整浏览链路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2</w:t>
            </w:r>
          </w:p>
        </w:tc>
        <w:tc>
          <w:tcPr>
            <w:tcW w:type="dxa" w:w="403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榜单页 + 场景页 + 筛选器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形成机会流与风险流闭环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3</w:t>
            </w:r>
          </w:p>
        </w:tc>
        <w:tc>
          <w:tcPr>
            <w:tcW w:type="dxa" w:w="403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自选 + 登录 + 权限拦截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开始形成用户留存和商业化能力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4</w:t>
            </w:r>
          </w:p>
        </w:tc>
        <w:tc>
          <w:tcPr>
            <w:tcW w:type="dxa" w:w="403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提醒 + 订阅页 + 个人中心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完善产品化能力</w:t>
            </w:r>
          </w:p>
        </w:tc>
      </w:tr>
      <w:tr>
        <w:tc>
          <w:tcPr>
            <w:tcW w:type="dxa" w:w="100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5</w:t>
            </w:r>
          </w:p>
        </w:tc>
        <w:tc>
          <w:tcPr>
            <w:tcW w:type="dxa" w:w="403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接口联调 + 埋点 + 优化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准备上线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10. 验收标准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每个任务完成后，至少应从页面、交互、数据和稳定性四个维度验收。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页面层：布局是否符合原型，状态是否完整，信息层级是否清楚。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交互层：点击跳转、筛选联动、权限拦截、自选与提醒是否正确。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数据层：字段是否对齐、空态和异常态是否可处理、mock 与接口是否兼容。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稳定性：是否存在明显报错、样式错乱、重复实现和无用依赖。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B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i w:val="0"/>
                <w:color w:val="215791"/>
                <w:sz w:val="21"/>
              </w:rPr>
              <w:t>上线前必须补齐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空态 / 异常态 / 骨架屏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登录态 / 订阅态控制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埋点与关键行为追踪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页面级与流程级基础测试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11. 风险与注意事项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以下问题在 AI 辅助开发场景中最容易出现，应提前规避。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页面和组件边界不清，导致 AI 产出代码重复或耦合过重。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字段命名不统一，导致前后端对不上、后期返工。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只有买入逻辑，没有把“不能买场景”做成稳定结构。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未定义空态和权限态，导致页面看似完成却无法上线。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issue 太大，AI 编码助手虽然能写，但难以稳定验收。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6E77"/>
        <w:sz w:val="17"/>
      </w:rPr>
      <w:t xml:space="preserve">开发任务拆分清单  |  第 </w:t>
    </w:r>
    <w:fldSimple w:instr="PAGE">
      <w:r>
        <w:t>1</w:t>
      </w:r>
    </w:fldSimple>
    <w:r>
      <w:rPr>
        <w:rFonts w:ascii="Noto Sans CJK SC" w:hAnsi="Noto Sans CJK SC" w:eastAsia="Noto Sans CJK SC"/>
        <w:b w:val="0"/>
        <w:i w:val="0"/>
        <w:color w:val="666E77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66E77"/>
        <w:sz w:val="17"/>
      </w:rPr>
      <w:t>开发任务拆分清单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57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5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75B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1579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6E7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rPr>
      <w:rFonts w:ascii="Noto Sans CJK SC" w:hAnsi="Noto Sans CJK SC" w:eastAsia="Noto Sans CJK SC"/>
      <w:color w:val="666E77"/>
      <w:sz w:val="19"/>
    </w:rPr>
  </w:style>
  <w:style w:type="paragraph" w:customStyle="1" w:styleId="Callout">
    <w:name w:val="Callout"/>
    <w:rPr>
      <w:rFonts w:ascii="Noto Sans CJK SC" w:hAnsi="Noto Sans CJK SC" w:eastAsia="Noto Sans CJK SC"/>
      <w:color w:val="20252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