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Noto Sans CJK SC" w:hAnsi="Noto Sans CJK SC" w:eastAsia="Noto Sans CJK SC"/>
          <w:b/>
          <w:i w:val="0"/>
          <w:color w:val="215791"/>
          <w:sz w:val="52"/>
        </w:rPr>
        <w:t>页面原型结构文档</w:t>
      </w:r>
    </w:p>
    <w:p>
      <w:pPr>
        <w:jc w:val="left"/>
      </w:pPr>
      <w:r>
        <w:rPr>
          <w:rFonts w:ascii="Noto Sans CJK SC" w:hAnsi="Noto Sans CJK SC" w:eastAsia="Noto Sans CJK SC"/>
          <w:b w:val="0"/>
          <w:i w:val="0"/>
          <w:color w:val="666E77"/>
          <w:sz w:val="24"/>
        </w:rPr>
        <w:t>四大市场股票思路网站 / Prototype Structure Document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8352"/>
            <w:shd w:fill="215791"/>
          </w:tcPr>
          <w:p>
            <w:pPr>
              <w:spacing w:before="20" w:after="20"/>
            </w:pP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6912"/>
      </w:tblGrid>
      <w:tr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文档类型</w:t>
            </w:r>
          </w:p>
        </w:tc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产品设计 / 原型结构 / 开发拆分</w:t>
            </w:r>
          </w:p>
        </w:tc>
      </w:tr>
      <w:tr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版本</w:t>
            </w:r>
          </w:p>
        </w:tc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V1.0</w:t>
            </w:r>
          </w:p>
        </w:tc>
      </w:tr>
      <w:tr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编制</w:t>
            </w:r>
          </w:p>
        </w:tc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OpenAI / ChatGPT</w:t>
            </w:r>
          </w:p>
        </w:tc>
      </w:tr>
      <w:tr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日期</w:t>
            </w:r>
          </w:p>
        </w:tc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2026-04</w:t>
            </w:r>
          </w:p>
        </w:tc>
      </w:tr>
    </w:tbl>
    <w:p/>
    <w:p>
      <w:pPr>
        <w:pStyle w:val="BodySmall"/>
        <w:spacing w:before="480" w:line="300" w:lineRule="auto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说明：本文件用于产品、设计、前端、后端和 AI 编码助手的统一协作，内容可直接作为原型设计与开发拆分依据。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1. 文档目标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本文件用于统一页面范围、核心用户路径、模块结构、组件边界与关键交互，支持产品、设计、前端与 AI 编码协作。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明确首版页面范围，避免设计和开发口径不一致。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把“可以买”和“不能买”同时产品化，形成清晰的信息架构。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定义每页模块结构与组件复用方式，降低重复设计与重复编码。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为后续原型、接口、前端组件和埋点提供统一输入。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B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60" w:after="60"/>
            </w:pPr>
            <w:r>
              <w:rPr>
                <w:rFonts w:ascii="Noto Sans CJK SC" w:hAnsi="Noto Sans CJK SC" w:eastAsia="Noto Sans CJK SC"/>
                <w:b/>
                <w:i w:val="0"/>
                <w:color w:val="215791"/>
                <w:sz w:val="21"/>
              </w:rPr>
              <w:t>首版产品原则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先把四个市场逻辑讲清楚，再扩展更复杂的数据功能。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首页是决策入口，不是资讯堆砌页。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详情页必须同时展示“入选理由”和“不能买判断”。</w:t>
            </w:r>
          </w:p>
        </w:tc>
      </w:tr>
      <w:tr>
        <w:tc>
          <w:tcPr>
            <w:tcW w:type="dxa" w:w="9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19"/>
              </w:rPr>
              <w:t>• “不能买场景”是差异化模块，应在首页、市场页、详情页和榜单页反复出现。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2. 页面清单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页面按照公共页、市场页、专题页、榜单页、详情页和用户页进行规划。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i w:val="0"/>
          <w:color w:val="20252B"/>
          <w:sz w:val="26"/>
        </w:rPr>
        <w:t>2.1 页面总表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序号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页面名称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页面类型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页面说明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1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首页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产品总入口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展示四市场差异、机会入口、不能买入口、订阅转化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2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中国市场首页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市场主页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展示中国市场的买法、不能买场景、机会榜和避坑榜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3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美国市场首页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市场主页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展示美国市场的成长/现金流/趋势/价值修复逻辑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4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日本市场首页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市场主页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展示回购增配、低PBR改善、业绩上修、高股息逻辑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5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香港市场首页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市场主页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展示南向偏好、估值修复、高股息、核心资产逻辑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6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市场细分类页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专题页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每类思路或不能买场景的说明、筛选和关联股票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7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今日机会榜页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榜单页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按市场和思路输出当前可关注股票列表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8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今日不能买榜页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榜单页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输出高风险、便宜陷阱、情绪末端等股票列表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9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股票详情页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详情页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展示入选理由、不能买判断、风险标签、操作建议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10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不能买场景详情页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知识库详情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解释场景定义、识别方法、关联股票、替代方案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11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搜索结果页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工具页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按名称/代码查找股票并展示匹配结果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12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自选股页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用户页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查看已收藏股票、风险变化和提醒设置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13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提醒中心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用户页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查看和管理价格、场景、榜单提醒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14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订阅页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商业化页面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展示权益、套餐和解锁说明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15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登录/注册页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账户页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完成身份验证和权限绑定</w:t>
            </w:r>
          </w:p>
        </w:tc>
      </w:tr>
      <w:tr>
        <w:tc>
          <w:tcPr>
            <w:tcW w:type="dxa" w:w="7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16</w:t>
            </w:r>
          </w:p>
        </w:tc>
        <w:tc>
          <w:tcPr>
            <w:tcW w:type="dxa" w:w="25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个人中心</w:t>
            </w:r>
          </w:p>
        </w:tc>
        <w:tc>
          <w:tcPr>
            <w:tcW w:type="dxa" w:w="17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账户页</w:t>
            </w:r>
          </w:p>
        </w:tc>
        <w:tc>
          <w:tcPr>
            <w:tcW w:type="dxa" w:w="5328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查看会员状态、资料、通知偏好</w:t>
            </w:r>
          </w:p>
        </w:tc>
      </w:tr>
    </w:tbl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i w:val="0"/>
          <w:color w:val="20252B"/>
          <w:sz w:val="26"/>
        </w:rPr>
        <w:t>2.2 页面优先级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优先级</w:t>
            </w:r>
          </w:p>
        </w:tc>
        <w:tc>
          <w:tcPr>
            <w:tcW w:type="dxa" w:w="43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页面</w:t>
            </w:r>
          </w:p>
        </w:tc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目的</w:t>
            </w:r>
          </w:p>
        </w:tc>
      </w:tr>
      <w:tr>
        <w:tc>
          <w:tcPr>
            <w:tcW w:type="dxa" w:w="115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P0</w:t>
            </w:r>
          </w:p>
        </w:tc>
        <w:tc>
          <w:tcPr>
            <w:tcW w:type="dxa" w:w="43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首页 / 四市场首页 / 股票详情页 / 今日机会榜 / 今日不能买榜</w:t>
            </w:r>
          </w:p>
        </w:tc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形成最小可用产品闭环</w:t>
            </w:r>
          </w:p>
        </w:tc>
      </w:tr>
      <w:tr>
        <w:tc>
          <w:tcPr>
            <w:tcW w:type="dxa" w:w="115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P1</w:t>
            </w:r>
          </w:p>
        </w:tc>
        <w:tc>
          <w:tcPr>
            <w:tcW w:type="dxa" w:w="43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市场细分类页 / 不能买场景详情页 / 搜索页 / 自选股页</w:t>
            </w:r>
          </w:p>
        </w:tc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增强可用性与留存</w:t>
            </w:r>
          </w:p>
        </w:tc>
      </w:tr>
      <w:tr>
        <w:tc>
          <w:tcPr>
            <w:tcW w:type="dxa" w:w="115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P2</w:t>
            </w:r>
          </w:p>
        </w:tc>
        <w:tc>
          <w:tcPr>
            <w:tcW w:type="dxa" w:w="4320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提醒中心 / 订阅页 / 个人中心 / 会员能力页</w:t>
            </w:r>
          </w:p>
        </w:tc>
        <w:tc>
          <w:tcPr>
            <w:tcW w:type="dxa" w:w="489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商业化与用户系统完善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3. 用户流程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首版围绕“理解市场—发现机会—识别风险—保存跟踪—订阅解锁”设计用户路径。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i w:val="0"/>
          <w:color w:val="20252B"/>
          <w:sz w:val="26"/>
        </w:rPr>
        <w:t>3.1 核心流程图（文字版）</w:t>
      </w:r>
    </w:p>
    <w:p>
      <w:pPr>
        <w:pStyle w:val="Heading3"/>
        <w:spacing w:before="100" w:after="40"/>
      </w:pPr>
      <w:r>
        <w:rPr>
          <w:rFonts w:ascii="Noto Sans CJK SC" w:hAnsi="Noto Sans CJK SC" w:eastAsia="Noto Sans CJK SC"/>
          <w:b/>
          <w:i w:val="0"/>
          <w:color w:val="4075B2"/>
          <w:sz w:val="23"/>
        </w:rPr>
        <w:t>新用户认知流程</w:t>
      </w:r>
    </w:p>
    <w:p>
      <w:pPr>
        <w:spacing w:line="300" w:lineRule="auto" w:after="80"/>
      </w:pPr>
      <w:r>
        <w:rPr>
          <w:rFonts w:ascii="Noto Sans CJK SC" w:hAnsi="Noto Sans CJK SC" w:eastAsia="Noto Sans CJK SC"/>
          <w:b w:val="0"/>
          <w:i w:val="0"/>
          <w:color w:val="20252B"/>
          <w:sz w:val="21"/>
        </w:rPr>
        <w:t>首页 → 选择市场 → 看“怎么买/不能买什么” → 查看榜单 → 打开股票详情 → 登录/订阅</w:t>
      </w:r>
    </w:p>
    <w:p>
      <w:pPr>
        <w:pStyle w:val="Heading3"/>
        <w:spacing w:before="100" w:after="40"/>
      </w:pPr>
      <w:r>
        <w:rPr>
          <w:rFonts w:ascii="Noto Sans CJK SC" w:hAnsi="Noto Sans CJK SC" w:eastAsia="Noto Sans CJK SC"/>
          <w:b/>
          <w:i w:val="0"/>
          <w:color w:val="4075B2"/>
          <w:sz w:val="23"/>
        </w:rPr>
        <w:t>机会发现流程</w:t>
      </w:r>
    </w:p>
    <w:p>
      <w:pPr>
        <w:spacing w:line="300" w:lineRule="auto" w:after="80"/>
      </w:pPr>
      <w:r>
        <w:rPr>
          <w:rFonts w:ascii="Noto Sans CJK SC" w:hAnsi="Noto Sans CJK SC" w:eastAsia="Noto Sans CJK SC"/>
          <w:b w:val="0"/>
          <w:i w:val="0"/>
          <w:color w:val="20252B"/>
          <w:sz w:val="21"/>
        </w:rPr>
        <w:t>首页/市场页 → 选择思路 → 筛选股票 → 查看详情 → 加自选/设提醒</w:t>
      </w:r>
    </w:p>
    <w:p>
      <w:pPr>
        <w:pStyle w:val="Heading3"/>
        <w:spacing w:before="100" w:after="40"/>
      </w:pPr>
      <w:r>
        <w:rPr>
          <w:rFonts w:ascii="Noto Sans CJK SC" w:hAnsi="Noto Sans CJK SC" w:eastAsia="Noto Sans CJK SC"/>
          <w:b/>
          <w:i w:val="0"/>
          <w:color w:val="4075B2"/>
          <w:sz w:val="23"/>
        </w:rPr>
        <w:t>避坑流程</w:t>
      </w:r>
    </w:p>
    <w:p>
      <w:pPr>
        <w:spacing w:line="300" w:lineRule="auto" w:after="80"/>
      </w:pPr>
      <w:r>
        <w:rPr>
          <w:rFonts w:ascii="Noto Sans CJK SC" w:hAnsi="Noto Sans CJK SC" w:eastAsia="Noto Sans CJK SC"/>
          <w:b w:val="0"/>
          <w:i w:val="0"/>
          <w:color w:val="20252B"/>
          <w:sz w:val="21"/>
        </w:rPr>
        <w:t>首页/市场页 → 点击“不能买” → 查看场景详情 → 回到筛选器排除风险</w:t>
      </w:r>
    </w:p>
    <w:p>
      <w:pPr>
        <w:pStyle w:val="Heading3"/>
        <w:spacing w:before="100" w:after="40"/>
      </w:pPr>
      <w:r>
        <w:rPr>
          <w:rFonts w:ascii="Noto Sans CJK SC" w:hAnsi="Noto Sans CJK SC" w:eastAsia="Noto Sans CJK SC"/>
          <w:b/>
          <w:i w:val="0"/>
          <w:color w:val="4075B2"/>
          <w:sz w:val="23"/>
        </w:rPr>
        <w:t>搜索流程</w:t>
      </w:r>
    </w:p>
    <w:p>
      <w:pPr>
        <w:spacing w:line="300" w:lineRule="auto" w:after="80"/>
      </w:pPr>
      <w:r>
        <w:rPr>
          <w:rFonts w:ascii="Noto Sans CJK SC" w:hAnsi="Noto Sans CJK SC" w:eastAsia="Noto Sans CJK SC"/>
          <w:b w:val="0"/>
          <w:i w:val="0"/>
          <w:color w:val="20252B"/>
          <w:sz w:val="21"/>
        </w:rPr>
        <w:t>搜索框输入名称/代码 → 搜索结果 → 股票详情 → 查看买/不买判断</w:t>
      </w:r>
    </w:p>
    <w:p>
      <w:pPr>
        <w:pStyle w:val="Heading3"/>
        <w:spacing w:before="100" w:after="40"/>
      </w:pPr>
      <w:r>
        <w:rPr>
          <w:rFonts w:ascii="Noto Sans CJK SC" w:hAnsi="Noto Sans CJK SC" w:eastAsia="Noto Sans CJK SC"/>
          <w:b/>
          <w:i w:val="0"/>
          <w:color w:val="4075B2"/>
          <w:sz w:val="23"/>
        </w:rPr>
        <w:t>会员转化流程</w:t>
      </w:r>
    </w:p>
    <w:p>
      <w:pPr>
        <w:spacing w:line="300" w:lineRule="auto" w:after="80"/>
      </w:pPr>
      <w:r>
        <w:rPr>
          <w:rFonts w:ascii="Noto Sans CJK SC" w:hAnsi="Noto Sans CJK SC" w:eastAsia="Noto Sans CJK SC"/>
          <w:b w:val="0"/>
          <w:i w:val="0"/>
          <w:color w:val="20252B"/>
          <w:sz w:val="21"/>
        </w:rPr>
        <w:t>浏览免费内容 → 遇到权限拦截 → 查看订阅权益 → 支付 → 返回原页面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i w:val="0"/>
          <w:color w:val="20252B"/>
          <w:sz w:val="26"/>
        </w:rPr>
        <w:t>3.2 流程设计要点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首页必须在 5 秒内让用户理解：四个市场不能用同一种方法看。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从任何榜单进入详情页后，都应能继续向“场景解释、自选、提醒、订阅”扩展。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风险流与机会流并列存在，避免只有看多逻辑没有避坑逻辑。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筛选器要支持一键排除高风险、低流动性、情绪末端等类型。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4. 每页模块结构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以下为首版重点页面的模块级拆解。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i w:val="0"/>
          <w:color w:val="20252B"/>
          <w:sz w:val="26"/>
        </w:rPr>
        <w:t>首页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顶部导航：Logo、市场入口、榜单入口、不能买入口、搜索、登录、订阅按钮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首屏 Hero：主标题、副标题、四市场快捷入口、主 CTA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四市场总览卡片：每个市场一句话逻辑、当前主思路、当前不要碰的类型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今日机会榜：四市场机会摘要与查看更多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今日不能买榜：高风险、便宜陷阱、情绪末端、边缘股提示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思路教学区：四市场差异、典型用户、适合周期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订阅转化区：免费与付费权益对比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i w:val="0"/>
          <w:color w:val="20252B"/>
          <w:sz w:val="26"/>
        </w:rPr>
        <w:t>市场首页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市场头图区：市场名、核心一句话、当前状态、适合风格、最易踩坑类型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要怎么买：4 张思路卡片，点击进入专题页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不能买什么：5~7 张场景卡片，点击进入详情页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当前机会榜：该市场可关注股票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当前避坑榜：该市场不建议碰的股票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筛选区：思路、风险、行业、周期、只看可买、排除高风险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教学说明区：为什么这个市场要这么看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i w:val="0"/>
          <w:color w:val="20252B"/>
          <w:sz w:val="26"/>
        </w:rPr>
        <w:t>股票详情页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基础信息区：股票名、代码、市场、行业、价格、市值、流动性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结论卡：关注/观察/回避、风险等级、适合周期、核心结论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入选理由：为什么值得看、符合什么市场逻辑、催化点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不能买判断：命中场景、风险标签、不建议买入原因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市场专属指标面板：中国/美国/日本/香港不同字段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相关榜单与相关场景：机会榜、风险榜、相似股票、替代方向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操作区：自选、提醒、分享、订阅解锁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i w:val="0"/>
          <w:color w:val="20252B"/>
          <w:sz w:val="26"/>
        </w:rPr>
        <w:t>不能买场景详情页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标题区：场景名、所属市场、风险等级、一句话说明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典型特征：这种坑通常长什么样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识别方法：用户该看哪些指标和行为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高发阶段：什么时候最容易出现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关联股票列表：当前命中此场景的股票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替代建议：遇到这种坑可以改看哪类股票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i w:val="0"/>
          <w:color w:val="20252B"/>
          <w:sz w:val="26"/>
        </w:rPr>
        <w:t>榜单页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榜单标题区：名称、更新时间、榜单说明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筛选条：市场、思路、风险、市值、行业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股票列表：名称、市场、入选理由、风险、命中场景、详情入口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榜单说明：生成方式、使用建议、适合用户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i w:val="0"/>
          <w:color w:val="20252B"/>
          <w:sz w:val="26"/>
        </w:rPr>
        <w:t>用户页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自选股页：列表、状态变化、批量提醒、批量删除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提醒中心：价格提醒、场景提醒、榜单提醒、启停管理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订阅页：套餐卡、权益说明、FAQ、支付入口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个人中心：资料、会员状态、通知偏好、设备与安全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5. 组件清单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组件按基础组件、业务组件、图表组件、状态组件四层进行规划。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组件分层</w:t>
            </w:r>
          </w:p>
        </w:tc>
        <w:tc>
          <w:tcPr>
            <w:tcW w:type="dxa" w:w="25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组件名称</w:t>
            </w:r>
          </w:p>
        </w:tc>
        <w:tc>
          <w:tcPr>
            <w:tcW w:type="dxa" w:w="626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说明</w:t>
            </w:r>
          </w:p>
        </w:tc>
      </w:tr>
      <w:tr>
        <w:tc>
          <w:tcPr>
            <w:tcW w:type="dxa" w:w="158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基础组件</w:t>
            </w:r>
          </w:p>
        </w:tc>
        <w:tc>
          <w:tcPr>
            <w:tcW w:type="dxa" w:w="25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导航栏</w:t>
            </w:r>
          </w:p>
        </w:tc>
        <w:tc>
          <w:tcPr>
            <w:tcW w:type="dxa" w:w="626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站点导航、市场入口、登录状态、搜索入口</w:t>
            </w:r>
          </w:p>
        </w:tc>
      </w:tr>
      <w:tr>
        <w:tc>
          <w:tcPr>
            <w:tcW w:type="dxa" w:w="158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基础组件</w:t>
            </w:r>
          </w:p>
        </w:tc>
        <w:tc>
          <w:tcPr>
            <w:tcW w:type="dxa" w:w="25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标签 Tag</w:t>
            </w:r>
          </w:p>
        </w:tc>
        <w:tc>
          <w:tcPr>
            <w:tcW w:type="dxa" w:w="626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市场、思路、风险、状态标记</w:t>
            </w:r>
          </w:p>
        </w:tc>
      </w:tr>
      <w:tr>
        <w:tc>
          <w:tcPr>
            <w:tcW w:type="dxa" w:w="158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基础组件</w:t>
            </w:r>
          </w:p>
        </w:tc>
        <w:tc>
          <w:tcPr>
            <w:tcW w:type="dxa" w:w="25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筛选器</w:t>
            </w:r>
          </w:p>
        </w:tc>
        <w:tc>
          <w:tcPr>
            <w:tcW w:type="dxa" w:w="626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市场/思路/风险/行业等条件组合</w:t>
            </w:r>
          </w:p>
        </w:tc>
      </w:tr>
      <w:tr>
        <w:tc>
          <w:tcPr>
            <w:tcW w:type="dxa" w:w="158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业务组件</w:t>
            </w:r>
          </w:p>
        </w:tc>
        <w:tc>
          <w:tcPr>
            <w:tcW w:type="dxa" w:w="25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市场卡片</w:t>
            </w:r>
          </w:p>
        </w:tc>
        <w:tc>
          <w:tcPr>
            <w:tcW w:type="dxa" w:w="626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展示某市场一句话逻辑、当前风格与入口</w:t>
            </w:r>
          </w:p>
        </w:tc>
      </w:tr>
      <w:tr>
        <w:tc>
          <w:tcPr>
            <w:tcW w:type="dxa" w:w="158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业务组件</w:t>
            </w:r>
          </w:p>
        </w:tc>
        <w:tc>
          <w:tcPr>
            <w:tcW w:type="dxa" w:w="25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思路卡片</w:t>
            </w:r>
          </w:p>
        </w:tc>
        <w:tc>
          <w:tcPr>
            <w:tcW w:type="dxa" w:w="626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展示某种买法的适用条件、适合人群、点击入口</w:t>
            </w:r>
          </w:p>
        </w:tc>
      </w:tr>
      <w:tr>
        <w:tc>
          <w:tcPr>
            <w:tcW w:type="dxa" w:w="158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业务组件</w:t>
            </w:r>
          </w:p>
        </w:tc>
        <w:tc>
          <w:tcPr>
            <w:tcW w:type="dxa" w:w="25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不能买场景卡片</w:t>
            </w:r>
          </w:p>
        </w:tc>
        <w:tc>
          <w:tcPr>
            <w:tcW w:type="dxa" w:w="626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展示场景名、风险等级、典型风险</w:t>
            </w:r>
          </w:p>
        </w:tc>
      </w:tr>
      <w:tr>
        <w:tc>
          <w:tcPr>
            <w:tcW w:type="dxa" w:w="158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业务组件</w:t>
            </w:r>
          </w:p>
        </w:tc>
        <w:tc>
          <w:tcPr>
            <w:tcW w:type="dxa" w:w="25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股票卡片</w:t>
            </w:r>
          </w:p>
        </w:tc>
        <w:tc>
          <w:tcPr>
            <w:tcW w:type="dxa" w:w="626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展示股票摘要、评分、风险、操作按钮</w:t>
            </w:r>
          </w:p>
        </w:tc>
      </w:tr>
      <w:tr>
        <w:tc>
          <w:tcPr>
            <w:tcW w:type="dxa" w:w="158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业务组件</w:t>
            </w:r>
          </w:p>
        </w:tc>
        <w:tc>
          <w:tcPr>
            <w:tcW w:type="dxa" w:w="25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结论卡</w:t>
            </w:r>
          </w:p>
        </w:tc>
        <w:tc>
          <w:tcPr>
            <w:tcW w:type="dxa" w:w="626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显示关注/观察/回避、周期建议、核心结论</w:t>
            </w:r>
          </w:p>
        </w:tc>
      </w:tr>
      <w:tr>
        <w:tc>
          <w:tcPr>
            <w:tcW w:type="dxa" w:w="158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业务组件</w:t>
            </w:r>
          </w:p>
        </w:tc>
        <w:tc>
          <w:tcPr>
            <w:tcW w:type="dxa" w:w="25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指标面板</w:t>
            </w:r>
          </w:p>
        </w:tc>
        <w:tc>
          <w:tcPr>
            <w:tcW w:type="dxa" w:w="626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按市场展示专属字段与关键评分</w:t>
            </w:r>
          </w:p>
        </w:tc>
      </w:tr>
      <w:tr>
        <w:tc>
          <w:tcPr>
            <w:tcW w:type="dxa" w:w="158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业务组件</w:t>
            </w:r>
          </w:p>
        </w:tc>
        <w:tc>
          <w:tcPr>
            <w:tcW w:type="dxa" w:w="25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订阅拦截层</w:t>
            </w:r>
          </w:p>
        </w:tc>
        <w:tc>
          <w:tcPr>
            <w:tcW w:type="dxa" w:w="626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对未订阅用户展示权益与解锁入口</w:t>
            </w:r>
          </w:p>
        </w:tc>
      </w:tr>
      <w:tr>
        <w:tc>
          <w:tcPr>
            <w:tcW w:type="dxa" w:w="158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状态组件</w:t>
            </w:r>
          </w:p>
        </w:tc>
        <w:tc>
          <w:tcPr>
            <w:tcW w:type="dxa" w:w="25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Empty / Error / Loading</w:t>
            </w:r>
          </w:p>
        </w:tc>
        <w:tc>
          <w:tcPr>
            <w:tcW w:type="dxa" w:w="626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空态、异常态、骨架屏</w:t>
            </w:r>
          </w:p>
        </w:tc>
      </w:tr>
      <w:tr>
        <w:tc>
          <w:tcPr>
            <w:tcW w:type="dxa" w:w="158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图表组件</w:t>
            </w:r>
          </w:p>
        </w:tc>
        <w:tc>
          <w:tcPr>
            <w:tcW w:type="dxa" w:w="2592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价格走势 / 风险条</w:t>
            </w:r>
          </w:p>
        </w:tc>
        <w:tc>
          <w:tcPr>
            <w:tcW w:type="dxa" w:w="626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辅助展示趋势与风险评分</w:t>
            </w:r>
          </w:p>
        </w:tc>
      </w:tr>
    </w:tbl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i w:val="0"/>
          <w:color w:val="20252B"/>
          <w:sz w:val="26"/>
        </w:rPr>
        <w:t>5.1 组件复用原则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市场页、专题页和榜单页优先复用同一套筛选器与股票列表组件。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不能买场景卡片在首页、市场页、详情页、榜单页保持统一视觉语言。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结论卡必须兼容三种状态：关注、观察、回避。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状态组件统一处理加载、空态、异常、权限不足，避免每页单独实现。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6. 交互说明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交互重点不在炫技，而在降低理解成本与缩短决策路径。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页面</w:t>
            </w:r>
          </w:p>
        </w:tc>
        <w:tc>
          <w:tcPr>
            <w:tcW w:type="dxa" w:w="84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  <w:shd w:fill="EAF2FB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0252B"/>
                <w:sz w:val="20"/>
              </w:rPr>
              <w:t>交互说明</w:t>
            </w:r>
          </w:p>
        </w:tc>
      </w:tr>
      <w:tr>
        <w:tc>
          <w:tcPr>
            <w:tcW w:type="dxa" w:w="201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首页</w:t>
            </w:r>
          </w:p>
        </w:tc>
        <w:tc>
          <w:tcPr>
            <w:tcW w:type="dxa" w:w="84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点击市场卡片进入市场页；点击榜单股票进入详情页；未登录点击收藏触发登录引导。</w:t>
            </w:r>
          </w:p>
        </w:tc>
      </w:tr>
      <w:tr>
        <w:tc>
          <w:tcPr>
            <w:tcW w:type="dxa" w:w="201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市场页</w:t>
            </w:r>
          </w:p>
        </w:tc>
        <w:tc>
          <w:tcPr>
            <w:tcW w:type="dxa" w:w="84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点击思路卡片进入专题；点击场景卡片进入风险详情；筛选器联动刷新列表。</w:t>
            </w:r>
          </w:p>
        </w:tc>
      </w:tr>
      <w:tr>
        <w:tc>
          <w:tcPr>
            <w:tcW w:type="dxa" w:w="201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股票详情页</w:t>
            </w:r>
          </w:p>
        </w:tc>
        <w:tc>
          <w:tcPr>
            <w:tcW w:type="dxa" w:w="84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顶部展示状态结论；点击风险标签跳转场景页；自选与提醒按钮为主要操作。</w:t>
            </w:r>
          </w:p>
        </w:tc>
      </w:tr>
      <w:tr>
        <w:tc>
          <w:tcPr>
            <w:tcW w:type="dxa" w:w="201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榜单页</w:t>
            </w:r>
          </w:p>
        </w:tc>
        <w:tc>
          <w:tcPr>
            <w:tcW w:type="dxa" w:w="84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支持市场切换、排序切换、风险排除和命中场景过滤。</w:t>
            </w:r>
          </w:p>
        </w:tc>
      </w:tr>
      <w:tr>
        <w:tc>
          <w:tcPr>
            <w:tcW w:type="dxa" w:w="201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场景详情页</w:t>
            </w:r>
          </w:p>
        </w:tc>
        <w:tc>
          <w:tcPr>
            <w:tcW w:type="dxa" w:w="84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支持按市场/风险级别切换；支持返回榜单并一键排除该类股票。</w:t>
            </w:r>
          </w:p>
        </w:tc>
      </w:tr>
      <w:tr>
        <w:tc>
          <w:tcPr>
            <w:tcW w:type="dxa" w:w="2016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自选股页</w:t>
            </w:r>
          </w:p>
        </w:tc>
        <w:tc>
          <w:tcPr>
            <w:tcW w:type="dxa" w:w="8424"/>
            <w:tcBorders>
              <w:left w:val="single" w:sz="6" w:color="D9E2F0"/>
              <w:top w:val="single" w:sz="6" w:color="D9E2F0"/>
              <w:right w:val="single" w:sz="6" w:color="D9E2F0"/>
              <w:bottom w:val="single" w:sz="6" w:color="D9E2F0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B"/>
                <w:sz w:val="20"/>
              </w:rPr>
              <w:t>支持批量提醒、批量移除、按市场和风险排序。</w:t>
            </w:r>
          </w:p>
        </w:tc>
      </w:tr>
    </w:tbl>
    <w:p>
      <w:pPr>
        <w:pStyle w:val="Heading2"/>
        <w:spacing w:before="160" w:after="80"/>
      </w:pPr>
      <w:r>
        <w:rPr>
          <w:rFonts w:ascii="Noto Sans CJK SC" w:hAnsi="Noto Sans CJK SC" w:eastAsia="Noto Sans CJK SC"/>
          <w:b/>
          <w:i w:val="0"/>
          <w:color w:val="20252B"/>
          <w:sz w:val="26"/>
        </w:rPr>
        <w:t>6.1 特别交互规则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“只看可买”开启后，自动排除命中高风险场景的股票。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“排除低流动性”应即时重算列表，不需要二次确认。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详情页中命中的不能买标签应支持点击跳转与查看解释。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未订阅用户查看完整解释时，优先展示价值说明而不是强制打断。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7. 原型设计规范建议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本节用于后续设计稿和前端还原的一致性控制。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桌面端优先，推荐内容宽度 1200px 左右；主要内容区 + 侧边辅助信息区。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页面信息层级保持清晰：一级看市场，二级看思路，三级看股票，四级看风险。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颜色建议：主色为深蓝，风险色为浅红或橙，避免过度金融交易屏风格。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同一页面内，机会信息与风险信息要视觉区分，但保持样式系统统一。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卡片、表格、标签和结论区需要兼顾高密度信息与快速扫读。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i w:val="0"/>
          <w:color w:val="215791"/>
          <w:sz w:val="32"/>
        </w:rPr>
        <w:t>8. 首版建议输出物</w:t>
      </w:r>
    </w:p>
    <w:p>
      <w:pPr>
        <w:pStyle w:val="BodySmall"/>
        <w:spacing w:after="160"/>
      </w:pPr>
      <w:r>
        <w:rPr>
          <w:rFonts w:ascii="Noto Sans CJK SC" w:hAnsi="Noto Sans CJK SC" w:eastAsia="Noto Sans CJK SC"/>
          <w:b w:val="0"/>
          <w:i w:val="0"/>
          <w:color w:val="666E77"/>
          <w:sz w:val="19"/>
        </w:rPr>
        <w:t>设计与开发启动前，建议同步产出以下资料。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线框图：首页、市场页、详情页、榜单页、场景详情页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字段字典：股票、榜单、风险场景、用户、自选、提醒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组件规范：卡片、列表、筛选器、结论卡、状态组件</w:t>
      </w:r>
    </w:p>
    <w:p>
      <w:pPr>
        <w:spacing w:after="40" w:line="283" w:lineRule="auto"/>
        <w:ind w:left="283" w:hanging="113"/>
      </w:pPr>
      <w:r>
        <w:rPr>
          <w:rFonts w:ascii="Noto Sans CJK SC" w:hAnsi="Noto Sans CJK SC" w:eastAsia="Noto Sans CJK SC"/>
          <w:b w:val="0"/>
          <w:i w:val="0"/>
          <w:color w:val="20252B"/>
          <w:sz w:val="20"/>
        </w:rPr>
        <w:t>• 交互稿：筛选、跳转、权限拦截、自选与提醒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6E77"/>
        <w:sz w:val="17"/>
      </w:rPr>
      <w:t xml:space="preserve">页面原型结构文档  |  第 </w:t>
    </w:r>
    <w:fldSimple w:instr="PAGE">
      <w:r>
        <w:t>1</w:t>
      </w:r>
    </w:fldSimple>
    <w:r>
      <w:rPr>
        <w:rFonts w:ascii="Noto Sans CJK SC" w:hAnsi="Noto Sans CJK SC" w:eastAsia="Noto Sans CJK SC"/>
        <w:b w:val="0"/>
        <w:i w:val="0"/>
        <w:color w:val="666E77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66E77"/>
        <w:sz w:val="17"/>
      </w:rPr>
      <w:t>页面原型结构文档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57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5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75B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1579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66E7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rPr>
      <w:rFonts w:ascii="Noto Sans CJK SC" w:hAnsi="Noto Sans CJK SC" w:eastAsia="Noto Sans CJK SC"/>
      <w:color w:val="666E77"/>
      <w:sz w:val="19"/>
    </w:rPr>
  </w:style>
  <w:style w:type="paragraph" w:customStyle="1" w:styleId="Callout">
    <w:name w:val="Callout"/>
    <w:rPr>
      <w:rFonts w:ascii="Noto Sans CJK SC" w:hAnsi="Noto Sans CJK SC" w:eastAsia="Noto Sans CJK SC"/>
      <w:color w:val="20252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