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480" w:after="80"/>
        <w:jc w:val="center"/>
        <w:rPr/>
      </w:pPr>
      <w:r>
        <w:rPr>
          <w:rFonts w:eastAsia="Arial" w:cs="Arial" w:ascii="Arial" w:hAnsi="Arial"/>
          <w:b/>
          <w:bCs/>
          <w:color w:val="2563EB"/>
          <w:sz w:val="52"/>
          <w:szCs w:val="52"/>
        </w:rPr>
        <w:t xml:space="preserve">Documentación </w:t>
      </w:r>
      <w:r>
        <w:rPr>
          <w:rFonts w:eastAsia="Arial" w:cs="Arial" w:ascii="Arial" w:hAnsi="Arial"/>
          <w:b/>
          <w:bCs/>
          <w:color w:val="2563EB"/>
          <w:sz w:val="52"/>
          <w:szCs w:val="52"/>
        </w:rPr>
        <w:t>d</w:t>
      </w:r>
      <w:r>
        <w:rPr>
          <w:rFonts w:eastAsia="Arial" w:cs="Arial" w:ascii="Arial" w:hAnsi="Arial"/>
          <w:b/>
          <w:bCs/>
          <w:color w:val="2563EB"/>
          <w:sz w:val="52"/>
          <w:szCs w:val="52"/>
        </w:rPr>
        <w:t>e</w:t>
      </w:r>
      <w:r>
        <w:rPr>
          <w:rFonts w:eastAsia="Arial" w:cs="Arial" w:ascii="Arial" w:hAnsi="Arial"/>
          <w:b/>
          <w:bCs/>
          <w:color w:val="2563EB"/>
          <w:sz w:val="52"/>
          <w:szCs w:val="52"/>
        </w:rPr>
        <w:t xml:space="preserve"> eda</w:t>
      </w:r>
    </w:p>
    <w:p>
      <w:pPr>
        <w:pStyle w:val="Normal"/>
        <w:bidi w:val="0"/>
        <w:spacing w:before="0" w:after="40"/>
        <w:jc w:val="center"/>
        <w:rPr>
          <w:rFonts w:ascii="Arial" w:hAnsi="Arial" w:eastAsia="Arial" w:cs="Arial"/>
          <w:color w:val="6B7280"/>
          <w:sz w:val="32"/>
          <w:szCs w:val="32"/>
        </w:rPr>
      </w:pPr>
      <w:r>
        <w:rPr/>
      </w:r>
    </w:p>
    <w:p>
      <w:pPr>
        <w:pStyle w:val="Normal"/>
        <w:bidi w:val="0"/>
        <w:spacing w:before="40" w:after="480"/>
        <w:jc w:val="center"/>
        <w:rPr>
          <w:rFonts w:ascii="Arial" w:hAnsi="Arial" w:eastAsia="Arial" w:cs="Arial"/>
          <w:i/>
          <w:iCs/>
          <w:color w:val="6B7280"/>
          <w:sz w:val="22"/>
          <w:szCs w:val="22"/>
        </w:rPr>
      </w:pPr>
      <w:r>
        <w:rPr/>
      </w:r>
    </w:p>
    <w:p>
      <w:pPr>
        <w:pStyle w:val="Heading1"/>
        <w:pBdr>
          <w:bottom w:val="single" w:sz="4" w:space="6" w:color="2563EB"/>
        </w:pBdr>
        <w:bidi w:val="0"/>
        <w:spacing w:before="360" w:after="120"/>
        <w:jc w:val="start"/>
        <w:rPr/>
      </w:pPr>
      <w:r>
        <w:rPr>
          <w:rFonts w:eastAsia="Arial" w:cs="Arial" w:ascii="Arial" w:hAnsi="Arial"/>
          <w:b/>
          <w:bCs/>
          <w:color w:val="2563EB"/>
          <w:sz w:val="32"/>
          <w:szCs w:val="32"/>
        </w:rPr>
        <w:t xml:space="preserve">1. 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C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a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l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idad de los datos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La calidad general de los datos es buena. Las variables principales utilizadas para el modelado, como salario, experiencia, antigüedad, rol, género y región, no presentan valores faltantes.</w:t>
      </w:r>
    </w:p>
    <w:p>
      <w:pPr>
        <w:pStyle w:val="Normal"/>
        <w:bidi w:val="0"/>
        <w:spacing w:before="60" w:after="80"/>
        <w:jc w:val="start"/>
        <w:rPr/>
      </w:pPr>
      <w:r>
        <w:rPr>
          <w:rFonts w:eastAsia="Arial" w:cs="Arial" w:ascii="Arial" w:hAnsi="Arial"/>
          <w:color w:val="1F2937"/>
          <w:sz w:val="22"/>
          <w:szCs w:val="22"/>
        </w:rPr>
        <w:t xml:space="preserve">Se detectan faltantes importantes en las variables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,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y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uso_ia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, con aproximadamente un 66,7% de valores faltantes. Inicialmente, esto podría sugerir problemas de calidad de datos; sin embargo, un análisis más detallado permitió identificar que dichos faltantes </w:t>
      </w:r>
      <w:r>
        <w:rPr>
          <w:rFonts w:eastAsia="Arial" w:cs="Arial" w:ascii="Arial" w:hAnsi="Arial"/>
          <w:color w:val="1F2937"/>
          <w:sz w:val="22"/>
          <w:szCs w:val="22"/>
        </w:rPr>
        <w:t>no son aleatorios.</w:t>
      </w:r>
    </w:p>
    <w:p>
      <w:pPr>
        <w:pStyle w:val="Normal"/>
        <w:bidi w:val="0"/>
        <w:spacing w:before="60" w:after="80"/>
        <w:jc w:val="start"/>
        <w:rPr/>
      </w:pPr>
      <w:r>
        <w:rPr>
          <w:rFonts w:eastAsia="Arial" w:cs="Arial" w:ascii="Arial" w:hAnsi="Arial"/>
          <w:color w:val="1F2937"/>
          <w:sz w:val="22"/>
          <w:szCs w:val="22"/>
        </w:rPr>
        <w:t xml:space="preserve">Al analizar la distribución de los valores faltantes por año y semestre, se observó que estos se encuentran asociados al período de relevamiento de la encuesta. Las variables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,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y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modalidad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no fueron relevadas en las encuestas comprendidas entre 2019 y 2023, mientras que comienzan a estar disponibles a partir de la edición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2024.1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. Por otro lado, la variable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uso_ia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aparece recién a partir de la edición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2022.2</w:t>
      </w:r>
      <w:r>
        <w:rPr>
          <w:rFonts w:eastAsia="Arial" w:cs="Arial" w:ascii="Arial" w:hAnsi="Arial"/>
          <w:color w:val="1F2937"/>
          <w:sz w:val="22"/>
          <w:szCs w:val="22"/>
        </w:rPr>
        <w:t>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Por lo tanto, los valores faltantes responden a cambios en el cuestionario de Sysarmy a lo largo del tiempo y no a errores de carga ni a omisiones de los encuestados.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Heading1"/>
        <w:keepNext w:val="true"/>
        <w:pBdr>
          <w:bottom w:val="single" w:sz="4" w:space="6" w:color="2563EB"/>
        </w:pBdr>
        <w:bidi w:val="0"/>
        <w:jc w:val="start"/>
        <w:rPr>
          <w:rFonts w:ascii="Arial" w:hAnsi="Arial"/>
        </w:rPr>
      </w:pPr>
      <w:r>
        <w:rPr>
          <w:rFonts w:ascii="Arial" w:hAnsi="Arial"/>
        </w:rPr>
        <w:t>Implicancias para el modelado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Debido a la disponibilidad desigual de algunas variables entre períodos, se considerará la construcción de modelos alternativos: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 xml:space="preserve">MODELOS QUE INCLUYAN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y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>: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2024.1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2025.1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2025.2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2026.1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18"/>
          <w:szCs w:val="18"/>
        </w:rPr>
      </w:pPr>
      <w:r>
        <w:rPr>
          <w:rFonts w:eastAsia="Arial" w:cs="Arial" w:ascii="Arial" w:hAnsi="Arial"/>
          <w:color w:val="1F2937"/>
          <w:sz w:val="18"/>
          <w:szCs w:val="18"/>
        </w:rPr>
        <w:t>Cantidad aproximada de observaciones: 5.091 registros.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 xml:space="preserve">MODELOS QUE </w:t>
      </w:r>
      <w:r>
        <w:rPr>
          <w:rFonts w:eastAsia="Arial" w:cs="Arial" w:ascii="Arial" w:hAnsi="Arial"/>
          <w:color w:val="1F2937"/>
          <w:sz w:val="22"/>
          <w:szCs w:val="22"/>
        </w:rPr>
        <w:t>NO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INCLUYAN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  <w:r>
        <w:rPr>
          <w:rFonts w:eastAsia="Arial" w:cs="Arial" w:ascii="Arial" w:hAnsi="Arial"/>
          <w:color w:val="1F2937"/>
          <w:sz w:val="22"/>
          <w:szCs w:val="22"/>
        </w:rPr>
        <w:t>NI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>: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2019 → 2026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18"/>
          <w:szCs w:val="18"/>
        </w:rPr>
      </w:pPr>
      <w:r>
        <w:rPr>
          <w:rFonts w:eastAsia="Arial" w:cs="Arial" w:ascii="Arial" w:hAnsi="Arial"/>
          <w:color w:val="1F2937"/>
          <w:sz w:val="18"/>
          <w:szCs w:val="18"/>
        </w:rPr>
        <w:t xml:space="preserve">Cantidad aproximada de observaciones: </w:t>
      </w:r>
      <w:r>
        <w:rPr>
          <w:rFonts w:eastAsia="Arial" w:cs="Arial" w:ascii="Arial" w:hAnsi="Arial"/>
          <w:color w:val="1F2937"/>
          <w:sz w:val="18"/>
          <w:szCs w:val="18"/>
        </w:rPr>
        <w:t>15.300</w:t>
      </w:r>
      <w:r>
        <w:rPr>
          <w:rFonts w:eastAsia="Arial" w:cs="Arial" w:ascii="Arial" w:hAnsi="Arial"/>
          <w:color w:val="1F2937"/>
          <w:sz w:val="18"/>
          <w:szCs w:val="18"/>
        </w:rPr>
        <w:t xml:space="preserve"> registros.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b/>
          <w:bCs/>
          <w:color w:val="1F2937"/>
          <w:sz w:val="22"/>
          <w:szCs w:val="22"/>
        </w:rPr>
      </w:pPr>
      <w:r>
        <w:rPr>
          <w:rFonts w:eastAsia="Arial" w:cs="Arial" w:ascii="Arial" w:hAnsi="Arial"/>
          <w:b/>
          <w:bCs/>
          <w:color w:val="1F2937"/>
          <w:sz w:val="22"/>
          <w:szCs w:val="22"/>
        </w:rPr>
      </w:r>
    </w:p>
    <w:p>
      <w:pPr>
        <w:pStyle w:val="Heading1"/>
        <w:keepNext w:val="true"/>
        <w:pBdr>
          <w:bottom w:val="single" w:sz="4" w:space="6" w:color="2563EB"/>
        </w:pBdr>
        <w:bidi w:val="0"/>
        <w:jc w:val="start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pBdr>
          <w:bottom w:val="single" w:sz="4" w:space="6" w:color="2563EB"/>
        </w:pBdr>
        <w:bidi w:val="0"/>
        <w:jc w:val="start"/>
        <w:rPr>
          <w:rFonts w:ascii="Arial" w:hAnsi="Arial"/>
        </w:rPr>
      </w:pPr>
      <w:r>
        <w:rPr>
          <w:rFonts w:ascii="Arial" w:hAnsi="Arial"/>
        </w:rPr>
        <w:t>Uso de función log() sobre el salario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Luego de analizar los summary() observamos que l</w:t>
      </w:r>
      <w:r>
        <w:rPr>
          <w:rFonts w:eastAsia="Arial" w:cs="Arial" w:ascii="Arial" w:hAnsi="Arial"/>
          <w:color w:val="1F2937"/>
          <w:sz w:val="22"/>
          <w:szCs w:val="22"/>
        </w:rPr>
        <w:t>a distribución del salario bruto presenta una marcada asimetría positiva. Esto puede observarse al comparar la media ($1.048.318) con la mediana ($270.000), siendo la primera considerablemente superior debido a la presencia de salarios elevados que generan una cola larga hacia la derecha.</w:t>
      </w:r>
    </w:p>
    <w:p>
      <w:pPr>
        <w:pStyle w:val="Normal"/>
        <w:bidi w:val="0"/>
        <w:spacing w:before="60" w:after="80"/>
        <w:jc w:val="start"/>
        <w:rPr/>
      </w:pPr>
      <w:r>
        <w:rPr>
          <w:rFonts w:eastAsia="Arial" w:cs="Arial" w:ascii="Arial" w:hAnsi="Arial"/>
          <w:color w:val="1F2937"/>
          <w:sz w:val="22"/>
          <w:szCs w:val="22"/>
        </w:rPr>
        <w:t>Con el objetivo de reducir dicha asimetría y mejorar el cumplimiento de los supuestos requeridos por los modelos de regresión lineal, se aplicó una transformación logarítmica sobre el salario bruto (</w:t>
      </w:r>
      <w:r>
        <w:rPr>
          <w:rStyle w:val="SourceText"/>
          <w:rFonts w:eastAsia="Arial" w:cs="Arial" w:ascii="Arial" w:hAnsi="Arial"/>
          <w:color w:val="1F2937"/>
          <w:sz w:val="22"/>
          <w:szCs w:val="22"/>
        </w:rPr>
        <w:t>log_sal</w:t>
      </w:r>
      <w:r>
        <w:rPr>
          <w:rFonts w:eastAsia="Arial" w:cs="Arial" w:ascii="Arial" w:hAnsi="Arial"/>
          <w:color w:val="1F2937"/>
          <w:sz w:val="22"/>
          <w:szCs w:val="22"/>
        </w:rPr>
        <w:t>).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Tras la transformación, la distribución resultante presenta una media (12,74) y una mediana (12,51) mucho más próximas entre sí, indicando una distribución más simétrica y adecuada para el modelado estadístico.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s-A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s-AR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Arial" w:hAnsi="Arial" w:eastAsia="Arial" w:cs="Arial"/>
      <w:b/>
      <w:bCs/>
      <w:color w:val="2563EB"/>
      <w:sz w:val="32"/>
      <w:szCs w:val="32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Songti SC" w:cs="Arial Unicode M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LibreOffice/26.2.0.3$MacOSX_AARCH64 LibreOffice_project/afbbd0df0edb6d40b450b0337ac646b0913a760c</Application>
  <AppVersion>15.0000</AppVersion>
  <Pages>2</Pages>
  <Words>346</Words>
  <Characters>2015</Characters>
  <CharactersWithSpaces>2340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2026-05-29T23:49:24Z</dcterms:created>
  <dc:creator/>
  <dc:description/>
  <dc:language>es-AR</dc:language>
  <cp:lastModifiedBy/>
  <dcterms:modified xsi:type="dcterms:W3CDTF">2026-05-30T01:09:32Z</dcterms:modified>
  <cp:revision>7</cp:revision>
  <dc:subject/>
  <dc:title/>
</cp:coreProperties>
</file>